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9D" w:rsidRPr="00A82D7F" w:rsidRDefault="00A554F2" w:rsidP="002F46BB">
      <w:pPr>
        <w:ind w:left="709" w:firstLine="142"/>
        <w:rPr>
          <w:rFonts w:eastAsia="Arial" w:hAnsi="Arial" w:cs="Arial"/>
          <w:b/>
          <w:szCs w:val="40"/>
        </w:rPr>
      </w:pPr>
      <w:r>
        <w:rPr>
          <w:b/>
          <w:noProof/>
          <w:w w:val="100"/>
          <w:lang w:val="en-AU" w:eastAsia="en-AU"/>
        </w:rPr>
        <w:drawing>
          <wp:anchor distT="0" distB="0" distL="114300" distR="114300" simplePos="0" relativeHeight="1048" behindDoc="0" locked="0" layoutInCell="1" allowOverlap="1">
            <wp:simplePos x="0" y="0"/>
            <wp:positionH relativeFrom="page">
              <wp:posOffset>5764530</wp:posOffset>
            </wp:positionH>
            <wp:positionV relativeFrom="paragraph">
              <wp:posOffset>-372110</wp:posOffset>
            </wp:positionV>
            <wp:extent cx="1198245" cy="1422400"/>
            <wp:effectExtent l="0" t="0" r="1905" b="6350"/>
            <wp:wrapNone/>
            <wp:docPr id="21" name="Picture 21" descr="GWM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WMWate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245" cy="1422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D025A" w:rsidRPr="00A82D7F">
        <w:rPr>
          <w:b/>
        </w:rPr>
        <w:t>GW</w:t>
      </w:r>
      <w:r w:rsidR="006D025A" w:rsidRPr="00A82D7F">
        <w:rPr>
          <w:b/>
          <w:spacing w:val="-11"/>
        </w:rPr>
        <w:t>M</w:t>
      </w:r>
      <w:r w:rsidR="006D025A" w:rsidRPr="00A82D7F">
        <w:rPr>
          <w:b/>
        </w:rPr>
        <w:t>Water</w:t>
      </w:r>
      <w:proofErr w:type="spellEnd"/>
    </w:p>
    <w:p w:rsidR="00C72A9D" w:rsidRDefault="00C72A9D" w:rsidP="002F46BB">
      <w:pPr>
        <w:ind w:left="709" w:firstLine="142"/>
        <w:sectPr w:rsidR="00C72A9D" w:rsidSect="002A78F3">
          <w:headerReference w:type="even" r:id="rId9"/>
          <w:headerReference w:type="default" r:id="rId10"/>
          <w:footerReference w:type="even" r:id="rId11"/>
          <w:footerReference w:type="default" r:id="rId12"/>
          <w:headerReference w:type="first" r:id="rId13"/>
          <w:footerReference w:type="first" r:id="rId14"/>
          <w:type w:val="continuous"/>
          <w:pgSz w:w="11910" w:h="16840"/>
          <w:pgMar w:top="800" w:right="0" w:bottom="0" w:left="360" w:header="720" w:footer="720" w:gutter="0"/>
          <w:cols w:space="720"/>
        </w:sectPr>
      </w:pPr>
    </w:p>
    <w:p w:rsidR="00C72A9D" w:rsidRPr="000958B1" w:rsidRDefault="000958B1" w:rsidP="002F46BB">
      <w:pPr>
        <w:ind w:left="709" w:firstLine="142"/>
        <w:rPr>
          <w:b/>
        </w:rPr>
      </w:pPr>
      <w:r w:rsidRPr="000958B1">
        <w:rPr>
          <w:b/>
        </w:rPr>
        <w:lastRenderedPageBreak/>
        <w:t>17 March 2015</w:t>
      </w:r>
    </w:p>
    <w:p w:rsidR="00B51654" w:rsidRPr="00B51654" w:rsidRDefault="00B51654" w:rsidP="002F46BB">
      <w:pPr>
        <w:spacing w:after="0"/>
        <w:ind w:left="709" w:firstLine="142"/>
      </w:pPr>
      <w:r w:rsidRPr="00B51654">
        <w:t>Richard Bales</w:t>
      </w:r>
    </w:p>
    <w:p w:rsidR="00B51654" w:rsidRDefault="00B51654" w:rsidP="002F46BB">
      <w:pPr>
        <w:spacing w:after="0"/>
        <w:ind w:left="709" w:firstLine="142"/>
      </w:pPr>
      <w:r w:rsidRPr="00B51654">
        <w:t xml:space="preserve">Senior Development Officer </w:t>
      </w:r>
    </w:p>
    <w:p w:rsidR="00B51654" w:rsidRPr="00B51654" w:rsidRDefault="00B51654" w:rsidP="002F46BB">
      <w:pPr>
        <w:spacing w:after="0"/>
        <w:ind w:left="709" w:firstLine="142"/>
      </w:pPr>
      <w:r w:rsidRPr="00B51654">
        <w:t>Grampians Regional Development Victoria</w:t>
      </w:r>
    </w:p>
    <w:p w:rsidR="00B51654" w:rsidRPr="00B51654" w:rsidRDefault="00B51654" w:rsidP="002F46BB">
      <w:pPr>
        <w:spacing w:after="0"/>
        <w:ind w:left="709" w:firstLine="142"/>
      </w:pPr>
      <w:r w:rsidRPr="00B51654">
        <w:t xml:space="preserve">62 </w:t>
      </w:r>
      <w:proofErr w:type="spellStart"/>
      <w:r w:rsidRPr="00B51654">
        <w:t>Darlot</w:t>
      </w:r>
      <w:proofErr w:type="spellEnd"/>
      <w:r w:rsidRPr="00B51654">
        <w:t xml:space="preserve"> Street</w:t>
      </w:r>
    </w:p>
    <w:p w:rsidR="00894DD9" w:rsidRDefault="00B51654" w:rsidP="002F46BB">
      <w:pPr>
        <w:ind w:left="709" w:firstLine="142"/>
        <w:sectPr w:rsidR="00894DD9" w:rsidSect="002A78F3">
          <w:type w:val="continuous"/>
          <w:pgSz w:w="11910" w:h="16840"/>
          <w:pgMar w:top="800" w:right="0" w:bottom="0" w:left="360" w:header="720" w:footer="720" w:gutter="0"/>
          <w:cols w:space="720"/>
        </w:sectPr>
      </w:pPr>
      <w:r w:rsidRPr="00B51654">
        <w:t>Horsham VIC 3400</w:t>
      </w:r>
      <w:bookmarkStart w:id="0" w:name="_GoBack"/>
      <w:bookmarkEnd w:id="0"/>
    </w:p>
    <w:p w:rsidR="00894DD9" w:rsidRDefault="00894DD9" w:rsidP="002F46BB">
      <w:pPr>
        <w:ind w:left="142" w:hanging="142"/>
      </w:pPr>
      <w:r w:rsidRPr="00A82D7F">
        <w:lastRenderedPageBreak/>
        <w:t xml:space="preserve">Dear </w:t>
      </w:r>
      <w:proofErr w:type="spellStart"/>
      <w:r>
        <w:t>Mr</w:t>
      </w:r>
      <w:proofErr w:type="spellEnd"/>
      <w:r>
        <w:t xml:space="preserve"> Bales</w:t>
      </w:r>
    </w:p>
    <w:p w:rsidR="00894DD9" w:rsidRDefault="00894DD9" w:rsidP="00894DD9">
      <w:pPr>
        <w:spacing w:before="240"/>
      </w:pPr>
      <w:r w:rsidRPr="00A82D7F">
        <w:t>Review of DEDJTR's Regional Service Delivery Model and Strategic Directions Policy</w:t>
      </w:r>
    </w:p>
    <w:p w:rsidR="00894DD9" w:rsidRDefault="00894DD9" w:rsidP="00894DD9">
      <w:pPr>
        <w:spacing w:before="240"/>
      </w:pPr>
      <w:r w:rsidRPr="00B51654">
        <w:t>Thank you for the opportunity to comment on the policy opportunities and service delivery models to assist in the development new and enhanced regional and rural development initiatives.</w:t>
      </w:r>
    </w:p>
    <w:p w:rsidR="00894DD9" w:rsidRDefault="00894DD9" w:rsidP="00894DD9">
      <w:pPr>
        <w:spacing w:before="240"/>
      </w:pPr>
      <w:r w:rsidRPr="00B51654">
        <w:t xml:space="preserve">A key initiative is to ensure that there is an enabling framework for investors, developers and entrepreneurs to better understand a regions capability to support any proposed new developments. </w:t>
      </w:r>
      <w:proofErr w:type="spellStart"/>
      <w:r w:rsidRPr="00B51654">
        <w:t>GWMWater</w:t>
      </w:r>
      <w:proofErr w:type="spellEnd"/>
      <w:r w:rsidRPr="00B51654">
        <w:t xml:space="preserve"> presently supports this process by having strong strategic relationships with Regional Development Victoria (RDV). In our region this is further supported by affiliation with economic development arms of local government with the most significant relationship being the </w:t>
      </w:r>
      <w:proofErr w:type="spellStart"/>
      <w:r w:rsidRPr="00B51654">
        <w:t>Wimmera</w:t>
      </w:r>
      <w:proofErr w:type="spellEnd"/>
      <w:r w:rsidRPr="00B51654">
        <w:t xml:space="preserve"> Development Association (WDA).</w:t>
      </w:r>
    </w:p>
    <w:p w:rsidR="00894DD9" w:rsidRDefault="00894DD9" w:rsidP="00894DD9">
      <w:pPr>
        <w:spacing w:before="240"/>
      </w:pPr>
      <w:r w:rsidRPr="00B51654">
        <w:t xml:space="preserve">Over 25 years ago it was </w:t>
      </w:r>
      <w:proofErr w:type="spellStart"/>
      <w:r w:rsidRPr="00B51654">
        <w:t>recognised</w:t>
      </w:r>
      <w:proofErr w:type="spellEnd"/>
      <w:r w:rsidRPr="00B51654">
        <w:t xml:space="preserve"> that the key constraint to development in the region was the inadequacy of the water supply from both a water quality and quantity perspective. We have since converted the inefficient open channel network of the </w:t>
      </w:r>
      <w:proofErr w:type="spellStart"/>
      <w:r w:rsidRPr="00B51654">
        <w:t>Wimmera</w:t>
      </w:r>
      <w:proofErr w:type="spellEnd"/>
      <w:r w:rsidRPr="00B51654">
        <w:t xml:space="preserve"> </w:t>
      </w:r>
      <w:proofErr w:type="spellStart"/>
      <w:r w:rsidRPr="00B51654">
        <w:t>Mallee</w:t>
      </w:r>
      <w:proofErr w:type="spellEnd"/>
      <w:r w:rsidRPr="00B51654">
        <w:t xml:space="preserve"> into a rural pipeline system with the completion of the Northern </w:t>
      </w:r>
      <w:proofErr w:type="spellStart"/>
      <w:r w:rsidRPr="00B51654">
        <w:t>Mallee</w:t>
      </w:r>
      <w:proofErr w:type="spellEnd"/>
      <w:r w:rsidRPr="00B51654">
        <w:t xml:space="preserve"> and </w:t>
      </w:r>
      <w:proofErr w:type="spellStart"/>
      <w:r w:rsidRPr="00B51654">
        <w:t>Wimmera</w:t>
      </w:r>
      <w:proofErr w:type="spellEnd"/>
      <w:r w:rsidRPr="00B51654">
        <w:t xml:space="preserve"> </w:t>
      </w:r>
      <w:proofErr w:type="spellStart"/>
      <w:r w:rsidRPr="00B51654">
        <w:t>Mallee</w:t>
      </w:r>
      <w:proofErr w:type="spellEnd"/>
      <w:r w:rsidRPr="00B51654">
        <w:t xml:space="preserve"> pipeline. In doing so, water has been returned to the environment and water savings converted to water that can be used to support new developments in the region. Water quality has also been upgraded</w:t>
      </w:r>
      <w:r>
        <w:t xml:space="preserve"> to meet</w:t>
      </w:r>
      <w:r w:rsidRPr="00B51654">
        <w:t xml:space="preserve"> the requirements of the Drinking Water Regulations of the Safe Drinking Water Act in all our large and medium sized towns. This provides significant opportunities for the region to leverage this investment by industries involved in food production and food processing.</w:t>
      </w:r>
    </w:p>
    <w:p w:rsidR="00894DD9" w:rsidRDefault="00894DD9" w:rsidP="00894DD9">
      <w:pPr>
        <w:spacing w:before="240"/>
      </w:pPr>
      <w:r w:rsidRPr="00B51654">
        <w:t xml:space="preserve">The industries identified by the </w:t>
      </w:r>
      <w:proofErr w:type="spellStart"/>
      <w:r w:rsidRPr="00B51654">
        <w:t>Wimmera</w:t>
      </w:r>
      <w:proofErr w:type="spellEnd"/>
      <w:r w:rsidRPr="00B51654">
        <w:t xml:space="preserve"> </w:t>
      </w:r>
      <w:proofErr w:type="spellStart"/>
      <w:r w:rsidRPr="00B51654">
        <w:t>Mallee</w:t>
      </w:r>
      <w:proofErr w:type="spellEnd"/>
      <w:r w:rsidRPr="00B51654">
        <w:t xml:space="preserve"> Pipeline Interim Business Case included; intensive agriculture, mining, viticulture and 'niche' horticulture. The business case also identified opportunities for enhanced ecotourism arising from the improved environmental outcomes. </w:t>
      </w:r>
      <w:proofErr w:type="spellStart"/>
      <w:r w:rsidRPr="00B51654">
        <w:t>GWMWater</w:t>
      </w:r>
      <w:proofErr w:type="spellEnd"/>
      <w:r w:rsidRPr="00B51654">
        <w:t xml:space="preserve"> has since developed a Growth Water Marketing Strategy to provide a bit more focus to the programs that are seeking to </w:t>
      </w:r>
      <w:proofErr w:type="spellStart"/>
      <w:r w:rsidRPr="00B51654">
        <w:t>utilise</w:t>
      </w:r>
      <w:proofErr w:type="spellEnd"/>
      <w:r w:rsidRPr="00B51654">
        <w:t xml:space="preserve"> growth water and a copy of the strategy is attached. A key in this</w:t>
      </w:r>
      <w:r w:rsidRPr="00894DD9">
        <w:t xml:space="preserve"> strategy was the role RDV, WDA and other economic development arms of local government play in facilitating new developments.</w:t>
      </w:r>
    </w:p>
    <w:p w:rsidR="00894DD9" w:rsidRDefault="00894DD9">
      <w:pPr>
        <w:spacing w:after="0" w:line="240" w:lineRule="auto"/>
      </w:pPr>
      <w:r>
        <w:br w:type="page"/>
      </w:r>
    </w:p>
    <w:p w:rsidR="00894DD9" w:rsidRPr="00894DD9" w:rsidRDefault="00894DD9" w:rsidP="00894DD9">
      <w:pPr>
        <w:spacing w:before="240"/>
      </w:pPr>
      <w:proofErr w:type="spellStart"/>
      <w:r w:rsidRPr="00894DD9">
        <w:lastRenderedPageBreak/>
        <w:t>GWMWater</w:t>
      </w:r>
      <w:proofErr w:type="spellEnd"/>
      <w:r w:rsidRPr="00894DD9">
        <w:t xml:space="preserve"> is yet to technically complete the </w:t>
      </w:r>
      <w:proofErr w:type="spellStart"/>
      <w:r w:rsidRPr="00894DD9">
        <w:t>Wimmera</w:t>
      </w:r>
      <w:proofErr w:type="spellEnd"/>
      <w:r w:rsidRPr="00894DD9">
        <w:t xml:space="preserve"> </w:t>
      </w:r>
      <w:proofErr w:type="spellStart"/>
      <w:r w:rsidRPr="00894DD9">
        <w:t>Mallee</w:t>
      </w:r>
      <w:proofErr w:type="spellEnd"/>
      <w:r w:rsidRPr="00894DD9">
        <w:t xml:space="preserve"> Pipeline Project as it is presently undertaking projects consistent with the pipeline objectives that will fulfil the </w:t>
      </w:r>
      <w:proofErr w:type="spellStart"/>
      <w:r w:rsidRPr="00894DD9">
        <w:t>GWMWater</w:t>
      </w:r>
      <w:proofErr w:type="spellEnd"/>
      <w:r w:rsidRPr="00894DD9">
        <w:t xml:space="preserve"> financial commitment to the pipeline. One such project is the Rural</w:t>
      </w:r>
      <w:r w:rsidR="00A66278">
        <w:t xml:space="preserve"> </w:t>
      </w:r>
      <w:r w:rsidRPr="00894DD9">
        <w:t>Pipeline Intelligence Project (RPIP)</w:t>
      </w:r>
      <w:r w:rsidR="00A66278">
        <w:t xml:space="preserve"> th</w:t>
      </w:r>
      <w:r w:rsidRPr="00894DD9">
        <w:t xml:space="preserve">at is presently being </w:t>
      </w:r>
      <w:r w:rsidR="00A66278">
        <w:t xml:space="preserve">delivered. </w:t>
      </w:r>
      <w:r w:rsidRPr="00894DD9">
        <w:t>T</w:t>
      </w:r>
      <w:r w:rsidR="00A66278">
        <w:t>his</w:t>
      </w:r>
      <w:r w:rsidRPr="00894DD9">
        <w:t xml:space="preserve"> project involves the construction of a low end telemetry network that will allow for 'real time' meter data to be received by </w:t>
      </w:r>
      <w:proofErr w:type="spellStart"/>
      <w:r w:rsidRPr="00894DD9">
        <w:t>GWMWater</w:t>
      </w:r>
      <w:proofErr w:type="spellEnd"/>
      <w:r w:rsidRPr="00894DD9">
        <w:t xml:space="preserve"> that can then be shared back to the customer. Whilst this network is being built for meter reading, it can be used for other rural and regional applications that require regular transmission of data to a central point.</w:t>
      </w:r>
    </w:p>
    <w:p w:rsidR="00894DD9" w:rsidRPr="00894DD9" w:rsidRDefault="00894DD9" w:rsidP="00894DD9">
      <w:pPr>
        <w:spacing w:line="251" w:lineRule="auto"/>
        <w:ind w:right="102"/>
      </w:pPr>
      <w:proofErr w:type="spellStart"/>
      <w:r w:rsidRPr="00894DD9">
        <w:t>GWMWater</w:t>
      </w:r>
      <w:proofErr w:type="spellEnd"/>
      <w:r w:rsidRPr="00894DD9">
        <w:t xml:space="preserve"> is planning to undertake a Gate 6 (benefits evaluation) review of the </w:t>
      </w:r>
      <w:proofErr w:type="spellStart"/>
      <w:r w:rsidRPr="00894DD9">
        <w:t>Wimmera</w:t>
      </w:r>
      <w:proofErr w:type="spellEnd"/>
      <w:r w:rsidRPr="00894DD9">
        <w:t xml:space="preserve"> </w:t>
      </w:r>
      <w:proofErr w:type="spellStart"/>
      <w:r w:rsidRPr="00894DD9">
        <w:t>Mallee</w:t>
      </w:r>
      <w:proofErr w:type="spellEnd"/>
      <w:r w:rsidRPr="00894DD9">
        <w:t xml:space="preserve"> Pipeline Project. It is anticipated that this will reaffirm and/ or reassess the opportunities that the </w:t>
      </w:r>
      <w:proofErr w:type="spellStart"/>
      <w:r w:rsidRPr="00894DD9">
        <w:t>Wimmera</w:t>
      </w:r>
      <w:proofErr w:type="spellEnd"/>
      <w:r w:rsidRPr="00894DD9">
        <w:t xml:space="preserve"> </w:t>
      </w:r>
      <w:proofErr w:type="spellStart"/>
      <w:r w:rsidRPr="00894DD9">
        <w:t>Mallee</w:t>
      </w:r>
      <w:proofErr w:type="spellEnd"/>
      <w:r w:rsidRPr="00894DD9">
        <w:t xml:space="preserve"> pipeline presents to the region.</w:t>
      </w:r>
    </w:p>
    <w:p w:rsidR="00894DD9" w:rsidRDefault="00894DD9" w:rsidP="00894DD9">
      <w:pPr>
        <w:spacing w:line="240" w:lineRule="auto"/>
      </w:pPr>
      <w:r>
        <w:t>Yours sincerely</w:t>
      </w:r>
    </w:p>
    <w:p w:rsidR="00894DD9" w:rsidRDefault="00894DD9" w:rsidP="00894DD9">
      <w:pPr>
        <w:spacing w:after="0" w:line="240" w:lineRule="auto"/>
      </w:pPr>
      <w:r>
        <w:t>Mark Williams</w:t>
      </w:r>
    </w:p>
    <w:p w:rsidR="00C72A9D" w:rsidRPr="006D025A" w:rsidRDefault="00894DD9" w:rsidP="00894DD9">
      <w:pPr>
        <w:spacing w:after="0" w:line="240" w:lineRule="auto"/>
        <w:sectPr w:rsidR="00C72A9D" w:rsidRPr="006D025A" w:rsidSect="00894DD9">
          <w:type w:val="continuous"/>
          <w:pgSz w:w="11910" w:h="16840"/>
          <w:pgMar w:top="800" w:right="1137" w:bottom="0" w:left="1134" w:header="720" w:footer="720" w:gutter="0"/>
          <w:cols w:space="720"/>
        </w:sectPr>
      </w:pPr>
      <w:r>
        <w:t>Managing Director</w:t>
      </w:r>
    </w:p>
    <w:p w:rsidR="00C72A9D" w:rsidRPr="00A82D7F" w:rsidRDefault="00C72A9D" w:rsidP="00894DD9"/>
    <w:sectPr w:rsidR="00C72A9D" w:rsidRPr="00A82D7F" w:rsidSect="00894DD9">
      <w:type w:val="continuous"/>
      <w:pgSz w:w="11900" w:h="16840"/>
      <w:pgMar w:top="0" w:right="1127" w:bottom="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5A" w:rsidRDefault="006D025A" w:rsidP="00A82D7F">
      <w:r>
        <w:separator/>
      </w:r>
    </w:p>
  </w:endnote>
  <w:endnote w:type="continuationSeparator" w:id="0">
    <w:p w:rsidR="006D025A" w:rsidRDefault="006D025A" w:rsidP="00A8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F" w:rsidRDefault="00A82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5A" w:rsidRPr="00A82D7F" w:rsidRDefault="006D025A" w:rsidP="00A82D7F">
    <w:pPr>
      <w:spacing w:after="0"/>
      <w:jc w:val="center"/>
      <w:rPr>
        <w:sz w:val="16"/>
      </w:rPr>
    </w:pPr>
    <w:r w:rsidRPr="00A82D7F">
      <w:rPr>
        <w:sz w:val="16"/>
      </w:rPr>
      <w:t>ABN</w:t>
    </w:r>
    <w:r w:rsidRPr="00A82D7F">
      <w:rPr>
        <w:spacing w:val="9"/>
        <w:sz w:val="16"/>
      </w:rPr>
      <w:t xml:space="preserve"> </w:t>
    </w:r>
    <w:r w:rsidRPr="00A82D7F">
      <w:rPr>
        <w:sz w:val="16"/>
      </w:rPr>
      <w:t>35 584 588 263</w:t>
    </w:r>
  </w:p>
  <w:p w:rsidR="006D025A" w:rsidRPr="00A82D7F" w:rsidRDefault="006D025A" w:rsidP="00A82D7F">
    <w:pPr>
      <w:spacing w:after="0"/>
      <w:jc w:val="center"/>
      <w:rPr>
        <w:w w:val="105"/>
        <w:sz w:val="16"/>
      </w:rPr>
    </w:pPr>
    <w:r w:rsidRPr="00A82D7F">
      <w:rPr>
        <w:spacing w:val="-16"/>
        <w:w w:val="110"/>
        <w:sz w:val="16"/>
      </w:rPr>
      <w:t>1</w:t>
    </w:r>
    <w:r w:rsidRPr="00A82D7F">
      <w:rPr>
        <w:color w:val="1D5780"/>
        <w:spacing w:val="-14"/>
        <w:w w:val="110"/>
        <w:sz w:val="16"/>
      </w:rPr>
      <w:t>1</w:t>
    </w:r>
    <w:r w:rsidRPr="00A82D7F">
      <w:rPr>
        <w:color w:val="1D5780"/>
        <w:spacing w:val="-34"/>
        <w:w w:val="110"/>
        <w:sz w:val="16"/>
      </w:rPr>
      <w:t xml:space="preserve"> </w:t>
    </w:r>
    <w:r w:rsidRPr="00A82D7F">
      <w:rPr>
        <w:spacing w:val="-5"/>
        <w:w w:val="110"/>
        <w:sz w:val="16"/>
      </w:rPr>
      <w:t>Mcl</w:t>
    </w:r>
    <w:r w:rsidRPr="00A82D7F">
      <w:rPr>
        <w:spacing w:val="-6"/>
        <w:w w:val="110"/>
        <w:sz w:val="16"/>
      </w:rPr>
      <w:t>ac</w:t>
    </w:r>
    <w:r w:rsidRPr="00A82D7F">
      <w:rPr>
        <w:color w:val="1D5780"/>
        <w:spacing w:val="-5"/>
        <w:w w:val="110"/>
        <w:sz w:val="16"/>
      </w:rPr>
      <w:t>h</w:t>
    </w:r>
    <w:r w:rsidRPr="00A82D7F">
      <w:rPr>
        <w:spacing w:val="-6"/>
        <w:w w:val="110"/>
        <w:sz w:val="16"/>
      </w:rPr>
      <w:t>lan</w:t>
    </w:r>
    <w:r w:rsidRPr="00A82D7F">
      <w:rPr>
        <w:spacing w:val="-7"/>
        <w:w w:val="110"/>
        <w:sz w:val="16"/>
      </w:rPr>
      <w:t xml:space="preserve"> </w:t>
    </w:r>
    <w:r w:rsidRPr="00A82D7F">
      <w:rPr>
        <w:w w:val="110"/>
        <w:sz w:val="16"/>
      </w:rPr>
      <w:t xml:space="preserve">Street, </w:t>
    </w:r>
    <w:r w:rsidRPr="00A82D7F">
      <w:rPr>
        <w:sz w:val="16"/>
      </w:rPr>
      <w:t>(PO</w:t>
    </w:r>
    <w:r w:rsidRPr="00A82D7F">
      <w:rPr>
        <w:spacing w:val="-4"/>
        <w:sz w:val="16"/>
      </w:rPr>
      <w:t xml:space="preserve"> </w:t>
    </w:r>
    <w:r w:rsidRPr="00A82D7F">
      <w:rPr>
        <w:sz w:val="16"/>
      </w:rPr>
      <w:t>Box</w:t>
    </w:r>
    <w:r w:rsidRPr="00A82D7F">
      <w:rPr>
        <w:spacing w:val="-7"/>
        <w:sz w:val="16"/>
      </w:rPr>
      <w:t xml:space="preserve"> </w:t>
    </w:r>
    <w:r w:rsidRPr="00A82D7F">
      <w:rPr>
        <w:sz w:val="16"/>
      </w:rPr>
      <w:t>481), Horsham</w:t>
    </w:r>
    <w:r w:rsidRPr="00A82D7F">
      <w:rPr>
        <w:spacing w:val="-12"/>
        <w:sz w:val="16"/>
      </w:rPr>
      <w:t xml:space="preserve"> </w:t>
    </w:r>
    <w:r w:rsidRPr="00A82D7F">
      <w:rPr>
        <w:sz w:val="16"/>
      </w:rPr>
      <w:t>Victoria</w:t>
    </w:r>
    <w:r w:rsidRPr="00A82D7F">
      <w:rPr>
        <w:spacing w:val="6"/>
        <w:sz w:val="16"/>
      </w:rPr>
      <w:t xml:space="preserve"> </w:t>
    </w:r>
    <w:r w:rsidRPr="00A82D7F">
      <w:rPr>
        <w:sz w:val="16"/>
      </w:rPr>
      <w:t>3</w:t>
    </w:r>
    <w:r w:rsidRPr="00A82D7F">
      <w:rPr>
        <w:color w:val="1D5780"/>
        <w:sz w:val="16"/>
      </w:rPr>
      <w:t>4</w:t>
    </w:r>
    <w:r w:rsidRPr="00A82D7F">
      <w:rPr>
        <w:sz w:val="16"/>
      </w:rPr>
      <w:t xml:space="preserve">02, </w:t>
    </w:r>
    <w:r w:rsidRPr="00A82D7F">
      <w:rPr>
        <w:color w:val="1D5780"/>
        <w:w w:val="105"/>
        <w:sz w:val="16"/>
      </w:rPr>
      <w:t>Te</w:t>
    </w:r>
    <w:r w:rsidRPr="00A82D7F">
      <w:rPr>
        <w:color w:val="1D5780"/>
        <w:spacing w:val="9"/>
        <w:w w:val="105"/>
        <w:sz w:val="16"/>
      </w:rPr>
      <w:t>l</w:t>
    </w:r>
    <w:r w:rsidRPr="00A82D7F">
      <w:rPr>
        <w:w w:val="105"/>
        <w:sz w:val="16"/>
      </w:rPr>
      <w:t>:</w:t>
    </w:r>
    <w:r w:rsidRPr="00A82D7F">
      <w:rPr>
        <w:spacing w:val="-25"/>
        <w:w w:val="105"/>
        <w:sz w:val="16"/>
      </w:rPr>
      <w:t xml:space="preserve"> </w:t>
    </w:r>
    <w:r w:rsidRPr="00A82D7F">
      <w:rPr>
        <w:spacing w:val="-27"/>
        <w:w w:val="105"/>
        <w:sz w:val="16"/>
      </w:rPr>
      <w:t>1</w:t>
    </w:r>
    <w:r w:rsidRPr="00A82D7F">
      <w:rPr>
        <w:w w:val="105"/>
        <w:sz w:val="16"/>
      </w:rPr>
      <w:t>300</w:t>
    </w:r>
    <w:r w:rsidRPr="00A82D7F">
      <w:rPr>
        <w:spacing w:val="-4"/>
        <w:w w:val="105"/>
        <w:sz w:val="16"/>
      </w:rPr>
      <w:t xml:space="preserve"> </w:t>
    </w:r>
    <w:r w:rsidRPr="00A82D7F">
      <w:rPr>
        <w:w w:val="105"/>
        <w:sz w:val="16"/>
      </w:rPr>
      <w:t>659</w:t>
    </w:r>
    <w:r w:rsidRPr="00A82D7F">
      <w:rPr>
        <w:spacing w:val="-3"/>
        <w:w w:val="105"/>
        <w:sz w:val="16"/>
      </w:rPr>
      <w:t xml:space="preserve"> </w:t>
    </w:r>
    <w:r w:rsidRPr="00A82D7F">
      <w:rPr>
        <w:w w:val="105"/>
        <w:sz w:val="16"/>
      </w:rPr>
      <w:t xml:space="preserve">961, </w:t>
    </w:r>
    <w:r w:rsidRPr="00A82D7F">
      <w:rPr>
        <w:color w:val="1D5780"/>
        <w:w w:val="105"/>
        <w:sz w:val="16"/>
      </w:rPr>
      <w:t>Fax</w:t>
    </w:r>
    <w:r w:rsidRPr="00A82D7F">
      <w:rPr>
        <w:color w:val="4D6E89"/>
        <w:w w:val="105"/>
        <w:sz w:val="16"/>
      </w:rPr>
      <w:t>:</w:t>
    </w:r>
    <w:r w:rsidRPr="00A82D7F">
      <w:rPr>
        <w:color w:val="4D6E89"/>
        <w:spacing w:val="-27"/>
        <w:w w:val="105"/>
        <w:sz w:val="16"/>
      </w:rPr>
      <w:t xml:space="preserve"> </w:t>
    </w:r>
    <w:r w:rsidRPr="00A82D7F">
      <w:rPr>
        <w:w w:val="105"/>
        <w:sz w:val="16"/>
      </w:rPr>
      <w:t>03</w:t>
    </w:r>
    <w:r w:rsidRPr="00A82D7F">
      <w:rPr>
        <w:spacing w:val="-15"/>
        <w:w w:val="105"/>
        <w:sz w:val="16"/>
      </w:rPr>
      <w:t xml:space="preserve"> </w:t>
    </w:r>
    <w:r w:rsidRPr="00A82D7F">
      <w:rPr>
        <w:w w:val="105"/>
        <w:sz w:val="16"/>
      </w:rPr>
      <w:t>5381</w:t>
    </w:r>
    <w:r w:rsidRPr="00A82D7F">
      <w:rPr>
        <w:spacing w:val="-8"/>
        <w:w w:val="105"/>
        <w:sz w:val="16"/>
      </w:rPr>
      <w:t xml:space="preserve"> </w:t>
    </w:r>
    <w:r w:rsidRPr="00A82D7F">
      <w:rPr>
        <w:w w:val="105"/>
        <w:sz w:val="16"/>
      </w:rPr>
      <w:t>9881,</w:t>
    </w:r>
  </w:p>
  <w:p w:rsidR="006D025A" w:rsidRPr="00A82D7F" w:rsidRDefault="006D025A" w:rsidP="00A82D7F">
    <w:pPr>
      <w:spacing w:after="0"/>
      <w:jc w:val="center"/>
      <w:rPr>
        <w:rFonts w:eastAsia="Arial" w:hAnsi="Arial" w:cs="Arial"/>
        <w:sz w:val="16"/>
        <w:szCs w:val="16"/>
      </w:rPr>
    </w:pPr>
    <w:proofErr w:type="spellStart"/>
    <w:r w:rsidRPr="00A82D7F">
      <w:rPr>
        <w:color w:val="1D5780"/>
        <w:w w:val="105"/>
        <w:sz w:val="16"/>
      </w:rPr>
      <w:t>E</w:t>
    </w:r>
    <w:r w:rsidRPr="00A82D7F">
      <w:rPr>
        <w:color w:val="1D5780"/>
        <w:spacing w:val="-13"/>
        <w:w w:val="105"/>
        <w:sz w:val="16"/>
      </w:rPr>
      <w:t>m</w:t>
    </w:r>
    <w:r w:rsidRPr="00A82D7F">
      <w:rPr>
        <w:spacing w:val="2"/>
        <w:w w:val="105"/>
        <w:sz w:val="16"/>
      </w:rPr>
      <w:t>a</w:t>
    </w:r>
    <w:r w:rsidRPr="00A82D7F">
      <w:rPr>
        <w:color w:val="1D5780"/>
        <w:w w:val="105"/>
        <w:sz w:val="16"/>
      </w:rPr>
      <w:t>i</w:t>
    </w:r>
    <w:r w:rsidRPr="00A82D7F">
      <w:rPr>
        <w:color w:val="1D5780"/>
        <w:spacing w:val="-9"/>
        <w:w w:val="105"/>
        <w:sz w:val="16"/>
      </w:rPr>
      <w:t>l</w:t>
    </w:r>
    <w:r w:rsidRPr="00A82D7F">
      <w:rPr>
        <w:color w:val="4D6E89"/>
        <w:spacing w:val="4"/>
        <w:w w:val="105"/>
        <w:sz w:val="16"/>
      </w:rPr>
      <w:t>:</w:t>
    </w:r>
    <w:r w:rsidRPr="00A82D7F">
      <w:rPr>
        <w:color w:val="4D6E89"/>
        <w:spacing w:val="-16"/>
        <w:w w:val="105"/>
        <w:sz w:val="16"/>
      </w:rPr>
      <w:t>l</w:t>
    </w:r>
    <w:r w:rsidRPr="00A82D7F">
      <w:rPr>
        <w:color w:val="4D6E89"/>
        <w:w w:val="105"/>
        <w:sz w:val="16"/>
      </w:rPr>
      <w:t>nfo@gwmwate</w:t>
    </w:r>
    <w:proofErr w:type="spellEnd"/>
    <w:r w:rsidRPr="00A82D7F">
      <w:rPr>
        <w:color w:val="4D6E89"/>
        <w:spacing w:val="-11"/>
        <w:w w:val="105"/>
        <w:sz w:val="16"/>
      </w:rPr>
      <w:t xml:space="preserve"> </w:t>
    </w:r>
    <w:r w:rsidRPr="00A82D7F">
      <w:rPr>
        <w:color w:val="1D5780"/>
        <w:spacing w:val="-8"/>
        <w:w w:val="105"/>
        <w:sz w:val="16"/>
      </w:rPr>
      <w:t>r</w:t>
    </w:r>
    <w:r w:rsidRPr="00A82D7F">
      <w:rPr>
        <w:color w:val="95959A"/>
        <w:spacing w:val="-22"/>
        <w:w w:val="105"/>
        <w:sz w:val="16"/>
      </w:rPr>
      <w:t>.</w:t>
    </w:r>
    <w:r w:rsidRPr="00A82D7F">
      <w:rPr>
        <w:w w:val="105"/>
        <w:sz w:val="16"/>
      </w:rPr>
      <w:t>or</w:t>
    </w:r>
    <w:r w:rsidRPr="00A82D7F">
      <w:rPr>
        <w:spacing w:val="2"/>
        <w:w w:val="105"/>
        <w:sz w:val="16"/>
      </w:rPr>
      <w:t>g</w:t>
    </w:r>
    <w:r w:rsidRPr="00A82D7F">
      <w:rPr>
        <w:color w:val="7C8389"/>
        <w:spacing w:val="-19"/>
        <w:w w:val="105"/>
        <w:sz w:val="16"/>
      </w:rPr>
      <w:t>.</w:t>
    </w:r>
    <w:r w:rsidRPr="00A82D7F">
      <w:rPr>
        <w:w w:val="105"/>
        <w:sz w:val="16"/>
      </w:rPr>
      <w:t>au</w:t>
    </w:r>
    <w:r w:rsidRPr="00A82D7F">
      <w:rPr>
        <w:w w:val="104"/>
        <w:sz w:val="16"/>
      </w:rPr>
      <w:t xml:space="preserve"> </w:t>
    </w:r>
    <w:r w:rsidRPr="00A82D7F">
      <w:rPr>
        <w:color w:val="1D5780"/>
        <w:sz w:val="16"/>
      </w:rPr>
      <w:t>We</w:t>
    </w:r>
    <w:r w:rsidRPr="00A82D7F">
      <w:rPr>
        <w:color w:val="1D5780"/>
        <w:spacing w:val="6"/>
        <w:sz w:val="16"/>
      </w:rPr>
      <w:t>b</w:t>
    </w:r>
    <w:r w:rsidRPr="00A82D7F">
      <w:rPr>
        <w:spacing w:val="2"/>
        <w:sz w:val="16"/>
      </w:rPr>
      <w:t>s</w:t>
    </w:r>
    <w:r w:rsidRPr="00A82D7F">
      <w:rPr>
        <w:color w:val="1D5780"/>
        <w:sz w:val="16"/>
      </w:rPr>
      <w:t>i</w:t>
    </w:r>
    <w:r w:rsidRPr="00A82D7F">
      <w:rPr>
        <w:color w:val="1D5780"/>
        <w:spacing w:val="-6"/>
        <w:sz w:val="16"/>
      </w:rPr>
      <w:t>t</w:t>
    </w:r>
    <w:r w:rsidRPr="00A82D7F">
      <w:rPr>
        <w:sz w:val="16"/>
      </w:rPr>
      <w:t xml:space="preserve">e: </w:t>
    </w:r>
    <w:r w:rsidRPr="00A82D7F">
      <w:rPr>
        <w:spacing w:val="18"/>
        <w:sz w:val="16"/>
      </w:rPr>
      <w:t xml:space="preserve"> </w:t>
    </w:r>
    <w:r w:rsidRPr="00A82D7F">
      <w:rPr>
        <w:sz w:val="16"/>
      </w:rPr>
      <w:t>ww</w:t>
    </w:r>
    <w:r w:rsidRPr="00A82D7F">
      <w:rPr>
        <w:spacing w:val="13"/>
        <w:sz w:val="16"/>
      </w:rPr>
      <w:t>w</w:t>
    </w:r>
    <w:r w:rsidRPr="00A82D7F">
      <w:rPr>
        <w:color w:val="626464"/>
        <w:spacing w:val="-12"/>
        <w:sz w:val="16"/>
      </w:rPr>
      <w:t>.</w:t>
    </w:r>
    <w:r w:rsidRPr="00A82D7F">
      <w:rPr>
        <w:sz w:val="16"/>
      </w:rPr>
      <w:t>g</w:t>
    </w:r>
    <w:r w:rsidRPr="00A82D7F">
      <w:rPr>
        <w:spacing w:val="-3"/>
        <w:sz w:val="16"/>
      </w:rPr>
      <w:t>w</w:t>
    </w:r>
    <w:r w:rsidRPr="00A82D7F">
      <w:rPr>
        <w:color w:val="1D5780"/>
        <w:sz w:val="16"/>
      </w:rPr>
      <w:t>mw</w:t>
    </w:r>
    <w:r w:rsidRPr="00A82D7F">
      <w:rPr>
        <w:sz w:val="16"/>
      </w:rPr>
      <w:t>ate</w:t>
    </w:r>
    <w:r w:rsidRPr="00A82D7F">
      <w:rPr>
        <w:spacing w:val="-6"/>
        <w:sz w:val="16"/>
      </w:rPr>
      <w:t>r</w:t>
    </w:r>
    <w:r w:rsidRPr="00A82D7F">
      <w:rPr>
        <w:color w:val="7C8389"/>
        <w:spacing w:val="-21"/>
        <w:sz w:val="16"/>
      </w:rPr>
      <w:t>.</w:t>
    </w:r>
    <w:r w:rsidRPr="00A82D7F">
      <w:rPr>
        <w:sz w:val="16"/>
      </w:rPr>
      <w:t>or</w:t>
    </w:r>
    <w:r w:rsidRPr="00A82D7F">
      <w:rPr>
        <w:spacing w:val="2"/>
        <w:sz w:val="16"/>
      </w:rPr>
      <w:t>g</w:t>
    </w:r>
    <w:r w:rsidRPr="00A82D7F">
      <w:rPr>
        <w:color w:val="626464"/>
        <w:spacing w:val="-18"/>
        <w:sz w:val="16"/>
      </w:rPr>
      <w:t>.</w:t>
    </w:r>
    <w:r w:rsidRPr="00A82D7F">
      <w:rPr>
        <w:sz w:val="16"/>
      </w:rPr>
      <w:t>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F" w:rsidRDefault="00A82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5A" w:rsidRDefault="006D025A" w:rsidP="00A82D7F">
      <w:r>
        <w:separator/>
      </w:r>
    </w:p>
  </w:footnote>
  <w:footnote w:type="continuationSeparator" w:id="0">
    <w:p w:rsidR="006D025A" w:rsidRDefault="006D025A" w:rsidP="00A8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F" w:rsidRDefault="00A82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F" w:rsidRDefault="00A82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F" w:rsidRDefault="00A82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3DB7"/>
    <w:multiLevelType w:val="hybridMultilevel"/>
    <w:tmpl w:val="D16C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746990"/>
    <w:multiLevelType w:val="hybridMultilevel"/>
    <w:tmpl w:val="F5B6E72E"/>
    <w:lvl w:ilvl="0" w:tplc="6756ED72">
      <w:start w:val="1"/>
      <w:numFmt w:val="bullet"/>
      <w:lvlText w:val="•"/>
      <w:lvlJc w:val="left"/>
      <w:pPr>
        <w:ind w:left="641" w:hanging="520"/>
      </w:pPr>
      <w:rPr>
        <w:rFonts w:ascii="Times New Roman" w:eastAsia="Times New Roman" w:hAnsi="Times New Roman" w:hint="default"/>
        <w:color w:val="464646"/>
        <w:w w:val="143"/>
        <w:sz w:val="24"/>
        <w:szCs w:val="24"/>
      </w:rPr>
    </w:lvl>
    <w:lvl w:ilvl="1" w:tplc="BCAED3CC">
      <w:start w:val="1"/>
      <w:numFmt w:val="bullet"/>
      <w:lvlText w:val="•"/>
      <w:lvlJc w:val="left"/>
      <w:pPr>
        <w:ind w:left="2197" w:hanging="530"/>
      </w:pPr>
      <w:rPr>
        <w:rFonts w:ascii="Times New Roman" w:eastAsia="Times New Roman" w:hAnsi="Times New Roman" w:hint="default"/>
        <w:color w:val="3B3B3B"/>
        <w:w w:val="163"/>
        <w:sz w:val="23"/>
        <w:szCs w:val="23"/>
      </w:rPr>
    </w:lvl>
    <w:lvl w:ilvl="2" w:tplc="BA0E27A8">
      <w:start w:val="1"/>
      <w:numFmt w:val="bullet"/>
      <w:lvlText w:val="•"/>
      <w:lvlJc w:val="left"/>
      <w:pPr>
        <w:ind w:left="2946" w:hanging="530"/>
      </w:pPr>
      <w:rPr>
        <w:rFonts w:hint="default"/>
      </w:rPr>
    </w:lvl>
    <w:lvl w:ilvl="3" w:tplc="E3DAC80C">
      <w:start w:val="1"/>
      <w:numFmt w:val="bullet"/>
      <w:lvlText w:val="•"/>
      <w:lvlJc w:val="left"/>
      <w:pPr>
        <w:ind w:left="3695" w:hanging="530"/>
      </w:pPr>
      <w:rPr>
        <w:rFonts w:hint="default"/>
      </w:rPr>
    </w:lvl>
    <w:lvl w:ilvl="4" w:tplc="1248BB66">
      <w:start w:val="1"/>
      <w:numFmt w:val="bullet"/>
      <w:lvlText w:val="•"/>
      <w:lvlJc w:val="left"/>
      <w:pPr>
        <w:ind w:left="4445" w:hanging="530"/>
      </w:pPr>
      <w:rPr>
        <w:rFonts w:hint="default"/>
      </w:rPr>
    </w:lvl>
    <w:lvl w:ilvl="5" w:tplc="CE7AA5C6">
      <w:start w:val="1"/>
      <w:numFmt w:val="bullet"/>
      <w:lvlText w:val="•"/>
      <w:lvlJc w:val="left"/>
      <w:pPr>
        <w:ind w:left="5194" w:hanging="530"/>
      </w:pPr>
      <w:rPr>
        <w:rFonts w:hint="default"/>
      </w:rPr>
    </w:lvl>
    <w:lvl w:ilvl="6" w:tplc="31E45940">
      <w:start w:val="1"/>
      <w:numFmt w:val="bullet"/>
      <w:lvlText w:val="•"/>
      <w:lvlJc w:val="left"/>
      <w:pPr>
        <w:ind w:left="5944" w:hanging="530"/>
      </w:pPr>
      <w:rPr>
        <w:rFonts w:hint="default"/>
      </w:rPr>
    </w:lvl>
    <w:lvl w:ilvl="7" w:tplc="50A06AA2">
      <w:start w:val="1"/>
      <w:numFmt w:val="bullet"/>
      <w:lvlText w:val="•"/>
      <w:lvlJc w:val="left"/>
      <w:pPr>
        <w:ind w:left="6693" w:hanging="530"/>
      </w:pPr>
      <w:rPr>
        <w:rFonts w:hint="default"/>
      </w:rPr>
    </w:lvl>
    <w:lvl w:ilvl="8" w:tplc="65A4C57E">
      <w:start w:val="1"/>
      <w:numFmt w:val="bullet"/>
      <w:lvlText w:val="•"/>
      <w:lvlJc w:val="left"/>
      <w:pPr>
        <w:ind w:left="7442" w:hanging="5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9D"/>
    <w:rsid w:val="000958B1"/>
    <w:rsid w:val="00181C3E"/>
    <w:rsid w:val="002264BB"/>
    <w:rsid w:val="002A78F3"/>
    <w:rsid w:val="002F46BB"/>
    <w:rsid w:val="00310916"/>
    <w:rsid w:val="00534D6E"/>
    <w:rsid w:val="0059643F"/>
    <w:rsid w:val="006D025A"/>
    <w:rsid w:val="007A10A7"/>
    <w:rsid w:val="00894DD9"/>
    <w:rsid w:val="00A554F2"/>
    <w:rsid w:val="00A66278"/>
    <w:rsid w:val="00A82D7F"/>
    <w:rsid w:val="00B51654"/>
    <w:rsid w:val="00BE0F20"/>
    <w:rsid w:val="00C3463C"/>
    <w:rsid w:val="00C72A9D"/>
    <w:rsid w:val="00D51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D7F"/>
    <w:pPr>
      <w:spacing w:after="240" w:line="200" w:lineRule="atLeast"/>
    </w:pPr>
    <w:rPr>
      <w:rFonts w:ascii="Verdana" w:hAnsi="Verdana"/>
      <w:color w:val="2F2F2F"/>
      <w:w w:val="115"/>
      <w:szCs w:val="20"/>
    </w:rPr>
  </w:style>
  <w:style w:type="paragraph" w:styleId="Heading1">
    <w:name w:val="heading 1"/>
    <w:basedOn w:val="Normal"/>
    <w:next w:val="Normal"/>
    <w:link w:val="Heading1Char"/>
    <w:uiPriority w:val="9"/>
    <w:qFormat/>
    <w:rsid w:val="007A10A7"/>
    <w:pPr>
      <w:keepNext/>
      <w:keepLines/>
      <w:spacing w:before="480" w:after="0"/>
      <w:outlineLvl w:val="0"/>
    </w:pPr>
    <w:rPr>
      <w:rFonts w:eastAsiaTheme="majorEastAsia" w:cstheme="majorBidi"/>
      <w:b/>
      <w:bCs/>
      <w:color w:val="auto"/>
      <w:sz w:val="24"/>
      <w:szCs w:val="24"/>
    </w:rPr>
  </w:style>
  <w:style w:type="paragraph" w:styleId="Heading2">
    <w:name w:val="heading 2"/>
    <w:basedOn w:val="Normal"/>
    <w:next w:val="Normal"/>
    <w:link w:val="Heading2Char"/>
    <w:uiPriority w:val="9"/>
    <w:unhideWhenUsed/>
    <w:qFormat/>
    <w:rsid w:val="007A10A7"/>
    <w:pPr>
      <w:keepNext/>
      <w:keepLines/>
      <w:spacing w:before="200" w:after="0"/>
      <w:outlineLvl w:val="1"/>
    </w:pPr>
    <w:rPr>
      <w:rFonts w:eastAsiaTheme="majorEastAsia" w:cstheme="majorBid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78F3"/>
    <w:rPr>
      <w:rFonts w:ascii="Tahoma" w:hAnsi="Tahoma" w:cs="Tahoma"/>
      <w:sz w:val="16"/>
      <w:szCs w:val="16"/>
    </w:rPr>
  </w:style>
  <w:style w:type="character" w:customStyle="1" w:styleId="BalloonTextChar">
    <w:name w:val="Balloon Text Char"/>
    <w:basedOn w:val="DefaultParagraphFont"/>
    <w:link w:val="BalloonText"/>
    <w:uiPriority w:val="99"/>
    <w:semiHidden/>
    <w:rsid w:val="002A78F3"/>
    <w:rPr>
      <w:rFonts w:ascii="Tahoma" w:hAnsi="Tahoma" w:cs="Tahoma"/>
      <w:sz w:val="16"/>
      <w:szCs w:val="16"/>
    </w:rPr>
  </w:style>
  <w:style w:type="paragraph" w:styleId="Header">
    <w:name w:val="header"/>
    <w:basedOn w:val="Normal"/>
    <w:link w:val="HeaderChar"/>
    <w:uiPriority w:val="99"/>
    <w:unhideWhenUsed/>
    <w:rsid w:val="002A78F3"/>
    <w:pPr>
      <w:tabs>
        <w:tab w:val="center" w:pos="4513"/>
        <w:tab w:val="right" w:pos="9026"/>
      </w:tabs>
    </w:pPr>
  </w:style>
  <w:style w:type="character" w:customStyle="1" w:styleId="HeaderChar">
    <w:name w:val="Header Char"/>
    <w:basedOn w:val="DefaultParagraphFont"/>
    <w:link w:val="Header"/>
    <w:uiPriority w:val="99"/>
    <w:rsid w:val="002A78F3"/>
  </w:style>
  <w:style w:type="paragraph" w:styleId="Footer">
    <w:name w:val="footer"/>
    <w:basedOn w:val="Normal"/>
    <w:link w:val="FooterChar"/>
    <w:uiPriority w:val="99"/>
    <w:unhideWhenUsed/>
    <w:rsid w:val="002A78F3"/>
    <w:pPr>
      <w:tabs>
        <w:tab w:val="center" w:pos="4513"/>
        <w:tab w:val="right" w:pos="9026"/>
      </w:tabs>
    </w:pPr>
  </w:style>
  <w:style w:type="character" w:customStyle="1" w:styleId="FooterChar">
    <w:name w:val="Footer Char"/>
    <w:basedOn w:val="DefaultParagraphFont"/>
    <w:link w:val="Footer"/>
    <w:uiPriority w:val="99"/>
    <w:rsid w:val="002A78F3"/>
  </w:style>
  <w:style w:type="character" w:customStyle="1" w:styleId="Heading1Char">
    <w:name w:val="Heading 1 Char"/>
    <w:basedOn w:val="DefaultParagraphFont"/>
    <w:link w:val="Heading1"/>
    <w:uiPriority w:val="9"/>
    <w:rsid w:val="007A10A7"/>
    <w:rPr>
      <w:rFonts w:ascii="Verdana" w:eastAsiaTheme="majorEastAsia" w:hAnsi="Verdana" w:cstheme="majorBidi"/>
      <w:b/>
      <w:bCs/>
      <w:w w:val="115"/>
      <w:sz w:val="24"/>
      <w:szCs w:val="24"/>
    </w:rPr>
  </w:style>
  <w:style w:type="character" w:customStyle="1" w:styleId="Heading2Char">
    <w:name w:val="Heading 2 Char"/>
    <w:basedOn w:val="DefaultParagraphFont"/>
    <w:link w:val="Heading2"/>
    <w:uiPriority w:val="9"/>
    <w:rsid w:val="007A10A7"/>
    <w:rPr>
      <w:rFonts w:ascii="Verdana" w:eastAsiaTheme="majorEastAsia" w:hAnsi="Verdana" w:cstheme="majorBidi"/>
      <w:b/>
      <w:bCs/>
      <w:w w:val="1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D7F"/>
    <w:pPr>
      <w:spacing w:after="240" w:line="200" w:lineRule="atLeast"/>
    </w:pPr>
    <w:rPr>
      <w:rFonts w:ascii="Verdana" w:hAnsi="Verdana"/>
      <w:color w:val="2F2F2F"/>
      <w:w w:val="115"/>
      <w:szCs w:val="20"/>
    </w:rPr>
  </w:style>
  <w:style w:type="paragraph" w:styleId="Heading1">
    <w:name w:val="heading 1"/>
    <w:basedOn w:val="Normal"/>
    <w:next w:val="Normal"/>
    <w:link w:val="Heading1Char"/>
    <w:uiPriority w:val="9"/>
    <w:qFormat/>
    <w:rsid w:val="007A10A7"/>
    <w:pPr>
      <w:keepNext/>
      <w:keepLines/>
      <w:spacing w:before="480" w:after="0"/>
      <w:outlineLvl w:val="0"/>
    </w:pPr>
    <w:rPr>
      <w:rFonts w:eastAsiaTheme="majorEastAsia" w:cstheme="majorBidi"/>
      <w:b/>
      <w:bCs/>
      <w:color w:val="auto"/>
      <w:sz w:val="24"/>
      <w:szCs w:val="24"/>
    </w:rPr>
  </w:style>
  <w:style w:type="paragraph" w:styleId="Heading2">
    <w:name w:val="heading 2"/>
    <w:basedOn w:val="Normal"/>
    <w:next w:val="Normal"/>
    <w:link w:val="Heading2Char"/>
    <w:uiPriority w:val="9"/>
    <w:unhideWhenUsed/>
    <w:qFormat/>
    <w:rsid w:val="007A10A7"/>
    <w:pPr>
      <w:keepNext/>
      <w:keepLines/>
      <w:spacing w:before="200" w:after="0"/>
      <w:outlineLvl w:val="1"/>
    </w:pPr>
    <w:rPr>
      <w:rFonts w:eastAsiaTheme="majorEastAsia" w:cstheme="majorBid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78F3"/>
    <w:rPr>
      <w:rFonts w:ascii="Tahoma" w:hAnsi="Tahoma" w:cs="Tahoma"/>
      <w:sz w:val="16"/>
      <w:szCs w:val="16"/>
    </w:rPr>
  </w:style>
  <w:style w:type="character" w:customStyle="1" w:styleId="BalloonTextChar">
    <w:name w:val="Balloon Text Char"/>
    <w:basedOn w:val="DefaultParagraphFont"/>
    <w:link w:val="BalloonText"/>
    <w:uiPriority w:val="99"/>
    <w:semiHidden/>
    <w:rsid w:val="002A78F3"/>
    <w:rPr>
      <w:rFonts w:ascii="Tahoma" w:hAnsi="Tahoma" w:cs="Tahoma"/>
      <w:sz w:val="16"/>
      <w:szCs w:val="16"/>
    </w:rPr>
  </w:style>
  <w:style w:type="paragraph" w:styleId="Header">
    <w:name w:val="header"/>
    <w:basedOn w:val="Normal"/>
    <w:link w:val="HeaderChar"/>
    <w:uiPriority w:val="99"/>
    <w:unhideWhenUsed/>
    <w:rsid w:val="002A78F3"/>
    <w:pPr>
      <w:tabs>
        <w:tab w:val="center" w:pos="4513"/>
        <w:tab w:val="right" w:pos="9026"/>
      </w:tabs>
    </w:pPr>
  </w:style>
  <w:style w:type="character" w:customStyle="1" w:styleId="HeaderChar">
    <w:name w:val="Header Char"/>
    <w:basedOn w:val="DefaultParagraphFont"/>
    <w:link w:val="Header"/>
    <w:uiPriority w:val="99"/>
    <w:rsid w:val="002A78F3"/>
  </w:style>
  <w:style w:type="paragraph" w:styleId="Footer">
    <w:name w:val="footer"/>
    <w:basedOn w:val="Normal"/>
    <w:link w:val="FooterChar"/>
    <w:uiPriority w:val="99"/>
    <w:unhideWhenUsed/>
    <w:rsid w:val="002A78F3"/>
    <w:pPr>
      <w:tabs>
        <w:tab w:val="center" w:pos="4513"/>
        <w:tab w:val="right" w:pos="9026"/>
      </w:tabs>
    </w:pPr>
  </w:style>
  <w:style w:type="character" w:customStyle="1" w:styleId="FooterChar">
    <w:name w:val="Footer Char"/>
    <w:basedOn w:val="DefaultParagraphFont"/>
    <w:link w:val="Footer"/>
    <w:uiPriority w:val="99"/>
    <w:rsid w:val="002A78F3"/>
  </w:style>
  <w:style w:type="character" w:customStyle="1" w:styleId="Heading1Char">
    <w:name w:val="Heading 1 Char"/>
    <w:basedOn w:val="DefaultParagraphFont"/>
    <w:link w:val="Heading1"/>
    <w:uiPriority w:val="9"/>
    <w:rsid w:val="007A10A7"/>
    <w:rPr>
      <w:rFonts w:ascii="Verdana" w:eastAsiaTheme="majorEastAsia" w:hAnsi="Verdana" w:cstheme="majorBidi"/>
      <w:b/>
      <w:bCs/>
      <w:w w:val="115"/>
      <w:sz w:val="24"/>
      <w:szCs w:val="24"/>
    </w:rPr>
  </w:style>
  <w:style w:type="character" w:customStyle="1" w:styleId="Heading2Char">
    <w:name w:val="Heading 2 Char"/>
    <w:basedOn w:val="DefaultParagraphFont"/>
    <w:link w:val="Heading2"/>
    <w:uiPriority w:val="9"/>
    <w:rsid w:val="007A10A7"/>
    <w:rPr>
      <w:rFonts w:ascii="Verdana" w:eastAsiaTheme="majorEastAsia" w:hAnsi="Verdana" w:cstheme="majorBidi"/>
      <w:b/>
      <w:bCs/>
      <w:w w:val="1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3</cp:revision>
  <cp:lastPrinted>2015-05-14T07:47:00Z</cp:lastPrinted>
  <dcterms:created xsi:type="dcterms:W3CDTF">2015-05-07T05:28:00Z</dcterms:created>
  <dcterms:modified xsi:type="dcterms:W3CDTF">2015-05-14T07:47:00Z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LastSaved">
    <vt:filetime>2015-05-04T00:00:00Z</vt:filetime>
  </property>
  <property fmtid="{D5CDD505-2E9C-101B-9397-08002B2CF9AE}" pid="4" name="TitusGUID">
    <vt:lpwstr>849aaea6-6352-40c4-b3b4-7633f74e4a21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