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98" w:rsidRPr="004F49CC" w:rsidRDefault="00846498" w:rsidP="004F49CC">
      <w:pPr>
        <w:pStyle w:val="Heading1"/>
      </w:pPr>
      <w:r w:rsidRPr="004F49CC">
        <w:t>Australian Sustainable Hardwoods</w:t>
      </w:r>
    </w:p>
    <w:p w:rsidR="00846498" w:rsidRPr="00846498" w:rsidRDefault="00BA7C86" w:rsidP="00846498">
      <w:pPr>
        <w:autoSpaceDE w:val="0"/>
        <w:autoSpaceDN w:val="0"/>
        <w:adjustRightInd w:val="0"/>
        <w:spacing w:before="240" w:line="240" w:lineRule="auto"/>
        <w:rPr>
          <w:rFonts w:ascii="Arial" w:hAnsi="Arial" w:cs="Arial"/>
          <w:sz w:val="24"/>
          <w:szCs w:val="24"/>
        </w:rPr>
      </w:pPr>
      <w:r w:rsidRPr="00846498">
        <w:rPr>
          <w:rFonts w:ascii="Arial" w:hAnsi="Arial" w:cs="Arial"/>
          <w:sz w:val="20"/>
          <w:szCs w:val="20"/>
        </w:rPr>
        <w:t>Growth in Regional job opportunities for Australian Sustainable Hardwoods involves the removal of impediments to investment.</w:t>
      </w:r>
      <w:r w:rsidRPr="00846498">
        <w:rPr>
          <w:rFonts w:ascii="Arial" w:hAnsi="Arial" w:cs="Arial"/>
          <w:sz w:val="24"/>
          <w:szCs w:val="24"/>
        </w:rPr>
        <w:t xml:space="preserve"> </w:t>
      </w:r>
    </w:p>
    <w:p w:rsidR="00846498" w:rsidRPr="00846498" w:rsidRDefault="00BA7C86" w:rsidP="00846498">
      <w:pPr>
        <w:autoSpaceDE w:val="0"/>
        <w:autoSpaceDN w:val="0"/>
        <w:adjustRightInd w:val="0"/>
        <w:spacing w:before="240" w:line="240" w:lineRule="auto"/>
        <w:rPr>
          <w:rFonts w:ascii="Arial" w:hAnsi="Arial" w:cs="Arial"/>
          <w:sz w:val="24"/>
          <w:szCs w:val="24"/>
        </w:rPr>
      </w:pPr>
      <w:r w:rsidRPr="00846498">
        <w:rPr>
          <w:rFonts w:ascii="Arial" w:hAnsi="Arial" w:cs="Arial"/>
          <w:sz w:val="20"/>
          <w:szCs w:val="20"/>
        </w:rPr>
        <w:t>As a summary there are a number of impediments to the Australian Sustainable Hardwoods (ASH) under taking major investment that would both boost economic activity and employment.</w:t>
      </w:r>
      <w:r w:rsidRPr="00846498">
        <w:rPr>
          <w:rFonts w:ascii="Arial" w:hAnsi="Arial" w:cs="Arial"/>
          <w:sz w:val="24"/>
          <w:szCs w:val="24"/>
        </w:rPr>
        <w:t xml:space="preserve"> </w:t>
      </w:r>
    </w:p>
    <w:p w:rsidR="00846498" w:rsidRPr="00846498" w:rsidRDefault="00BA7C86" w:rsidP="00846498">
      <w:pPr>
        <w:pStyle w:val="ListParagraph"/>
        <w:numPr>
          <w:ilvl w:val="0"/>
          <w:numId w:val="1"/>
        </w:numPr>
        <w:autoSpaceDE w:val="0"/>
        <w:autoSpaceDN w:val="0"/>
        <w:adjustRightInd w:val="0"/>
        <w:spacing w:before="240" w:line="240" w:lineRule="auto"/>
        <w:rPr>
          <w:rFonts w:ascii="Arial" w:hAnsi="Arial" w:cs="Arial"/>
          <w:sz w:val="20"/>
          <w:szCs w:val="20"/>
        </w:rPr>
      </w:pPr>
      <w:r w:rsidRPr="00846498">
        <w:rPr>
          <w:rFonts w:ascii="Arial" w:hAnsi="Arial" w:cs="Arial"/>
          <w:sz w:val="20"/>
          <w:szCs w:val="20"/>
        </w:rPr>
        <w:t>Security to invest. As we discussed in Heyfield, the ASH business is at risk of having the sawlog supply reduced or stopped through decisions of State Governments. This is a long recognised issue with a solution that is 95 per cent implemented. The last piece o</w:t>
      </w:r>
      <w:r w:rsidR="005A5FBD">
        <w:rPr>
          <w:rFonts w:ascii="Arial" w:hAnsi="Arial" w:cs="Arial"/>
          <w:sz w:val="20"/>
          <w:szCs w:val="20"/>
        </w:rPr>
        <w:t>f the jigsaw is for the Treasury</w:t>
      </w:r>
      <w:bookmarkStart w:id="0" w:name="_GoBack"/>
      <w:bookmarkEnd w:id="0"/>
      <w:r w:rsidRPr="00846498">
        <w:rPr>
          <w:rFonts w:ascii="Arial" w:hAnsi="Arial" w:cs="Arial"/>
          <w:sz w:val="20"/>
          <w:szCs w:val="20"/>
        </w:rPr>
        <w:t xml:space="preserve"> to sign off on the indemnity that would allow compensation to be payable in the event an act of Government reduces or stops supply.</w:t>
      </w:r>
    </w:p>
    <w:p w:rsidR="00846498" w:rsidRPr="00846498" w:rsidRDefault="00BA7C86" w:rsidP="00846498">
      <w:pPr>
        <w:pStyle w:val="ListParagraph"/>
        <w:numPr>
          <w:ilvl w:val="0"/>
          <w:numId w:val="1"/>
        </w:numPr>
        <w:autoSpaceDE w:val="0"/>
        <w:autoSpaceDN w:val="0"/>
        <w:adjustRightInd w:val="0"/>
        <w:spacing w:before="240" w:line="240" w:lineRule="auto"/>
        <w:rPr>
          <w:rFonts w:ascii="Arial" w:hAnsi="Arial" w:cs="Arial"/>
          <w:sz w:val="24"/>
          <w:szCs w:val="24"/>
        </w:rPr>
      </w:pPr>
      <w:r w:rsidRPr="00846498">
        <w:rPr>
          <w:rFonts w:ascii="Arial" w:hAnsi="Arial" w:cs="Arial"/>
          <w:sz w:val="20"/>
          <w:szCs w:val="20"/>
        </w:rPr>
        <w:t xml:space="preserve">Purchasing Policy. We still have the frustration of Governments (3 tiers)  purchasing imported timber at a higher price and lower grade for Government projects. I think this is partly knowledge and partly care factor. If the local product is comparable on quality and price, surely it should be favoured over imported produced </w:t>
      </w:r>
    </w:p>
    <w:p w:rsidR="00846498" w:rsidRPr="00846498" w:rsidRDefault="00BA7C86" w:rsidP="00846498">
      <w:pPr>
        <w:pStyle w:val="ListParagraph"/>
        <w:numPr>
          <w:ilvl w:val="0"/>
          <w:numId w:val="1"/>
        </w:numPr>
        <w:autoSpaceDE w:val="0"/>
        <w:autoSpaceDN w:val="0"/>
        <w:adjustRightInd w:val="0"/>
        <w:spacing w:before="240" w:line="240" w:lineRule="auto"/>
        <w:rPr>
          <w:rFonts w:ascii="Arial" w:hAnsi="Arial" w:cs="Arial"/>
          <w:color w:val="000000"/>
          <w:sz w:val="24"/>
          <w:szCs w:val="24"/>
        </w:rPr>
      </w:pPr>
      <w:r w:rsidRPr="00846498">
        <w:rPr>
          <w:rFonts w:ascii="Arial" w:hAnsi="Arial" w:cs="Arial"/>
          <w:sz w:val="20"/>
          <w:szCs w:val="20"/>
        </w:rPr>
        <w:t>When RDV partners with a business through providing a proportion of the investment capital, the project (and the benefits of the project) are generally brought forward. Reducing the availability of these partnering opportunities would be an impediment to major investment opportunities.</w:t>
      </w:r>
      <w:r w:rsidRPr="00846498">
        <w:rPr>
          <w:rFonts w:ascii="Arial" w:hAnsi="Arial" w:cs="Arial"/>
          <w:sz w:val="24"/>
          <w:szCs w:val="24"/>
        </w:rPr>
        <w:t xml:space="preserve"> </w:t>
      </w:r>
    </w:p>
    <w:p w:rsidR="00846498" w:rsidRPr="00846498" w:rsidRDefault="00BA7C86" w:rsidP="00846498">
      <w:pPr>
        <w:pStyle w:val="ListParagraph"/>
        <w:numPr>
          <w:ilvl w:val="0"/>
          <w:numId w:val="1"/>
        </w:numPr>
        <w:autoSpaceDE w:val="0"/>
        <w:autoSpaceDN w:val="0"/>
        <w:adjustRightInd w:val="0"/>
        <w:spacing w:before="240" w:line="240" w:lineRule="auto"/>
        <w:rPr>
          <w:rFonts w:ascii="Arial" w:hAnsi="Arial" w:cs="Arial"/>
          <w:color w:val="000000"/>
          <w:sz w:val="24"/>
          <w:szCs w:val="24"/>
        </w:rPr>
      </w:pPr>
      <w:r w:rsidRPr="00846498">
        <w:rPr>
          <w:rFonts w:ascii="Arial" w:hAnsi="Arial" w:cs="Arial"/>
          <w:sz w:val="20"/>
          <w:szCs w:val="20"/>
        </w:rPr>
        <w:t>Availability of PLC engineers. The root cause of this issues is the availability of Regionally based PLC engineering programs.</w:t>
      </w:r>
      <w:r w:rsidRPr="00846498">
        <w:rPr>
          <w:rFonts w:ascii="Arial" w:hAnsi="Arial" w:cs="Arial"/>
          <w:sz w:val="24"/>
          <w:szCs w:val="24"/>
        </w:rPr>
        <w:t xml:space="preserve"> </w:t>
      </w:r>
    </w:p>
    <w:p w:rsidR="00BA7C86" w:rsidRPr="00846498" w:rsidRDefault="00BA7C86" w:rsidP="00846498">
      <w:pPr>
        <w:autoSpaceDE w:val="0"/>
        <w:autoSpaceDN w:val="0"/>
        <w:adjustRightInd w:val="0"/>
        <w:spacing w:before="240" w:line="240" w:lineRule="auto"/>
        <w:ind w:left="360"/>
        <w:rPr>
          <w:rFonts w:ascii="Tms Rmn" w:hAnsi="Tms Rmn" w:cs="Tms Rmn"/>
          <w:color w:val="000000"/>
          <w:sz w:val="24"/>
          <w:szCs w:val="24"/>
        </w:rPr>
      </w:pPr>
      <w:r w:rsidRPr="00846498">
        <w:rPr>
          <w:rFonts w:ascii="Arial" w:hAnsi="Arial" w:cs="Arial"/>
          <w:sz w:val="20"/>
          <w:szCs w:val="20"/>
        </w:rPr>
        <w:t>Please note from your visit to ASH on February 5, 2015, I had written a note that RDV was to send through a tool kit of available support programs</w:t>
      </w:r>
      <w:r w:rsidR="00846498" w:rsidRPr="00846498">
        <w:rPr>
          <w:rFonts w:ascii="Arial" w:hAnsi="Arial" w:cs="Arial"/>
          <w:sz w:val="20"/>
          <w:szCs w:val="20"/>
        </w:rPr>
        <w:t>.</w:t>
      </w:r>
    </w:p>
    <w:p w:rsidR="00846498" w:rsidRPr="00846498" w:rsidRDefault="00846498" w:rsidP="00846498">
      <w:pPr>
        <w:autoSpaceDE w:val="0"/>
        <w:autoSpaceDN w:val="0"/>
        <w:adjustRightInd w:val="0"/>
        <w:spacing w:before="240" w:line="240" w:lineRule="auto"/>
        <w:rPr>
          <w:rFonts w:ascii="Arial" w:hAnsi="Arial" w:cs="Arial"/>
          <w:color w:val="000000"/>
          <w:sz w:val="20"/>
          <w:szCs w:val="20"/>
        </w:rPr>
      </w:pPr>
      <w:r w:rsidRPr="00846498">
        <w:rPr>
          <w:rFonts w:ascii="Arial" w:hAnsi="Arial" w:cs="Arial"/>
          <w:color w:val="000000"/>
          <w:sz w:val="20"/>
          <w:szCs w:val="20"/>
        </w:rPr>
        <w:t>Vince Hurley</w:t>
      </w:r>
    </w:p>
    <w:p w:rsidR="00846498" w:rsidRDefault="00846498" w:rsidP="00846498">
      <w:pPr>
        <w:autoSpaceDE w:val="0"/>
        <w:autoSpaceDN w:val="0"/>
        <w:adjustRightInd w:val="0"/>
        <w:spacing w:before="240" w:line="240" w:lineRule="auto"/>
        <w:rPr>
          <w:rFonts w:ascii="Arial" w:hAnsi="Arial" w:cs="Arial"/>
          <w:color w:val="000000"/>
          <w:sz w:val="20"/>
          <w:szCs w:val="20"/>
        </w:rPr>
      </w:pPr>
      <w:r w:rsidRPr="00846498">
        <w:rPr>
          <w:rFonts w:ascii="Arial" w:hAnsi="Arial" w:cs="Arial"/>
          <w:color w:val="000000"/>
          <w:sz w:val="20"/>
          <w:szCs w:val="20"/>
        </w:rPr>
        <w:t>Chief Executive Officer</w:t>
      </w:r>
    </w:p>
    <w:sectPr w:rsidR="008464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C86" w:rsidRDefault="00BA7C86" w:rsidP="00BA7C86">
      <w:pPr>
        <w:spacing w:after="0" w:line="240" w:lineRule="auto"/>
      </w:pPr>
      <w:r>
        <w:separator/>
      </w:r>
    </w:p>
  </w:endnote>
  <w:endnote w:type="continuationSeparator" w:id="0">
    <w:p w:rsidR="00BA7C86" w:rsidRDefault="00BA7C86" w:rsidP="00BA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86" w:rsidRDefault="00EE284F" w:rsidP="00EE284F">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BA7C86" w:rsidRDefault="00BA7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9B" w:rsidRDefault="00EE284F" w:rsidP="00EE284F">
    <w:pPr>
      <w:spacing w:after="0" w:line="240" w:lineRule="auto"/>
      <w:jc w:val="center"/>
      <w:rPr>
        <w:rFonts w:ascii="Arial" w:hAnsi="Arial" w:cs="Arial"/>
        <w:color w:val="000000"/>
        <w:sz w:val="18"/>
        <w:szCs w:val="16"/>
      </w:rPr>
    </w:pPr>
    <w:bookmarkStart w:id="4" w:name="aliashAdvancedHeaderFooter1FooterPrimary"/>
    <w:r>
      <w:rPr>
        <w:rFonts w:ascii="Arial" w:hAnsi="Arial" w:cs="Arial"/>
        <w:color w:val="000000"/>
        <w:sz w:val="18"/>
        <w:szCs w:val="16"/>
      </w:rPr>
      <w:t>UNCLASSIFIED</w:t>
    </w:r>
  </w:p>
  <w:bookmarkEnd w:id="4"/>
  <w:p w:rsidR="00B036EC" w:rsidRDefault="00B036EC" w:rsidP="00B036EC">
    <w:pPr>
      <w:spacing w:after="0" w:line="240" w:lineRule="auto"/>
      <w:jc w:val="center"/>
      <w:rPr>
        <w:rFonts w:ascii="Arial" w:hAnsi="Arial" w:cs="Arial"/>
        <w:color w:val="004080"/>
        <w:sz w:val="16"/>
        <w:szCs w:val="16"/>
      </w:rPr>
    </w:pPr>
    <w:r>
      <w:rPr>
        <w:rFonts w:ascii="Arial" w:hAnsi="Arial" w:cs="Arial"/>
        <w:color w:val="004080"/>
        <w:sz w:val="16"/>
        <w:szCs w:val="16"/>
      </w:rPr>
      <w:t>PO Box 268 Heyfield Victoria 3858, Weir Road Heyfield Victoria 3858, Australia</w:t>
    </w:r>
  </w:p>
  <w:p w:rsidR="00B036EC" w:rsidRDefault="005A5FBD" w:rsidP="00B036EC">
    <w:pPr>
      <w:spacing w:after="0" w:line="240" w:lineRule="auto"/>
      <w:jc w:val="center"/>
    </w:pPr>
    <w:hyperlink r:id="rId1" w:history="1">
      <w:r w:rsidR="00B036EC">
        <w:rPr>
          <w:rFonts w:ascii="Arial" w:hAnsi="Arial" w:cs="Arial"/>
          <w:color w:val="004080"/>
          <w:sz w:val="16"/>
          <w:szCs w:val="16"/>
          <w:u w:val="single"/>
        </w:rPr>
        <w:t>www.vicash.com.au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86" w:rsidRDefault="00EE284F" w:rsidP="00EE284F">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BA7C86" w:rsidRDefault="00BA7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C86" w:rsidRDefault="00BA7C86" w:rsidP="00BA7C86">
      <w:pPr>
        <w:spacing w:after="0" w:line="240" w:lineRule="auto"/>
      </w:pPr>
      <w:r>
        <w:separator/>
      </w:r>
    </w:p>
  </w:footnote>
  <w:footnote w:type="continuationSeparator" w:id="0">
    <w:p w:rsidR="00BA7C86" w:rsidRDefault="00BA7C86" w:rsidP="00BA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86" w:rsidRDefault="00EE284F" w:rsidP="00EE284F">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BA7C86" w:rsidRDefault="00BA7C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86" w:rsidRDefault="00EE284F" w:rsidP="00EE284F">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BA7C86" w:rsidRDefault="00BA7C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86" w:rsidRDefault="00EE284F" w:rsidP="00EE284F">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BA7C86" w:rsidRDefault="00BA7C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E1EA1"/>
    <w:multiLevelType w:val="hybridMultilevel"/>
    <w:tmpl w:val="9076977E"/>
    <w:lvl w:ilvl="0" w:tplc="5AE8DBFE">
      <w:start w:val="1"/>
      <w:numFmt w:val="decimal"/>
      <w:lvlText w:val="%1."/>
      <w:lvlJc w:val="left"/>
      <w:pPr>
        <w:ind w:left="825" w:hanging="465"/>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86"/>
    <w:rsid w:val="00287445"/>
    <w:rsid w:val="004135C9"/>
    <w:rsid w:val="004633C6"/>
    <w:rsid w:val="004F49CC"/>
    <w:rsid w:val="005A5FBD"/>
    <w:rsid w:val="005E4E9B"/>
    <w:rsid w:val="00696BBE"/>
    <w:rsid w:val="007F6B21"/>
    <w:rsid w:val="00846498"/>
    <w:rsid w:val="00946095"/>
    <w:rsid w:val="009D62C6"/>
    <w:rsid w:val="00A910CF"/>
    <w:rsid w:val="00B036EC"/>
    <w:rsid w:val="00BA7C86"/>
    <w:rsid w:val="00BC6E6A"/>
    <w:rsid w:val="00D659D7"/>
    <w:rsid w:val="00E57F35"/>
    <w:rsid w:val="00EE284F"/>
    <w:rsid w:val="00F94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9CC"/>
    <w:pPr>
      <w:keepNext/>
      <w:keepLines/>
      <w:spacing w:before="480" w:after="0"/>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C86"/>
  </w:style>
  <w:style w:type="paragraph" w:styleId="Footer">
    <w:name w:val="footer"/>
    <w:basedOn w:val="Normal"/>
    <w:link w:val="FooterChar"/>
    <w:uiPriority w:val="99"/>
    <w:unhideWhenUsed/>
    <w:rsid w:val="00BA7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C86"/>
  </w:style>
  <w:style w:type="paragraph" w:styleId="BalloonText">
    <w:name w:val="Balloon Text"/>
    <w:basedOn w:val="Normal"/>
    <w:link w:val="BalloonTextChar"/>
    <w:uiPriority w:val="99"/>
    <w:semiHidden/>
    <w:unhideWhenUsed/>
    <w:rsid w:val="00BA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86"/>
    <w:rPr>
      <w:rFonts w:ascii="Tahoma" w:hAnsi="Tahoma" w:cs="Tahoma"/>
      <w:sz w:val="16"/>
      <w:szCs w:val="16"/>
    </w:rPr>
  </w:style>
  <w:style w:type="paragraph" w:styleId="ListParagraph">
    <w:name w:val="List Paragraph"/>
    <w:basedOn w:val="Normal"/>
    <w:uiPriority w:val="34"/>
    <w:qFormat/>
    <w:rsid w:val="00846498"/>
    <w:pPr>
      <w:ind w:left="720"/>
      <w:contextualSpacing/>
    </w:pPr>
  </w:style>
  <w:style w:type="character" w:customStyle="1" w:styleId="Heading1Char">
    <w:name w:val="Heading 1 Char"/>
    <w:basedOn w:val="DefaultParagraphFont"/>
    <w:link w:val="Heading1"/>
    <w:uiPriority w:val="9"/>
    <w:rsid w:val="004F49CC"/>
    <w:rPr>
      <w:rFonts w:ascii="Arial" w:eastAsiaTheme="majorEastAsia"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9CC"/>
    <w:pPr>
      <w:keepNext/>
      <w:keepLines/>
      <w:spacing w:before="480" w:after="0"/>
      <w:outlineLvl w:val="0"/>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C86"/>
  </w:style>
  <w:style w:type="paragraph" w:styleId="Footer">
    <w:name w:val="footer"/>
    <w:basedOn w:val="Normal"/>
    <w:link w:val="FooterChar"/>
    <w:uiPriority w:val="99"/>
    <w:unhideWhenUsed/>
    <w:rsid w:val="00BA7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C86"/>
  </w:style>
  <w:style w:type="paragraph" w:styleId="BalloonText">
    <w:name w:val="Balloon Text"/>
    <w:basedOn w:val="Normal"/>
    <w:link w:val="BalloonTextChar"/>
    <w:uiPriority w:val="99"/>
    <w:semiHidden/>
    <w:unhideWhenUsed/>
    <w:rsid w:val="00BA7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86"/>
    <w:rPr>
      <w:rFonts w:ascii="Tahoma" w:hAnsi="Tahoma" w:cs="Tahoma"/>
      <w:sz w:val="16"/>
      <w:szCs w:val="16"/>
    </w:rPr>
  </w:style>
  <w:style w:type="paragraph" w:styleId="ListParagraph">
    <w:name w:val="List Paragraph"/>
    <w:basedOn w:val="Normal"/>
    <w:uiPriority w:val="34"/>
    <w:qFormat/>
    <w:rsid w:val="00846498"/>
    <w:pPr>
      <w:ind w:left="720"/>
      <w:contextualSpacing/>
    </w:pPr>
  </w:style>
  <w:style w:type="character" w:customStyle="1" w:styleId="Heading1Char">
    <w:name w:val="Heading 1 Char"/>
    <w:basedOn w:val="DefaultParagraphFont"/>
    <w:link w:val="Heading1"/>
    <w:uiPriority w:val="9"/>
    <w:rsid w:val="004F49CC"/>
    <w:rPr>
      <w:rFonts w:ascii="Arial" w:eastAsiaTheme="maj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icash.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7</cp:revision>
  <dcterms:created xsi:type="dcterms:W3CDTF">2015-05-11T07:41:00Z</dcterms:created>
  <dcterms:modified xsi:type="dcterms:W3CDTF">2015-05-15T00:50:00Z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79c88be5-e9c8-4566-9b16-e919ef700628</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