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14E" w:rsidRDefault="00DB382E">
      <w:pPr>
        <w:spacing w:line="200" w:lineRule="atLeast"/>
        <w:ind w:left="568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AU" w:eastAsia="en-AU"/>
        </w:rPr>
        <w:drawing>
          <wp:inline distT="0" distB="0" distL="0" distR="0">
            <wp:extent cx="2615507" cy="1182624"/>
            <wp:effectExtent l="0" t="0" r="0" b="0"/>
            <wp:docPr id="1" name="image1.jpeg" title="Logo for Grampians Tourism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615507" cy="1182624"/>
                    </a:xfrm>
                    <a:prstGeom prst="rect">
                      <a:avLst/>
                    </a:prstGeom>
                  </pic:spPr>
                </pic:pic>
              </a:graphicData>
            </a:graphic>
          </wp:inline>
        </w:drawing>
      </w:r>
    </w:p>
    <w:p w:rsidR="00F1514E" w:rsidRPr="000D0C2A" w:rsidRDefault="000D0C2A" w:rsidP="000D0C2A">
      <w:pPr>
        <w:spacing w:before="51" w:after="240" w:line="276" w:lineRule="auto"/>
        <w:ind w:left="403" w:right="1021"/>
        <w:jc w:val="center"/>
        <w:rPr>
          <w:rFonts w:eastAsia="Calibri" w:cs="Calibri"/>
          <w:sz w:val="24"/>
          <w:szCs w:val="24"/>
        </w:rPr>
      </w:pPr>
      <w:r w:rsidRPr="000D0C2A">
        <w:rPr>
          <w:b/>
          <w:spacing w:val="-1"/>
          <w:sz w:val="24"/>
        </w:rPr>
        <w:t>Review</w:t>
      </w:r>
      <w:r w:rsidR="00DB382E" w:rsidRPr="000D0C2A">
        <w:rPr>
          <w:b/>
          <w:spacing w:val="-4"/>
          <w:sz w:val="24"/>
        </w:rPr>
        <w:t xml:space="preserve"> </w:t>
      </w:r>
      <w:r w:rsidRPr="000D0C2A">
        <w:rPr>
          <w:b/>
          <w:spacing w:val="-1"/>
          <w:sz w:val="24"/>
        </w:rPr>
        <w:t>of</w:t>
      </w:r>
      <w:r w:rsidR="00DB382E" w:rsidRPr="000D0C2A">
        <w:rPr>
          <w:b/>
          <w:spacing w:val="-3"/>
          <w:sz w:val="24"/>
        </w:rPr>
        <w:t xml:space="preserve"> </w:t>
      </w:r>
      <w:r w:rsidRPr="000D0C2A">
        <w:rPr>
          <w:b/>
          <w:spacing w:val="-1"/>
          <w:sz w:val="24"/>
        </w:rPr>
        <w:t>the</w:t>
      </w:r>
      <w:r w:rsidR="00DB382E" w:rsidRPr="000D0C2A">
        <w:rPr>
          <w:b/>
          <w:spacing w:val="-3"/>
          <w:sz w:val="24"/>
        </w:rPr>
        <w:t xml:space="preserve"> </w:t>
      </w:r>
      <w:r w:rsidRPr="000D0C2A">
        <w:rPr>
          <w:b/>
          <w:spacing w:val="-1"/>
          <w:sz w:val="24"/>
        </w:rPr>
        <w:t>Department</w:t>
      </w:r>
      <w:r w:rsidR="00DB382E" w:rsidRPr="000D0C2A">
        <w:rPr>
          <w:b/>
          <w:spacing w:val="-2"/>
          <w:sz w:val="24"/>
        </w:rPr>
        <w:t xml:space="preserve"> </w:t>
      </w:r>
      <w:r w:rsidRPr="000D0C2A">
        <w:rPr>
          <w:b/>
          <w:sz w:val="24"/>
        </w:rPr>
        <w:t>of</w:t>
      </w:r>
      <w:r w:rsidR="00DB382E" w:rsidRPr="000D0C2A">
        <w:rPr>
          <w:b/>
          <w:spacing w:val="-5"/>
          <w:sz w:val="24"/>
        </w:rPr>
        <w:t xml:space="preserve"> </w:t>
      </w:r>
      <w:r w:rsidRPr="000D0C2A">
        <w:rPr>
          <w:b/>
          <w:spacing w:val="-1"/>
          <w:sz w:val="24"/>
        </w:rPr>
        <w:t>Economic</w:t>
      </w:r>
      <w:r w:rsidR="00DB382E" w:rsidRPr="000D0C2A">
        <w:rPr>
          <w:b/>
          <w:spacing w:val="-3"/>
          <w:sz w:val="24"/>
        </w:rPr>
        <w:t xml:space="preserve"> </w:t>
      </w:r>
      <w:r w:rsidRPr="000D0C2A">
        <w:rPr>
          <w:b/>
          <w:spacing w:val="-1"/>
          <w:sz w:val="24"/>
        </w:rPr>
        <w:t>Development,</w:t>
      </w:r>
      <w:r w:rsidR="00DB382E" w:rsidRPr="000D0C2A">
        <w:rPr>
          <w:b/>
          <w:spacing w:val="-4"/>
          <w:sz w:val="24"/>
        </w:rPr>
        <w:t xml:space="preserve"> </w:t>
      </w:r>
      <w:r w:rsidRPr="000D0C2A">
        <w:rPr>
          <w:b/>
          <w:spacing w:val="-1"/>
          <w:sz w:val="24"/>
        </w:rPr>
        <w:t>Jobs,</w:t>
      </w:r>
      <w:r w:rsidR="00DB382E" w:rsidRPr="000D0C2A">
        <w:rPr>
          <w:b/>
          <w:spacing w:val="-4"/>
          <w:sz w:val="24"/>
        </w:rPr>
        <w:t xml:space="preserve"> </w:t>
      </w:r>
      <w:r w:rsidRPr="000D0C2A">
        <w:rPr>
          <w:b/>
          <w:spacing w:val="-1"/>
          <w:sz w:val="24"/>
        </w:rPr>
        <w:t>Transport</w:t>
      </w:r>
      <w:r w:rsidR="00DB382E" w:rsidRPr="000D0C2A">
        <w:rPr>
          <w:b/>
          <w:spacing w:val="-23"/>
          <w:sz w:val="24"/>
        </w:rPr>
        <w:t xml:space="preserve"> </w:t>
      </w:r>
      <w:r w:rsidRPr="000D0C2A">
        <w:rPr>
          <w:b/>
          <w:sz w:val="24"/>
        </w:rPr>
        <w:t>and</w:t>
      </w:r>
      <w:r w:rsidR="00DB382E" w:rsidRPr="000D0C2A">
        <w:rPr>
          <w:b/>
          <w:spacing w:val="51"/>
          <w:sz w:val="24"/>
        </w:rPr>
        <w:t xml:space="preserve"> </w:t>
      </w:r>
      <w:r w:rsidRPr="000D0C2A">
        <w:rPr>
          <w:b/>
          <w:spacing w:val="-1"/>
          <w:sz w:val="24"/>
        </w:rPr>
        <w:t>Resources</w:t>
      </w:r>
      <w:r w:rsidR="00DB382E" w:rsidRPr="000D0C2A">
        <w:rPr>
          <w:b/>
          <w:spacing w:val="-6"/>
          <w:sz w:val="24"/>
        </w:rPr>
        <w:t xml:space="preserve"> </w:t>
      </w:r>
      <w:r w:rsidRPr="000D0C2A">
        <w:rPr>
          <w:b/>
          <w:spacing w:val="-1"/>
          <w:sz w:val="24"/>
        </w:rPr>
        <w:t>(DEDJTR)</w:t>
      </w:r>
      <w:r w:rsidR="00DB382E" w:rsidRPr="000D0C2A">
        <w:rPr>
          <w:b/>
          <w:spacing w:val="-6"/>
          <w:sz w:val="24"/>
        </w:rPr>
        <w:t xml:space="preserve"> </w:t>
      </w:r>
      <w:r w:rsidRPr="000D0C2A">
        <w:rPr>
          <w:b/>
          <w:spacing w:val="-1"/>
          <w:sz w:val="24"/>
        </w:rPr>
        <w:t>Regional</w:t>
      </w:r>
      <w:r w:rsidR="00DB382E" w:rsidRPr="000D0C2A">
        <w:rPr>
          <w:b/>
          <w:spacing w:val="-6"/>
          <w:sz w:val="24"/>
        </w:rPr>
        <w:t xml:space="preserve"> </w:t>
      </w:r>
      <w:r w:rsidRPr="000D0C2A">
        <w:rPr>
          <w:b/>
          <w:spacing w:val="-1"/>
          <w:sz w:val="24"/>
        </w:rPr>
        <w:t>Service</w:t>
      </w:r>
      <w:r w:rsidRPr="000D0C2A">
        <w:rPr>
          <w:b/>
          <w:spacing w:val="-5"/>
          <w:sz w:val="24"/>
        </w:rPr>
        <w:t xml:space="preserve"> </w:t>
      </w:r>
      <w:r w:rsidRPr="000D0C2A">
        <w:rPr>
          <w:b/>
          <w:spacing w:val="-1"/>
          <w:sz w:val="24"/>
        </w:rPr>
        <w:t>Delivery</w:t>
      </w:r>
      <w:r w:rsidRPr="000D0C2A">
        <w:rPr>
          <w:b/>
          <w:spacing w:val="-5"/>
          <w:sz w:val="24"/>
        </w:rPr>
        <w:t xml:space="preserve"> </w:t>
      </w:r>
      <w:r w:rsidRPr="000D0C2A">
        <w:rPr>
          <w:b/>
          <w:spacing w:val="-1"/>
          <w:sz w:val="24"/>
        </w:rPr>
        <w:t>Model</w:t>
      </w:r>
      <w:r w:rsidRPr="000D0C2A">
        <w:rPr>
          <w:b/>
          <w:spacing w:val="-6"/>
          <w:sz w:val="24"/>
        </w:rPr>
        <w:t xml:space="preserve"> </w:t>
      </w:r>
      <w:r w:rsidRPr="000D0C2A">
        <w:rPr>
          <w:b/>
          <w:sz w:val="24"/>
        </w:rPr>
        <w:t>And</w:t>
      </w:r>
      <w:r w:rsidRPr="000D0C2A">
        <w:rPr>
          <w:b/>
          <w:spacing w:val="-6"/>
          <w:sz w:val="24"/>
        </w:rPr>
        <w:t xml:space="preserve"> </w:t>
      </w:r>
      <w:r w:rsidRPr="000D0C2A">
        <w:rPr>
          <w:b/>
          <w:spacing w:val="-1"/>
          <w:sz w:val="24"/>
        </w:rPr>
        <w:t>Strategic</w:t>
      </w:r>
      <w:r w:rsidR="00DB382E" w:rsidRPr="000D0C2A">
        <w:rPr>
          <w:b/>
          <w:spacing w:val="53"/>
          <w:sz w:val="24"/>
        </w:rPr>
        <w:t xml:space="preserve"> </w:t>
      </w:r>
      <w:r w:rsidRPr="000D0C2A">
        <w:rPr>
          <w:b/>
          <w:spacing w:val="-1"/>
          <w:sz w:val="24"/>
        </w:rPr>
        <w:t>Directions</w:t>
      </w:r>
      <w:r w:rsidRPr="000D0C2A">
        <w:rPr>
          <w:b/>
          <w:spacing w:val="-10"/>
          <w:sz w:val="24"/>
        </w:rPr>
        <w:t xml:space="preserve"> </w:t>
      </w:r>
      <w:r w:rsidRPr="000D0C2A">
        <w:rPr>
          <w:b/>
          <w:sz w:val="24"/>
        </w:rPr>
        <w:t>for</w:t>
      </w:r>
      <w:r w:rsidRPr="000D0C2A">
        <w:rPr>
          <w:b/>
          <w:spacing w:val="-7"/>
          <w:sz w:val="24"/>
        </w:rPr>
        <w:t xml:space="preserve"> </w:t>
      </w:r>
      <w:r w:rsidRPr="000D0C2A">
        <w:rPr>
          <w:b/>
          <w:spacing w:val="-1"/>
          <w:sz w:val="24"/>
        </w:rPr>
        <w:t>Regional</w:t>
      </w:r>
      <w:r w:rsidRPr="000D0C2A">
        <w:rPr>
          <w:b/>
          <w:spacing w:val="-13"/>
          <w:sz w:val="24"/>
        </w:rPr>
        <w:t xml:space="preserve"> </w:t>
      </w:r>
      <w:r w:rsidRPr="000D0C2A">
        <w:rPr>
          <w:b/>
          <w:spacing w:val="-1"/>
          <w:sz w:val="24"/>
        </w:rPr>
        <w:t>Policy</w:t>
      </w:r>
    </w:p>
    <w:p w:rsidR="00F1514E" w:rsidRPr="000D0C2A" w:rsidRDefault="000D0C2A" w:rsidP="000D0C2A">
      <w:pPr>
        <w:pStyle w:val="Heading1"/>
        <w:spacing w:after="240"/>
        <w:jc w:val="center"/>
      </w:pPr>
      <w:r w:rsidRPr="000D0C2A">
        <w:t>Submission</w:t>
      </w:r>
      <w:r w:rsidR="00DB382E" w:rsidRPr="000D0C2A">
        <w:t xml:space="preserve"> </w:t>
      </w:r>
      <w:r w:rsidRPr="000D0C2A">
        <w:t>– Grampians Tourism Board</w:t>
      </w:r>
    </w:p>
    <w:p w:rsidR="00F1514E" w:rsidRPr="000D0C2A" w:rsidRDefault="00DB382E" w:rsidP="000D0C2A">
      <w:pPr>
        <w:pStyle w:val="BodyText"/>
        <w:spacing w:after="240" w:line="276" w:lineRule="auto"/>
        <w:ind w:right="834" w:hanging="1"/>
        <w:rPr>
          <w:rFonts w:asciiTheme="minorHAnsi" w:hAnsiTheme="minorHAnsi"/>
        </w:rPr>
      </w:pPr>
      <w:r w:rsidRPr="000D0C2A">
        <w:rPr>
          <w:rFonts w:asciiTheme="minorHAnsi" w:hAnsiTheme="minorHAnsi"/>
          <w:spacing w:val="-1"/>
        </w:rPr>
        <w:t>Grampians Tourism (GT)</w:t>
      </w:r>
      <w:r w:rsidRPr="000D0C2A">
        <w:rPr>
          <w:rFonts w:asciiTheme="minorHAnsi" w:hAnsiTheme="minorHAnsi"/>
        </w:rPr>
        <w:t xml:space="preserve"> </w:t>
      </w:r>
      <w:r w:rsidRPr="000D0C2A">
        <w:rPr>
          <w:rFonts w:asciiTheme="minorHAnsi" w:hAnsiTheme="minorHAnsi"/>
          <w:spacing w:val="-2"/>
        </w:rPr>
        <w:t>is</w:t>
      </w:r>
      <w:r w:rsidRPr="000D0C2A">
        <w:rPr>
          <w:rFonts w:asciiTheme="minorHAnsi" w:hAnsiTheme="minorHAnsi"/>
          <w:spacing w:val="-1"/>
        </w:rPr>
        <w:t xml:space="preserve"> the peak</w:t>
      </w:r>
      <w:r w:rsidRPr="000D0C2A">
        <w:rPr>
          <w:rFonts w:asciiTheme="minorHAnsi" w:hAnsiTheme="minorHAnsi"/>
        </w:rPr>
        <w:t xml:space="preserve"> </w:t>
      </w:r>
      <w:r w:rsidRPr="000D0C2A">
        <w:rPr>
          <w:rFonts w:asciiTheme="minorHAnsi" w:hAnsiTheme="minorHAnsi"/>
          <w:spacing w:val="-2"/>
        </w:rPr>
        <w:t>industry</w:t>
      </w:r>
      <w:r w:rsidRPr="000D0C2A">
        <w:rPr>
          <w:rFonts w:asciiTheme="minorHAnsi" w:hAnsiTheme="minorHAnsi"/>
        </w:rPr>
        <w:t xml:space="preserve"> </w:t>
      </w:r>
      <w:r w:rsidRPr="000D0C2A">
        <w:rPr>
          <w:rFonts w:asciiTheme="minorHAnsi" w:hAnsiTheme="minorHAnsi"/>
          <w:spacing w:val="-1"/>
        </w:rPr>
        <w:t>body</w:t>
      </w:r>
      <w:r w:rsidRPr="000D0C2A">
        <w:rPr>
          <w:rFonts w:asciiTheme="minorHAnsi" w:hAnsiTheme="minorHAnsi"/>
          <w:spacing w:val="-2"/>
        </w:rPr>
        <w:t xml:space="preserve"> </w:t>
      </w:r>
      <w:r w:rsidRPr="000D0C2A">
        <w:rPr>
          <w:rFonts w:asciiTheme="minorHAnsi" w:hAnsiTheme="minorHAnsi"/>
        </w:rPr>
        <w:t>for</w:t>
      </w:r>
      <w:r w:rsidRPr="000D0C2A">
        <w:rPr>
          <w:rFonts w:asciiTheme="minorHAnsi" w:hAnsiTheme="minorHAnsi"/>
          <w:spacing w:val="-1"/>
        </w:rPr>
        <w:t xml:space="preserve"> tourism in the Grampians region.</w:t>
      </w:r>
      <w:r w:rsidRPr="000D0C2A">
        <w:rPr>
          <w:rFonts w:asciiTheme="minorHAnsi" w:hAnsiTheme="minorHAnsi"/>
          <w:spacing w:val="59"/>
        </w:rPr>
        <w:t xml:space="preserve"> </w:t>
      </w:r>
      <w:r w:rsidRPr="000D0C2A">
        <w:rPr>
          <w:rFonts w:asciiTheme="minorHAnsi" w:hAnsiTheme="minorHAnsi"/>
          <w:spacing w:val="-1"/>
        </w:rPr>
        <w:t>It</w:t>
      </w:r>
      <w:r w:rsidRPr="000D0C2A">
        <w:rPr>
          <w:rFonts w:asciiTheme="minorHAnsi" w:hAnsiTheme="minorHAnsi"/>
          <w:spacing w:val="55"/>
        </w:rPr>
        <w:t xml:space="preserve"> </w:t>
      </w:r>
      <w:r w:rsidRPr="000D0C2A">
        <w:rPr>
          <w:rFonts w:asciiTheme="minorHAnsi" w:hAnsiTheme="minorHAnsi"/>
          <w:spacing w:val="-1"/>
        </w:rPr>
        <w:t>encompasses (and is directly</w:t>
      </w:r>
      <w:r w:rsidRPr="000D0C2A">
        <w:rPr>
          <w:rFonts w:asciiTheme="minorHAnsi" w:hAnsiTheme="minorHAnsi"/>
        </w:rPr>
        <w:t xml:space="preserve"> </w:t>
      </w:r>
      <w:r w:rsidRPr="000D0C2A">
        <w:rPr>
          <w:rFonts w:asciiTheme="minorHAnsi" w:hAnsiTheme="minorHAnsi"/>
          <w:spacing w:val="-1"/>
        </w:rPr>
        <w:t>supported by)</w:t>
      </w:r>
      <w:r w:rsidRPr="000D0C2A">
        <w:rPr>
          <w:rFonts w:asciiTheme="minorHAnsi" w:hAnsiTheme="minorHAnsi"/>
        </w:rPr>
        <w:t xml:space="preserve"> </w:t>
      </w:r>
      <w:r w:rsidRPr="000D0C2A">
        <w:rPr>
          <w:rFonts w:asciiTheme="minorHAnsi" w:hAnsiTheme="minorHAnsi"/>
          <w:spacing w:val="-1"/>
        </w:rPr>
        <w:t xml:space="preserve">the Rural Cities </w:t>
      </w:r>
      <w:r w:rsidRPr="000D0C2A">
        <w:rPr>
          <w:rFonts w:asciiTheme="minorHAnsi" w:hAnsiTheme="minorHAnsi"/>
        </w:rPr>
        <w:t xml:space="preserve">of </w:t>
      </w:r>
      <w:r w:rsidRPr="000D0C2A">
        <w:rPr>
          <w:rFonts w:asciiTheme="minorHAnsi" w:hAnsiTheme="minorHAnsi"/>
          <w:spacing w:val="-1"/>
        </w:rPr>
        <w:t>Ararat and Horsham, Northern</w:t>
      </w:r>
      <w:r w:rsidRPr="000D0C2A">
        <w:rPr>
          <w:rFonts w:asciiTheme="minorHAnsi" w:hAnsiTheme="minorHAnsi"/>
          <w:spacing w:val="49"/>
        </w:rPr>
        <w:t xml:space="preserve"> </w:t>
      </w:r>
      <w:r w:rsidRPr="000D0C2A">
        <w:rPr>
          <w:rFonts w:asciiTheme="minorHAnsi" w:hAnsiTheme="minorHAnsi"/>
          <w:spacing w:val="-1"/>
        </w:rPr>
        <w:t xml:space="preserve">Grampians Shire, Southern Grampians Shire and </w:t>
      </w:r>
      <w:r w:rsidRPr="000D0C2A">
        <w:rPr>
          <w:rFonts w:asciiTheme="minorHAnsi" w:hAnsiTheme="minorHAnsi"/>
          <w:spacing w:val="-2"/>
        </w:rPr>
        <w:t>the</w:t>
      </w:r>
      <w:r w:rsidRPr="000D0C2A">
        <w:rPr>
          <w:rFonts w:asciiTheme="minorHAnsi" w:hAnsiTheme="minorHAnsi"/>
          <w:spacing w:val="-1"/>
        </w:rPr>
        <w:t xml:space="preserve"> Pyrenees Shire.</w:t>
      </w:r>
      <w:r w:rsidRPr="000D0C2A">
        <w:rPr>
          <w:rFonts w:asciiTheme="minorHAnsi" w:hAnsiTheme="minorHAnsi"/>
          <w:spacing w:val="59"/>
        </w:rPr>
        <w:t xml:space="preserve"> </w:t>
      </w:r>
      <w:r w:rsidRPr="000D0C2A">
        <w:rPr>
          <w:rFonts w:asciiTheme="minorHAnsi" w:hAnsiTheme="minorHAnsi"/>
          <w:spacing w:val="-1"/>
        </w:rPr>
        <w:t>Its charter is to</w:t>
      </w:r>
      <w:r w:rsidRPr="000D0C2A">
        <w:rPr>
          <w:rFonts w:asciiTheme="minorHAnsi" w:hAnsiTheme="minorHAnsi"/>
        </w:rPr>
        <w:t xml:space="preserve"> </w:t>
      </w:r>
      <w:r w:rsidRPr="000D0C2A">
        <w:rPr>
          <w:rFonts w:asciiTheme="minorHAnsi" w:hAnsiTheme="minorHAnsi"/>
          <w:spacing w:val="-1"/>
        </w:rPr>
        <w:t>develop</w:t>
      </w:r>
      <w:r w:rsidRPr="000D0C2A">
        <w:rPr>
          <w:rFonts w:asciiTheme="minorHAnsi" w:hAnsiTheme="minorHAnsi"/>
          <w:spacing w:val="55"/>
        </w:rPr>
        <w:t xml:space="preserve"> </w:t>
      </w:r>
      <w:r w:rsidRPr="000D0C2A">
        <w:rPr>
          <w:rFonts w:asciiTheme="minorHAnsi" w:hAnsiTheme="minorHAnsi"/>
        </w:rPr>
        <w:t xml:space="preserve">a </w:t>
      </w:r>
      <w:r w:rsidRPr="000D0C2A">
        <w:rPr>
          <w:rFonts w:asciiTheme="minorHAnsi" w:hAnsiTheme="minorHAnsi"/>
          <w:spacing w:val="-1"/>
        </w:rPr>
        <w:t xml:space="preserve">coordinated approach </w:t>
      </w:r>
      <w:r w:rsidRPr="000D0C2A">
        <w:rPr>
          <w:rFonts w:asciiTheme="minorHAnsi" w:hAnsiTheme="minorHAnsi"/>
          <w:spacing w:val="-2"/>
        </w:rPr>
        <w:t>to</w:t>
      </w:r>
      <w:r w:rsidRPr="000D0C2A">
        <w:rPr>
          <w:rFonts w:asciiTheme="minorHAnsi" w:hAnsiTheme="minorHAnsi"/>
        </w:rPr>
        <w:t xml:space="preserve"> </w:t>
      </w:r>
      <w:r w:rsidRPr="000D0C2A">
        <w:rPr>
          <w:rFonts w:asciiTheme="minorHAnsi" w:hAnsiTheme="minorHAnsi"/>
          <w:spacing w:val="-1"/>
        </w:rPr>
        <w:t xml:space="preserve">marketing, </w:t>
      </w:r>
      <w:r w:rsidRPr="000D0C2A">
        <w:rPr>
          <w:rFonts w:asciiTheme="minorHAnsi" w:hAnsiTheme="minorHAnsi"/>
          <w:spacing w:val="-2"/>
        </w:rPr>
        <w:t>product</w:t>
      </w:r>
      <w:r w:rsidRPr="000D0C2A">
        <w:rPr>
          <w:rFonts w:asciiTheme="minorHAnsi" w:hAnsiTheme="minorHAnsi"/>
          <w:spacing w:val="-1"/>
        </w:rPr>
        <w:t xml:space="preserve"> development, infrastructure</w:t>
      </w:r>
      <w:r w:rsidRPr="000D0C2A">
        <w:rPr>
          <w:rFonts w:asciiTheme="minorHAnsi" w:hAnsiTheme="minorHAnsi"/>
          <w:spacing w:val="-3"/>
        </w:rPr>
        <w:t xml:space="preserve"> </w:t>
      </w:r>
      <w:r w:rsidRPr="000D0C2A">
        <w:rPr>
          <w:rFonts w:asciiTheme="minorHAnsi" w:hAnsiTheme="minorHAnsi"/>
          <w:spacing w:val="-1"/>
        </w:rPr>
        <w:t>investment, and</w:t>
      </w:r>
      <w:r w:rsidRPr="000D0C2A">
        <w:rPr>
          <w:rFonts w:asciiTheme="minorHAnsi" w:hAnsiTheme="minorHAnsi"/>
          <w:spacing w:val="50"/>
        </w:rPr>
        <w:t xml:space="preserve"> </w:t>
      </w:r>
      <w:r w:rsidRPr="000D0C2A">
        <w:rPr>
          <w:rFonts w:asciiTheme="minorHAnsi" w:hAnsiTheme="minorHAnsi"/>
          <w:spacing w:val="-1"/>
        </w:rPr>
        <w:t>industry</w:t>
      </w:r>
      <w:r w:rsidRPr="000D0C2A">
        <w:rPr>
          <w:rFonts w:asciiTheme="minorHAnsi" w:hAnsiTheme="minorHAnsi"/>
        </w:rPr>
        <w:t xml:space="preserve"> </w:t>
      </w:r>
      <w:r w:rsidRPr="000D0C2A">
        <w:rPr>
          <w:rFonts w:asciiTheme="minorHAnsi" w:hAnsiTheme="minorHAnsi"/>
          <w:spacing w:val="-1"/>
        </w:rPr>
        <w:t>development</w:t>
      </w:r>
      <w:r w:rsidRPr="000D0C2A">
        <w:rPr>
          <w:rFonts w:asciiTheme="minorHAnsi" w:hAnsiTheme="minorHAnsi"/>
          <w:spacing w:val="-4"/>
        </w:rPr>
        <w:t xml:space="preserve"> </w:t>
      </w:r>
      <w:r w:rsidRPr="000D0C2A">
        <w:rPr>
          <w:rFonts w:asciiTheme="minorHAnsi" w:hAnsiTheme="minorHAnsi"/>
          <w:spacing w:val="-1"/>
        </w:rPr>
        <w:t>for the Grampians Region.</w:t>
      </w:r>
    </w:p>
    <w:p w:rsidR="00F1514E" w:rsidRPr="000D0C2A" w:rsidRDefault="00DB382E" w:rsidP="000D0C2A">
      <w:pPr>
        <w:pStyle w:val="BodyText"/>
        <w:spacing w:after="240" w:line="275" w:lineRule="auto"/>
        <w:ind w:right="834" w:hanging="1"/>
        <w:rPr>
          <w:rFonts w:asciiTheme="minorHAnsi" w:hAnsiTheme="minorHAnsi"/>
        </w:rPr>
      </w:pPr>
      <w:r w:rsidRPr="000D0C2A">
        <w:rPr>
          <w:rFonts w:asciiTheme="minorHAnsi" w:hAnsiTheme="minorHAnsi"/>
          <w:spacing w:val="-1"/>
        </w:rPr>
        <w:t>GT’s strategic</w:t>
      </w:r>
      <w:r w:rsidRPr="000D0C2A">
        <w:rPr>
          <w:rFonts w:asciiTheme="minorHAnsi" w:hAnsiTheme="minorHAnsi"/>
          <w:spacing w:val="-2"/>
        </w:rPr>
        <w:t xml:space="preserve"> </w:t>
      </w:r>
      <w:r w:rsidRPr="000D0C2A">
        <w:rPr>
          <w:rFonts w:asciiTheme="minorHAnsi" w:hAnsiTheme="minorHAnsi"/>
          <w:spacing w:val="-1"/>
        </w:rPr>
        <w:t xml:space="preserve">oversight focuses </w:t>
      </w:r>
      <w:r w:rsidRPr="000D0C2A">
        <w:rPr>
          <w:rFonts w:asciiTheme="minorHAnsi" w:hAnsiTheme="minorHAnsi"/>
        </w:rPr>
        <w:t>on</w:t>
      </w:r>
      <w:r w:rsidRPr="000D0C2A">
        <w:rPr>
          <w:rFonts w:asciiTheme="minorHAnsi" w:hAnsiTheme="minorHAnsi"/>
          <w:spacing w:val="-1"/>
        </w:rPr>
        <w:t xml:space="preserve"> both </w:t>
      </w:r>
      <w:r w:rsidRPr="000D0C2A">
        <w:rPr>
          <w:rFonts w:asciiTheme="minorHAnsi" w:hAnsiTheme="minorHAnsi"/>
          <w:spacing w:val="-2"/>
        </w:rPr>
        <w:t>supply</w:t>
      </w:r>
      <w:r w:rsidRPr="000D0C2A">
        <w:rPr>
          <w:rFonts w:asciiTheme="minorHAnsi" w:hAnsiTheme="minorHAnsi"/>
        </w:rPr>
        <w:t xml:space="preserve"> </w:t>
      </w:r>
      <w:r w:rsidRPr="000D0C2A">
        <w:rPr>
          <w:rFonts w:asciiTheme="minorHAnsi" w:hAnsiTheme="minorHAnsi"/>
          <w:spacing w:val="-1"/>
        </w:rPr>
        <w:t xml:space="preserve">(tourism operators, </w:t>
      </w:r>
      <w:r w:rsidRPr="000D0C2A">
        <w:rPr>
          <w:rFonts w:asciiTheme="minorHAnsi" w:hAnsiTheme="minorHAnsi"/>
          <w:spacing w:val="-2"/>
        </w:rPr>
        <w:t>services,</w:t>
      </w:r>
      <w:r w:rsidRPr="000D0C2A">
        <w:rPr>
          <w:rFonts w:asciiTheme="minorHAnsi" w:hAnsiTheme="minorHAnsi"/>
          <w:spacing w:val="-1"/>
        </w:rPr>
        <w:t xml:space="preserve"> facilities and</w:t>
      </w:r>
      <w:r w:rsidRPr="000D0C2A">
        <w:rPr>
          <w:rFonts w:asciiTheme="minorHAnsi" w:hAnsiTheme="minorHAnsi"/>
          <w:spacing w:val="60"/>
        </w:rPr>
        <w:t xml:space="preserve"> </w:t>
      </w:r>
      <w:r w:rsidRPr="000D0C2A">
        <w:rPr>
          <w:rFonts w:asciiTheme="minorHAnsi" w:hAnsiTheme="minorHAnsi"/>
          <w:spacing w:val="-1"/>
        </w:rPr>
        <w:t>infrastructure)</w:t>
      </w:r>
      <w:r w:rsidRPr="000D0C2A">
        <w:rPr>
          <w:rFonts w:asciiTheme="minorHAnsi" w:hAnsiTheme="minorHAnsi"/>
        </w:rPr>
        <w:t xml:space="preserve"> </w:t>
      </w:r>
      <w:r w:rsidRPr="000D0C2A">
        <w:rPr>
          <w:rFonts w:asciiTheme="minorHAnsi" w:hAnsiTheme="minorHAnsi"/>
          <w:spacing w:val="-1"/>
        </w:rPr>
        <w:t>and demand (existing visitors and</w:t>
      </w:r>
      <w:r w:rsidRPr="000D0C2A">
        <w:rPr>
          <w:rFonts w:asciiTheme="minorHAnsi" w:hAnsiTheme="minorHAnsi"/>
          <w:spacing w:val="-4"/>
        </w:rPr>
        <w:t xml:space="preserve"> </w:t>
      </w:r>
      <w:r w:rsidRPr="000D0C2A">
        <w:rPr>
          <w:rFonts w:asciiTheme="minorHAnsi" w:hAnsiTheme="minorHAnsi"/>
          <w:spacing w:val="-1"/>
        </w:rPr>
        <w:t xml:space="preserve">potential </w:t>
      </w:r>
      <w:r w:rsidRPr="000D0C2A">
        <w:rPr>
          <w:rFonts w:asciiTheme="minorHAnsi" w:hAnsiTheme="minorHAnsi"/>
        </w:rPr>
        <w:t>for</w:t>
      </w:r>
      <w:r w:rsidRPr="000D0C2A">
        <w:rPr>
          <w:rFonts w:asciiTheme="minorHAnsi" w:hAnsiTheme="minorHAnsi"/>
          <w:spacing w:val="-1"/>
        </w:rPr>
        <w:t xml:space="preserve"> growth in </w:t>
      </w:r>
      <w:r w:rsidRPr="000D0C2A">
        <w:rPr>
          <w:rFonts w:asciiTheme="minorHAnsi" w:hAnsiTheme="minorHAnsi"/>
          <w:spacing w:val="-2"/>
        </w:rPr>
        <w:t>visitor</w:t>
      </w:r>
      <w:r w:rsidRPr="000D0C2A">
        <w:rPr>
          <w:rFonts w:asciiTheme="minorHAnsi" w:hAnsiTheme="minorHAnsi"/>
          <w:spacing w:val="-1"/>
        </w:rPr>
        <w:t xml:space="preserve"> markets).</w:t>
      </w:r>
      <w:r w:rsidRPr="000D0C2A">
        <w:rPr>
          <w:rFonts w:asciiTheme="minorHAnsi" w:hAnsiTheme="minorHAnsi"/>
          <w:spacing w:val="59"/>
        </w:rPr>
        <w:t xml:space="preserve"> </w:t>
      </w:r>
      <w:r w:rsidRPr="000D0C2A">
        <w:rPr>
          <w:rFonts w:asciiTheme="minorHAnsi" w:hAnsiTheme="minorHAnsi"/>
          <w:spacing w:val="-1"/>
        </w:rPr>
        <w:t>As</w:t>
      </w:r>
      <w:r w:rsidRPr="000D0C2A">
        <w:rPr>
          <w:rFonts w:asciiTheme="minorHAnsi" w:hAnsiTheme="minorHAnsi"/>
          <w:spacing w:val="54"/>
        </w:rPr>
        <w:t xml:space="preserve"> </w:t>
      </w:r>
      <w:r w:rsidRPr="000D0C2A">
        <w:rPr>
          <w:rFonts w:asciiTheme="minorHAnsi" w:hAnsiTheme="minorHAnsi"/>
          <w:spacing w:val="-1"/>
        </w:rPr>
        <w:t xml:space="preserve">such, GT is in </w:t>
      </w:r>
      <w:r w:rsidRPr="000D0C2A">
        <w:rPr>
          <w:rFonts w:asciiTheme="minorHAnsi" w:hAnsiTheme="minorHAnsi"/>
        </w:rPr>
        <w:t xml:space="preserve">a </w:t>
      </w:r>
      <w:r w:rsidRPr="000D0C2A">
        <w:rPr>
          <w:rFonts w:asciiTheme="minorHAnsi" w:hAnsiTheme="minorHAnsi"/>
          <w:spacing w:val="-1"/>
        </w:rPr>
        <w:t>key</w:t>
      </w:r>
      <w:r w:rsidRPr="000D0C2A">
        <w:rPr>
          <w:rFonts w:asciiTheme="minorHAnsi" w:hAnsiTheme="minorHAnsi"/>
        </w:rPr>
        <w:t xml:space="preserve"> </w:t>
      </w:r>
      <w:r w:rsidRPr="000D0C2A">
        <w:rPr>
          <w:rFonts w:asciiTheme="minorHAnsi" w:hAnsiTheme="minorHAnsi"/>
          <w:spacing w:val="-1"/>
        </w:rPr>
        <w:t>position to</w:t>
      </w:r>
      <w:r w:rsidRPr="000D0C2A">
        <w:rPr>
          <w:rFonts w:asciiTheme="minorHAnsi" w:hAnsiTheme="minorHAnsi"/>
        </w:rPr>
        <w:t xml:space="preserve"> </w:t>
      </w:r>
      <w:r w:rsidRPr="000D0C2A">
        <w:rPr>
          <w:rFonts w:asciiTheme="minorHAnsi" w:hAnsiTheme="minorHAnsi"/>
          <w:spacing w:val="-1"/>
        </w:rPr>
        <w:t xml:space="preserve">provide </w:t>
      </w:r>
      <w:r w:rsidRPr="000D0C2A">
        <w:rPr>
          <w:rFonts w:asciiTheme="minorHAnsi" w:hAnsiTheme="minorHAnsi"/>
        </w:rPr>
        <w:t>an</w:t>
      </w:r>
      <w:r w:rsidRPr="000D0C2A">
        <w:rPr>
          <w:rFonts w:asciiTheme="minorHAnsi" w:hAnsiTheme="minorHAnsi"/>
          <w:spacing w:val="-1"/>
        </w:rPr>
        <w:t xml:space="preserve"> informed view</w:t>
      </w:r>
      <w:r w:rsidRPr="000D0C2A">
        <w:rPr>
          <w:rFonts w:asciiTheme="minorHAnsi" w:hAnsiTheme="minorHAnsi"/>
          <w:spacing w:val="-2"/>
        </w:rPr>
        <w:t xml:space="preserve"> </w:t>
      </w:r>
      <w:r w:rsidRPr="000D0C2A">
        <w:rPr>
          <w:rFonts w:asciiTheme="minorHAnsi" w:hAnsiTheme="minorHAnsi"/>
        </w:rPr>
        <w:t>on</w:t>
      </w:r>
      <w:r w:rsidRPr="000D0C2A">
        <w:rPr>
          <w:rFonts w:asciiTheme="minorHAnsi" w:hAnsiTheme="minorHAnsi"/>
          <w:spacing w:val="-1"/>
        </w:rPr>
        <w:t xml:space="preserve"> the role and effect </w:t>
      </w:r>
      <w:r w:rsidRPr="000D0C2A">
        <w:rPr>
          <w:rFonts w:asciiTheme="minorHAnsi" w:hAnsiTheme="minorHAnsi"/>
        </w:rPr>
        <w:t xml:space="preserve">of </w:t>
      </w:r>
      <w:r w:rsidRPr="000D0C2A">
        <w:rPr>
          <w:rFonts w:asciiTheme="minorHAnsi" w:hAnsiTheme="minorHAnsi"/>
          <w:spacing w:val="-1"/>
        </w:rPr>
        <w:t>the Visitor</w:t>
      </w:r>
      <w:r w:rsidRPr="000D0C2A">
        <w:rPr>
          <w:rFonts w:asciiTheme="minorHAnsi" w:hAnsiTheme="minorHAnsi"/>
          <w:spacing w:val="39"/>
        </w:rPr>
        <w:t xml:space="preserve"> </w:t>
      </w:r>
      <w:r w:rsidRPr="000D0C2A">
        <w:rPr>
          <w:rFonts w:asciiTheme="minorHAnsi" w:hAnsiTheme="minorHAnsi"/>
          <w:spacing w:val="-1"/>
        </w:rPr>
        <w:t>Economy</w:t>
      </w:r>
      <w:r w:rsidRPr="000D0C2A">
        <w:rPr>
          <w:rFonts w:asciiTheme="minorHAnsi" w:hAnsiTheme="minorHAnsi"/>
        </w:rPr>
        <w:t xml:space="preserve"> for</w:t>
      </w:r>
      <w:r w:rsidRPr="000D0C2A">
        <w:rPr>
          <w:rFonts w:asciiTheme="minorHAnsi" w:hAnsiTheme="minorHAnsi"/>
          <w:spacing w:val="-1"/>
        </w:rPr>
        <w:t xml:space="preserve"> regional Victorian growth.</w:t>
      </w:r>
    </w:p>
    <w:p w:rsidR="00F1514E" w:rsidRPr="000D0C2A" w:rsidRDefault="00DB382E" w:rsidP="00DB382E">
      <w:pPr>
        <w:pStyle w:val="BodyText"/>
        <w:spacing w:after="240" w:line="275" w:lineRule="auto"/>
        <w:ind w:right="931"/>
        <w:rPr>
          <w:rFonts w:asciiTheme="minorHAnsi" w:hAnsiTheme="minorHAnsi"/>
        </w:rPr>
      </w:pPr>
      <w:r w:rsidRPr="000D0C2A">
        <w:rPr>
          <w:rFonts w:asciiTheme="minorHAnsi" w:hAnsiTheme="minorHAnsi"/>
          <w:spacing w:val="-1"/>
        </w:rPr>
        <w:t>GT’s submission will address specific</w:t>
      </w:r>
      <w:r w:rsidRPr="000D0C2A">
        <w:rPr>
          <w:rFonts w:asciiTheme="minorHAnsi" w:hAnsiTheme="minorHAnsi"/>
          <w:spacing w:val="-2"/>
        </w:rPr>
        <w:t xml:space="preserve"> </w:t>
      </w:r>
      <w:r w:rsidRPr="000D0C2A">
        <w:rPr>
          <w:rFonts w:asciiTheme="minorHAnsi" w:hAnsiTheme="minorHAnsi"/>
          <w:spacing w:val="-1"/>
        </w:rPr>
        <w:t xml:space="preserve">aspects </w:t>
      </w:r>
      <w:r w:rsidRPr="000D0C2A">
        <w:rPr>
          <w:rFonts w:asciiTheme="minorHAnsi" w:hAnsiTheme="minorHAnsi"/>
        </w:rPr>
        <w:t xml:space="preserve">of </w:t>
      </w:r>
      <w:r w:rsidRPr="000D0C2A">
        <w:rPr>
          <w:rFonts w:asciiTheme="minorHAnsi" w:hAnsiTheme="minorHAnsi"/>
          <w:spacing w:val="-1"/>
        </w:rPr>
        <w:t xml:space="preserve">the Terms </w:t>
      </w:r>
      <w:r w:rsidRPr="000D0C2A">
        <w:rPr>
          <w:rFonts w:asciiTheme="minorHAnsi" w:hAnsiTheme="minorHAnsi"/>
        </w:rPr>
        <w:t xml:space="preserve">of </w:t>
      </w:r>
      <w:r w:rsidRPr="000D0C2A">
        <w:rPr>
          <w:rFonts w:asciiTheme="minorHAnsi" w:hAnsiTheme="minorHAnsi"/>
          <w:spacing w:val="-1"/>
        </w:rPr>
        <w:t>Reference most relevant to</w:t>
      </w:r>
      <w:r w:rsidRPr="000D0C2A">
        <w:rPr>
          <w:rFonts w:asciiTheme="minorHAnsi" w:hAnsiTheme="minorHAnsi"/>
        </w:rPr>
        <w:t xml:space="preserve"> </w:t>
      </w:r>
      <w:r w:rsidRPr="000D0C2A">
        <w:rPr>
          <w:rFonts w:asciiTheme="minorHAnsi" w:hAnsiTheme="minorHAnsi"/>
          <w:spacing w:val="-1"/>
        </w:rPr>
        <w:t>the</w:t>
      </w:r>
      <w:r w:rsidRPr="000D0C2A">
        <w:rPr>
          <w:rFonts w:asciiTheme="minorHAnsi" w:hAnsiTheme="minorHAnsi"/>
          <w:spacing w:val="34"/>
        </w:rPr>
        <w:t xml:space="preserve"> </w:t>
      </w:r>
      <w:r w:rsidRPr="000D0C2A">
        <w:rPr>
          <w:rFonts w:asciiTheme="minorHAnsi" w:hAnsiTheme="minorHAnsi"/>
          <w:spacing w:val="-1"/>
        </w:rPr>
        <w:t>Visitor economy</w:t>
      </w:r>
      <w:r w:rsidRPr="000D0C2A">
        <w:rPr>
          <w:rFonts w:asciiTheme="minorHAnsi" w:hAnsiTheme="minorHAnsi"/>
        </w:rPr>
        <w:t xml:space="preserve"> </w:t>
      </w:r>
      <w:r w:rsidRPr="000D0C2A">
        <w:rPr>
          <w:rFonts w:asciiTheme="minorHAnsi" w:hAnsiTheme="minorHAnsi"/>
          <w:spacing w:val="-1"/>
        </w:rPr>
        <w:t>and the</w:t>
      </w:r>
      <w:r w:rsidRPr="000D0C2A">
        <w:rPr>
          <w:rFonts w:asciiTheme="minorHAnsi" w:hAnsiTheme="minorHAnsi"/>
          <w:spacing w:val="-3"/>
        </w:rPr>
        <w:t xml:space="preserve"> </w:t>
      </w:r>
      <w:r w:rsidRPr="000D0C2A">
        <w:rPr>
          <w:rFonts w:asciiTheme="minorHAnsi" w:hAnsiTheme="minorHAnsi"/>
          <w:spacing w:val="-1"/>
        </w:rPr>
        <w:t>Grampians Tourism region.</w:t>
      </w:r>
    </w:p>
    <w:p w:rsidR="00F1514E" w:rsidRPr="00DB382E" w:rsidRDefault="00DB382E" w:rsidP="00DB382E">
      <w:pPr>
        <w:pStyle w:val="Heading2"/>
        <w:spacing w:after="240"/>
      </w:pPr>
      <w:r w:rsidRPr="00DB382E">
        <w:t>Identify best practice, evidence-based policy directions to foster regional growth and job creation.</w:t>
      </w:r>
    </w:p>
    <w:p w:rsidR="00F1514E" w:rsidRPr="000D0C2A" w:rsidRDefault="00DB382E" w:rsidP="000D0C2A">
      <w:pPr>
        <w:pStyle w:val="BodyText"/>
        <w:spacing w:after="240" w:line="276" w:lineRule="auto"/>
        <w:ind w:right="834" w:hanging="1"/>
        <w:rPr>
          <w:rFonts w:asciiTheme="minorHAnsi" w:hAnsiTheme="minorHAnsi"/>
          <w:spacing w:val="-1"/>
        </w:rPr>
      </w:pPr>
      <w:r w:rsidRPr="000D0C2A">
        <w:rPr>
          <w:rFonts w:asciiTheme="minorHAnsi" w:hAnsiTheme="minorHAnsi"/>
          <w:spacing w:val="-1"/>
        </w:rPr>
        <w:t xml:space="preserve">Digital and Mobile coverage and accessible bandwidth in the Grampians tourism region is a key barrier to the </w:t>
      </w:r>
      <w:proofErr w:type="spellStart"/>
      <w:r w:rsidRPr="000D0C2A">
        <w:rPr>
          <w:rFonts w:asciiTheme="minorHAnsi" w:hAnsiTheme="minorHAnsi"/>
          <w:spacing w:val="-1"/>
        </w:rPr>
        <w:t>realisation</w:t>
      </w:r>
      <w:proofErr w:type="spellEnd"/>
      <w:r w:rsidRPr="000D0C2A">
        <w:rPr>
          <w:rFonts w:asciiTheme="minorHAnsi" w:hAnsiTheme="minorHAnsi"/>
          <w:spacing w:val="-1"/>
        </w:rPr>
        <w:t xml:space="preserve"> of a number of Regional Priority Opportunities (RPO) and Significant Opportunity (SO) projects as identified via the GT Destination Plan and Investment Roadmap.</w:t>
      </w:r>
    </w:p>
    <w:p w:rsidR="00F1514E" w:rsidRPr="000D0C2A" w:rsidRDefault="00DB382E" w:rsidP="000D0C2A">
      <w:pPr>
        <w:pStyle w:val="BodyText"/>
        <w:spacing w:after="240" w:line="276" w:lineRule="auto"/>
        <w:ind w:right="834" w:hanging="1"/>
        <w:rPr>
          <w:rFonts w:asciiTheme="minorHAnsi" w:hAnsiTheme="minorHAnsi"/>
          <w:spacing w:val="-1"/>
        </w:rPr>
      </w:pPr>
      <w:r w:rsidRPr="000D0C2A">
        <w:rPr>
          <w:rFonts w:asciiTheme="minorHAnsi" w:hAnsiTheme="minorHAnsi"/>
          <w:spacing w:val="-1"/>
        </w:rPr>
        <w:t xml:space="preserve">Analysis </w:t>
      </w:r>
      <w:proofErr w:type="spellStart"/>
      <w:r w:rsidRPr="000D0C2A">
        <w:rPr>
          <w:rFonts w:asciiTheme="minorHAnsi" w:hAnsiTheme="minorHAnsi"/>
          <w:spacing w:val="-1"/>
        </w:rPr>
        <w:t>recognises</w:t>
      </w:r>
      <w:proofErr w:type="spellEnd"/>
      <w:r w:rsidRPr="000D0C2A">
        <w:rPr>
          <w:rFonts w:asciiTheme="minorHAnsi" w:hAnsiTheme="minorHAnsi"/>
          <w:spacing w:val="-1"/>
        </w:rPr>
        <w:t xml:space="preserve"> the provision of services to the Grampians region is critical to the future economic sustainability of our communities. Increasing reliance on telecommunications in tourism, agriculture and emergency management puts the Grampians region at a competitive disadvantage due to poor access and lack of competition in the provision of the necessary telecommunications services.</w:t>
      </w:r>
    </w:p>
    <w:p w:rsidR="00F1514E" w:rsidRPr="000D0C2A" w:rsidRDefault="00DB382E" w:rsidP="000D0C2A">
      <w:pPr>
        <w:pStyle w:val="BodyText"/>
        <w:spacing w:after="240" w:line="276" w:lineRule="auto"/>
        <w:ind w:right="834" w:hanging="1"/>
        <w:rPr>
          <w:rFonts w:asciiTheme="minorHAnsi" w:hAnsiTheme="minorHAnsi"/>
          <w:spacing w:val="-1"/>
        </w:rPr>
      </w:pPr>
      <w:r w:rsidRPr="000D0C2A">
        <w:rPr>
          <w:rFonts w:asciiTheme="minorHAnsi" w:hAnsiTheme="minorHAnsi"/>
          <w:spacing w:val="-1"/>
        </w:rPr>
        <w:t xml:space="preserve">As an industry leader and advocate, GT </w:t>
      </w:r>
      <w:proofErr w:type="spellStart"/>
      <w:r w:rsidRPr="000D0C2A">
        <w:rPr>
          <w:rFonts w:asciiTheme="minorHAnsi" w:hAnsiTheme="minorHAnsi"/>
          <w:spacing w:val="-1"/>
        </w:rPr>
        <w:t>recognises</w:t>
      </w:r>
      <w:proofErr w:type="spellEnd"/>
      <w:r w:rsidRPr="000D0C2A">
        <w:rPr>
          <w:rFonts w:asciiTheme="minorHAnsi" w:hAnsiTheme="minorHAnsi"/>
          <w:spacing w:val="-1"/>
        </w:rPr>
        <w:t xml:space="preserve"> that digital infrastructure is key to attracting tourism investment in regional Victorian areas. Service Delivery by the Victorian Government needs to ensure that ICT and broadband capacity, mobile </w:t>
      </w:r>
      <w:proofErr w:type="spellStart"/>
      <w:r w:rsidRPr="000D0C2A">
        <w:rPr>
          <w:rFonts w:asciiTheme="minorHAnsi" w:hAnsiTheme="minorHAnsi"/>
          <w:spacing w:val="-1"/>
        </w:rPr>
        <w:t>Blackspot</w:t>
      </w:r>
      <w:proofErr w:type="spellEnd"/>
      <w:r w:rsidRPr="000D0C2A">
        <w:rPr>
          <w:rFonts w:asciiTheme="minorHAnsi" w:hAnsiTheme="minorHAnsi"/>
          <w:spacing w:val="-1"/>
        </w:rPr>
        <w:t xml:space="preserve"> coverage and Wi-Fi access across the region is </w:t>
      </w:r>
      <w:proofErr w:type="spellStart"/>
      <w:r w:rsidRPr="000D0C2A">
        <w:rPr>
          <w:rFonts w:asciiTheme="minorHAnsi" w:hAnsiTheme="minorHAnsi"/>
          <w:spacing w:val="-1"/>
        </w:rPr>
        <w:t>recognised</w:t>
      </w:r>
      <w:proofErr w:type="spellEnd"/>
      <w:r w:rsidRPr="000D0C2A">
        <w:rPr>
          <w:rFonts w:asciiTheme="minorHAnsi" w:hAnsiTheme="minorHAnsi"/>
          <w:spacing w:val="-1"/>
        </w:rPr>
        <w:t xml:space="preserve"> as a priority project in state and federal government programs.</w:t>
      </w:r>
    </w:p>
    <w:p w:rsidR="00F1514E" w:rsidRPr="000D0C2A" w:rsidRDefault="00F1514E">
      <w:pPr>
        <w:spacing w:line="265" w:lineRule="exact"/>
        <w:jc w:val="center"/>
        <w:rPr>
          <w:rFonts w:eastAsia="Segoe UI" w:cs="Segoe UI"/>
          <w:sz w:val="20"/>
          <w:szCs w:val="20"/>
        </w:rPr>
        <w:sectPr w:rsidR="00F1514E" w:rsidRPr="000D0C2A">
          <w:headerReference w:type="even" r:id="rId8"/>
          <w:headerReference w:type="default" r:id="rId9"/>
          <w:footerReference w:type="even" r:id="rId10"/>
          <w:footerReference w:type="default" r:id="rId11"/>
          <w:headerReference w:type="first" r:id="rId12"/>
          <w:footerReference w:type="first" r:id="rId13"/>
          <w:type w:val="continuous"/>
          <w:pgSz w:w="11910" w:h="16840"/>
          <w:pgMar w:top="480" w:right="660" w:bottom="280" w:left="1340" w:header="720" w:footer="720" w:gutter="0"/>
          <w:cols w:space="720"/>
        </w:sectPr>
      </w:pPr>
    </w:p>
    <w:p w:rsidR="00F1514E" w:rsidRPr="000D0C2A" w:rsidRDefault="00DB382E" w:rsidP="00DB382E">
      <w:pPr>
        <w:pStyle w:val="Heading2"/>
        <w:spacing w:after="240"/>
      </w:pPr>
      <w:r w:rsidRPr="000D0C2A">
        <w:lastRenderedPageBreak/>
        <w:t>Industry profile – key sectors, strengths</w:t>
      </w:r>
      <w:r w:rsidRPr="000D0C2A">
        <w:rPr>
          <w:spacing w:val="-2"/>
        </w:rPr>
        <w:t xml:space="preserve"> </w:t>
      </w:r>
      <w:r w:rsidRPr="000D0C2A">
        <w:t xml:space="preserve">and </w:t>
      </w:r>
      <w:r w:rsidRPr="000D0C2A">
        <w:rPr>
          <w:spacing w:val="-2"/>
        </w:rPr>
        <w:t>weaknesses</w:t>
      </w:r>
      <w:r w:rsidRPr="000D0C2A">
        <w:rPr>
          <w:spacing w:val="-3"/>
        </w:rPr>
        <w:t xml:space="preserve"> </w:t>
      </w:r>
      <w:r w:rsidRPr="000D0C2A">
        <w:t>etc. – the role of</w:t>
      </w:r>
      <w:r w:rsidRPr="000D0C2A">
        <w:rPr>
          <w:spacing w:val="-2"/>
        </w:rPr>
        <w:t xml:space="preserve"> </w:t>
      </w:r>
      <w:r w:rsidRPr="000D0C2A">
        <w:t>the Regional</w:t>
      </w:r>
      <w:r w:rsidRPr="000D0C2A">
        <w:rPr>
          <w:spacing w:val="55"/>
        </w:rPr>
        <w:t xml:space="preserve"> </w:t>
      </w:r>
      <w:r w:rsidRPr="000D0C2A">
        <w:t>Tourism</w:t>
      </w:r>
      <w:r w:rsidRPr="000D0C2A">
        <w:rPr>
          <w:spacing w:val="-2"/>
        </w:rPr>
        <w:t xml:space="preserve"> </w:t>
      </w:r>
      <w:r w:rsidRPr="000D0C2A">
        <w:t>Board (RTB) and investment in regional tourism</w:t>
      </w:r>
      <w:r w:rsidRPr="000D0C2A">
        <w:rPr>
          <w:spacing w:val="-2"/>
        </w:rPr>
        <w:t xml:space="preserve"> </w:t>
      </w:r>
      <w:r w:rsidRPr="000D0C2A">
        <w:t>infrastructure</w:t>
      </w:r>
    </w:p>
    <w:p w:rsidR="00F1514E" w:rsidRPr="000D0C2A" w:rsidRDefault="00DB382E" w:rsidP="000D0C2A">
      <w:pPr>
        <w:pStyle w:val="BodyText"/>
        <w:spacing w:after="240" w:line="276" w:lineRule="auto"/>
        <w:ind w:right="834" w:hanging="1"/>
        <w:rPr>
          <w:rFonts w:asciiTheme="minorHAnsi" w:hAnsiTheme="minorHAnsi"/>
          <w:spacing w:val="-1"/>
        </w:rPr>
      </w:pPr>
      <w:r w:rsidRPr="000D0C2A">
        <w:rPr>
          <w:rFonts w:asciiTheme="minorHAnsi" w:hAnsiTheme="minorHAnsi"/>
          <w:spacing w:val="-1"/>
        </w:rPr>
        <w:t>GT welcomes the Andrew’s Government’s recognition of the value of the Visitor Economy to the state of Victoria. In the Grampians region it generates $239 million in direct and $1,761 million in indirect tourism output, and $2,000 million in total tourism output.</w:t>
      </w:r>
    </w:p>
    <w:p w:rsidR="00F1514E" w:rsidRPr="000D0C2A" w:rsidRDefault="00DB382E" w:rsidP="000D0C2A">
      <w:pPr>
        <w:pStyle w:val="BodyText"/>
        <w:spacing w:after="240" w:line="276" w:lineRule="auto"/>
        <w:ind w:right="834" w:hanging="1"/>
        <w:rPr>
          <w:rFonts w:asciiTheme="minorHAnsi" w:hAnsiTheme="minorHAnsi"/>
          <w:spacing w:val="-1"/>
        </w:rPr>
      </w:pPr>
      <w:r w:rsidRPr="000D0C2A">
        <w:rPr>
          <w:rFonts w:asciiTheme="minorHAnsi" w:hAnsiTheme="minorHAnsi"/>
          <w:spacing w:val="-1"/>
        </w:rPr>
        <w:t>It employs 2,300 people directly and 6,000 indirectly with a total employment impact of 8,300 jobs.</w:t>
      </w:r>
    </w:p>
    <w:p w:rsidR="00F1514E" w:rsidRPr="000D0C2A" w:rsidRDefault="00DB382E" w:rsidP="000D0C2A">
      <w:pPr>
        <w:pStyle w:val="BodyText"/>
        <w:spacing w:after="240" w:line="276" w:lineRule="auto"/>
        <w:ind w:right="834" w:hanging="1"/>
        <w:rPr>
          <w:rFonts w:asciiTheme="minorHAnsi" w:hAnsiTheme="minorHAnsi"/>
          <w:spacing w:val="-1"/>
        </w:rPr>
      </w:pPr>
      <w:r w:rsidRPr="000D0C2A">
        <w:rPr>
          <w:rFonts w:asciiTheme="minorHAnsi" w:hAnsiTheme="minorHAnsi"/>
          <w:spacing w:val="-1"/>
        </w:rPr>
        <w:t>Grampians Tourism welcomes analysis of best practice delivery of programs and campaigns that promote the growth of all aspects of the Visitor Economy. The RTB Model has established a high skill set in the regional destinations. The Model has a strong and mature relationship with local government and industry. It is recommended this structure is evolved to ensure the best delivery and communications model for industry and local government engagement, campaign delivery and investment attraction.</w:t>
      </w:r>
    </w:p>
    <w:p w:rsidR="00F1514E" w:rsidRPr="000D0C2A" w:rsidRDefault="00DB382E" w:rsidP="000D0C2A">
      <w:pPr>
        <w:pStyle w:val="BodyText"/>
        <w:spacing w:after="240" w:line="276" w:lineRule="auto"/>
        <w:ind w:right="834" w:hanging="1"/>
        <w:rPr>
          <w:rFonts w:asciiTheme="minorHAnsi" w:hAnsiTheme="minorHAnsi"/>
          <w:spacing w:val="-1"/>
        </w:rPr>
      </w:pPr>
      <w:r w:rsidRPr="000D0C2A">
        <w:rPr>
          <w:rFonts w:asciiTheme="minorHAnsi" w:hAnsiTheme="minorHAnsi"/>
          <w:spacing w:val="-1"/>
        </w:rPr>
        <w:t>GT congratulate the Victorian government’s support for the development of regional tourism infrastructure. It will enable the private sector to have confidence to invest in regional Victoria. This will result in an improvement in the quality of the regional experience and industry’s ability to invest in marketing and infrastructure. Increased profitability by tourism operators (and other stakeholders) will lead to an improved reinvestment environment,  which equals more jobs for regional communities.</w:t>
      </w:r>
    </w:p>
    <w:p w:rsidR="00F1514E" w:rsidRPr="000D0C2A" w:rsidRDefault="00DB382E" w:rsidP="000D0C2A">
      <w:pPr>
        <w:pStyle w:val="BodyText"/>
        <w:spacing w:after="240" w:line="276" w:lineRule="auto"/>
        <w:ind w:right="834" w:hanging="1"/>
        <w:rPr>
          <w:rFonts w:asciiTheme="minorHAnsi" w:hAnsiTheme="minorHAnsi"/>
          <w:spacing w:val="-1"/>
        </w:rPr>
      </w:pPr>
      <w:r w:rsidRPr="000D0C2A">
        <w:rPr>
          <w:rFonts w:asciiTheme="minorHAnsi" w:hAnsiTheme="minorHAnsi"/>
          <w:spacing w:val="-1"/>
        </w:rPr>
        <w:t>GT welcomes efficiencies in the Regional Service Delivery that will enable the tourism industry to grow and create sustainable regional economies in Victoria.</w:t>
      </w:r>
    </w:p>
    <w:p w:rsidR="00F1514E" w:rsidRPr="000D0C2A" w:rsidRDefault="00DB382E">
      <w:pPr>
        <w:pStyle w:val="BodyText"/>
        <w:spacing w:before="151"/>
        <w:ind w:left="120"/>
        <w:rPr>
          <w:rFonts w:asciiTheme="minorHAnsi" w:hAnsiTheme="minorHAnsi"/>
        </w:rPr>
      </w:pPr>
      <w:r w:rsidRPr="000D0C2A">
        <w:rPr>
          <w:rFonts w:asciiTheme="minorHAnsi" w:hAnsiTheme="minorHAnsi"/>
          <w:spacing w:val="-1"/>
        </w:rPr>
        <w:t>END</w:t>
      </w:r>
    </w:p>
    <w:sectPr w:rsidR="00F1514E" w:rsidRPr="000D0C2A">
      <w:pgSz w:w="11910" w:h="16840"/>
      <w:pgMar w:top="1580" w:right="1340" w:bottom="28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C2A" w:rsidRDefault="000D0C2A" w:rsidP="000D0C2A">
      <w:r>
        <w:separator/>
      </w:r>
    </w:p>
  </w:endnote>
  <w:endnote w:type="continuationSeparator" w:id="0">
    <w:p w:rsidR="000D0C2A" w:rsidRDefault="000D0C2A" w:rsidP="000D0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82E" w:rsidRDefault="00DB38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798437"/>
      <w:docPartObj>
        <w:docPartGallery w:val="Page Numbers (Bottom of Page)"/>
        <w:docPartUnique/>
      </w:docPartObj>
    </w:sdtPr>
    <w:sdtEndPr>
      <w:rPr>
        <w:noProof/>
      </w:rPr>
    </w:sdtEndPr>
    <w:sdtContent>
      <w:p w:rsidR="00DB382E" w:rsidRPr="000D0C2A" w:rsidRDefault="00DB382E" w:rsidP="00004E67">
        <w:pPr>
          <w:spacing w:before="85"/>
          <w:ind w:left="345" w:right="1021"/>
          <w:jc w:val="center"/>
          <w:rPr>
            <w:rFonts w:eastAsia="Segoe UI" w:cs="Segoe UI"/>
            <w:sz w:val="20"/>
            <w:szCs w:val="20"/>
          </w:rPr>
        </w:pPr>
        <w:r w:rsidRPr="000D0C2A">
          <w:rPr>
            <w:spacing w:val="-1"/>
            <w:sz w:val="20"/>
          </w:rPr>
          <w:t>Grampians</w:t>
        </w:r>
        <w:r w:rsidRPr="000D0C2A">
          <w:rPr>
            <w:spacing w:val="-3"/>
            <w:sz w:val="20"/>
          </w:rPr>
          <w:t xml:space="preserve"> </w:t>
        </w:r>
        <w:r w:rsidRPr="000D0C2A">
          <w:rPr>
            <w:spacing w:val="-1"/>
            <w:sz w:val="20"/>
          </w:rPr>
          <w:t>Tourism</w:t>
        </w:r>
        <w:r w:rsidRPr="000D0C2A">
          <w:rPr>
            <w:spacing w:val="-6"/>
            <w:sz w:val="20"/>
          </w:rPr>
          <w:t xml:space="preserve"> </w:t>
        </w:r>
        <w:r w:rsidRPr="000D0C2A">
          <w:rPr>
            <w:sz w:val="20"/>
          </w:rPr>
          <w:t>Board</w:t>
        </w:r>
        <w:r w:rsidRPr="000D0C2A">
          <w:rPr>
            <w:spacing w:val="-4"/>
            <w:sz w:val="20"/>
          </w:rPr>
          <w:t xml:space="preserve"> </w:t>
        </w:r>
        <w:proofErr w:type="spellStart"/>
        <w:r w:rsidR="00004E67">
          <w:rPr>
            <w:sz w:val="20"/>
          </w:rPr>
          <w:t>Inc</w:t>
        </w:r>
        <w:proofErr w:type="spellEnd"/>
        <w:r w:rsidR="00004E67">
          <w:rPr>
            <w:sz w:val="20"/>
          </w:rPr>
          <w:t>,</w:t>
        </w:r>
        <w:r w:rsidRPr="000D0C2A">
          <w:rPr>
            <w:spacing w:val="46"/>
            <w:sz w:val="20"/>
          </w:rPr>
          <w:t xml:space="preserve"> </w:t>
        </w:r>
        <w:r w:rsidRPr="000D0C2A">
          <w:rPr>
            <w:sz w:val="20"/>
          </w:rPr>
          <w:t>ABN:</w:t>
        </w:r>
        <w:r w:rsidRPr="000D0C2A">
          <w:rPr>
            <w:spacing w:val="-5"/>
            <w:sz w:val="20"/>
          </w:rPr>
          <w:t xml:space="preserve"> </w:t>
        </w:r>
        <w:r w:rsidRPr="000D0C2A">
          <w:rPr>
            <w:sz w:val="20"/>
          </w:rPr>
          <w:t>98</w:t>
        </w:r>
        <w:r w:rsidRPr="000D0C2A">
          <w:rPr>
            <w:spacing w:val="-4"/>
            <w:sz w:val="20"/>
          </w:rPr>
          <w:t xml:space="preserve"> </w:t>
        </w:r>
        <w:r w:rsidRPr="000D0C2A">
          <w:rPr>
            <w:sz w:val="20"/>
          </w:rPr>
          <w:t>871</w:t>
        </w:r>
        <w:r w:rsidRPr="000D0C2A">
          <w:rPr>
            <w:spacing w:val="-4"/>
            <w:sz w:val="20"/>
          </w:rPr>
          <w:t xml:space="preserve"> </w:t>
        </w:r>
        <w:r w:rsidRPr="000D0C2A">
          <w:rPr>
            <w:sz w:val="20"/>
          </w:rPr>
          <w:t>224</w:t>
        </w:r>
        <w:r w:rsidRPr="000D0C2A">
          <w:rPr>
            <w:spacing w:val="-4"/>
            <w:sz w:val="20"/>
          </w:rPr>
          <w:t xml:space="preserve"> </w:t>
        </w:r>
        <w:r w:rsidRPr="000D0C2A">
          <w:rPr>
            <w:sz w:val="20"/>
          </w:rPr>
          <w:t>218</w:t>
        </w:r>
        <w:r w:rsidR="00004E67">
          <w:rPr>
            <w:sz w:val="20"/>
          </w:rPr>
          <w:t xml:space="preserve">, </w:t>
        </w:r>
        <w:bookmarkStart w:id="0" w:name="_GoBack"/>
        <w:bookmarkEnd w:id="0"/>
        <w:r w:rsidRPr="000D0C2A">
          <w:rPr>
            <w:spacing w:val="-1"/>
            <w:sz w:val="20"/>
          </w:rPr>
          <w:t>PO</w:t>
        </w:r>
        <w:r w:rsidRPr="000D0C2A">
          <w:rPr>
            <w:spacing w:val="-2"/>
            <w:sz w:val="20"/>
          </w:rPr>
          <w:t xml:space="preserve"> </w:t>
        </w:r>
        <w:r w:rsidRPr="000D0C2A">
          <w:rPr>
            <w:sz w:val="20"/>
          </w:rPr>
          <w:t>Box</w:t>
        </w:r>
        <w:r w:rsidRPr="000D0C2A">
          <w:rPr>
            <w:spacing w:val="-3"/>
            <w:sz w:val="20"/>
          </w:rPr>
          <w:t xml:space="preserve"> </w:t>
        </w:r>
        <w:r w:rsidRPr="000D0C2A">
          <w:rPr>
            <w:sz w:val="20"/>
          </w:rPr>
          <w:t>81,</w:t>
        </w:r>
        <w:r w:rsidRPr="000D0C2A">
          <w:rPr>
            <w:spacing w:val="-3"/>
            <w:sz w:val="20"/>
          </w:rPr>
          <w:t xml:space="preserve"> </w:t>
        </w:r>
        <w:r w:rsidRPr="000D0C2A">
          <w:rPr>
            <w:spacing w:val="-1"/>
            <w:sz w:val="20"/>
          </w:rPr>
          <w:t>Halls</w:t>
        </w:r>
        <w:r w:rsidRPr="000D0C2A">
          <w:rPr>
            <w:spacing w:val="-4"/>
            <w:sz w:val="20"/>
          </w:rPr>
          <w:t xml:space="preserve"> </w:t>
        </w:r>
        <w:r w:rsidRPr="000D0C2A">
          <w:rPr>
            <w:spacing w:val="-1"/>
            <w:sz w:val="20"/>
          </w:rPr>
          <w:t>Gap</w:t>
        </w:r>
        <w:r w:rsidRPr="000D0C2A">
          <w:rPr>
            <w:spacing w:val="51"/>
            <w:sz w:val="20"/>
          </w:rPr>
          <w:t xml:space="preserve"> </w:t>
        </w:r>
        <w:r w:rsidRPr="000D0C2A">
          <w:rPr>
            <w:sz w:val="20"/>
          </w:rPr>
          <w:t>3381</w:t>
        </w:r>
        <w:r w:rsidRPr="000D0C2A">
          <w:rPr>
            <w:spacing w:val="52"/>
            <w:sz w:val="20"/>
          </w:rPr>
          <w:t xml:space="preserve"> </w:t>
        </w:r>
      </w:p>
      <w:p w:rsidR="00DB382E" w:rsidRDefault="00004E67" w:rsidP="00DB382E">
        <w:pPr>
          <w:pStyle w:val="Footer"/>
          <w:jc w:val="center"/>
        </w:pPr>
        <w:hyperlink r:id="rId1">
          <w:r w:rsidR="00DB382E" w:rsidRPr="000D0C2A">
            <w:rPr>
              <w:spacing w:val="-1"/>
              <w:sz w:val="20"/>
            </w:rPr>
            <w:t>www.grampianstourism.com.au</w:t>
          </w:r>
        </w:hyperlink>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82E" w:rsidRDefault="00DB38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C2A" w:rsidRDefault="000D0C2A" w:rsidP="000D0C2A">
      <w:r>
        <w:separator/>
      </w:r>
    </w:p>
  </w:footnote>
  <w:footnote w:type="continuationSeparator" w:id="0">
    <w:p w:rsidR="000D0C2A" w:rsidRDefault="000D0C2A" w:rsidP="000D0C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82E" w:rsidRDefault="00DB38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82E" w:rsidRDefault="00DB38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82E" w:rsidRDefault="00DB38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F1514E"/>
    <w:rsid w:val="00004E67"/>
    <w:rsid w:val="000D0C2A"/>
    <w:rsid w:val="00DB382E"/>
    <w:rsid w:val="00F151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rsid w:val="000D0C2A"/>
    <w:pPr>
      <w:spacing w:before="38"/>
      <w:ind w:left="100"/>
      <w:outlineLvl w:val="0"/>
    </w:pPr>
    <w:rPr>
      <w:rFonts w:eastAsia="Segoe UI"/>
      <w:b/>
      <w:bCs/>
      <w:sz w:val="28"/>
      <w:szCs w:val="28"/>
    </w:rPr>
  </w:style>
  <w:style w:type="paragraph" w:styleId="Heading2">
    <w:name w:val="heading 2"/>
    <w:basedOn w:val="Normal"/>
    <w:next w:val="Normal"/>
    <w:link w:val="Heading2Char"/>
    <w:uiPriority w:val="9"/>
    <w:unhideWhenUsed/>
    <w:qFormat/>
    <w:rsid w:val="00DB382E"/>
    <w:pPr>
      <w:keepNext/>
      <w:keepLines/>
      <w:spacing w:before="200"/>
      <w:outlineLvl w:val="1"/>
    </w:pPr>
    <w:rPr>
      <w:rFonts w:eastAsiaTheme="majorEastAsia"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Segoe UI" w:eastAsia="Segoe UI" w:hAnsi="Segoe U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D0C2A"/>
    <w:rPr>
      <w:rFonts w:ascii="Tahoma" w:hAnsi="Tahoma" w:cs="Tahoma"/>
      <w:sz w:val="16"/>
      <w:szCs w:val="16"/>
    </w:rPr>
  </w:style>
  <w:style w:type="character" w:customStyle="1" w:styleId="BalloonTextChar">
    <w:name w:val="Balloon Text Char"/>
    <w:basedOn w:val="DefaultParagraphFont"/>
    <w:link w:val="BalloonText"/>
    <w:uiPriority w:val="99"/>
    <w:semiHidden/>
    <w:rsid w:val="000D0C2A"/>
    <w:rPr>
      <w:rFonts w:ascii="Tahoma" w:hAnsi="Tahoma" w:cs="Tahoma"/>
      <w:sz w:val="16"/>
      <w:szCs w:val="16"/>
    </w:rPr>
  </w:style>
  <w:style w:type="paragraph" w:styleId="Header">
    <w:name w:val="header"/>
    <w:basedOn w:val="Normal"/>
    <w:link w:val="HeaderChar"/>
    <w:uiPriority w:val="99"/>
    <w:unhideWhenUsed/>
    <w:rsid w:val="000D0C2A"/>
    <w:pPr>
      <w:tabs>
        <w:tab w:val="center" w:pos="4513"/>
        <w:tab w:val="right" w:pos="9026"/>
      </w:tabs>
    </w:pPr>
  </w:style>
  <w:style w:type="character" w:customStyle="1" w:styleId="HeaderChar">
    <w:name w:val="Header Char"/>
    <w:basedOn w:val="DefaultParagraphFont"/>
    <w:link w:val="Header"/>
    <w:uiPriority w:val="99"/>
    <w:rsid w:val="000D0C2A"/>
  </w:style>
  <w:style w:type="paragraph" w:styleId="Footer">
    <w:name w:val="footer"/>
    <w:basedOn w:val="Normal"/>
    <w:link w:val="FooterChar"/>
    <w:uiPriority w:val="99"/>
    <w:unhideWhenUsed/>
    <w:rsid w:val="000D0C2A"/>
    <w:pPr>
      <w:tabs>
        <w:tab w:val="center" w:pos="4513"/>
        <w:tab w:val="right" w:pos="9026"/>
      </w:tabs>
    </w:pPr>
  </w:style>
  <w:style w:type="character" w:customStyle="1" w:styleId="FooterChar">
    <w:name w:val="Footer Char"/>
    <w:basedOn w:val="DefaultParagraphFont"/>
    <w:link w:val="Footer"/>
    <w:uiPriority w:val="99"/>
    <w:rsid w:val="000D0C2A"/>
  </w:style>
  <w:style w:type="character" w:customStyle="1" w:styleId="Heading2Char">
    <w:name w:val="Heading 2 Char"/>
    <w:basedOn w:val="DefaultParagraphFont"/>
    <w:link w:val="Heading2"/>
    <w:uiPriority w:val="9"/>
    <w:rsid w:val="00DB382E"/>
    <w:rPr>
      <w:rFonts w:eastAsiaTheme="majorEastAsia" w:cstheme="majorBid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grampianstourism.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Webster</dc:creator>
  <cp:lastModifiedBy>Joanna Harvey</cp:lastModifiedBy>
  <cp:revision>3</cp:revision>
  <dcterms:created xsi:type="dcterms:W3CDTF">2015-05-04T15:44:00Z</dcterms:created>
  <dcterms:modified xsi:type="dcterms:W3CDTF">2015-05-15T02:26:00Z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2015-04-09T00:00:00Z</vt:filetime>
  </property>
  <property fmtid="{D5CDD505-2E9C-101B-9397-08002B2CF9AE}" pid="3" name="LastSaved">
    <vt:filetime>2015-05-04T00:00:00Z</vt:filetime>
  </property>
  <property fmtid="{D5CDD505-2E9C-101B-9397-08002B2CF9AE}" pid="4" name="TitusGUID">
    <vt:lpwstr>8cd3b14a-b377-4b4e-aa08-865cebfc8515</vt:lpwstr>
  </property>
  <property fmtid="{D5CDD505-2E9C-101B-9397-08002B2CF9AE}" pid="5" name="DSDBI ClassificationCLASSIFICATION">
    <vt:lpwstr>UNCLASSIFIED</vt:lpwstr>
  </property>
  <property fmtid="{D5CDD505-2E9C-101B-9397-08002B2CF9AE}" pid="6" name="DSDBI ClassificationDLM FOR SEC-MARKINGS">
    <vt:lpwstr>NONE</vt:lpwstr>
  </property>
  <property fmtid="{D5CDD505-2E9C-101B-9397-08002B2CF9AE}" pid="7" name="Classification">
    <vt:lpwstr>UNCLASSIFIED
NONE
Joanna Harvey</vt:lpwstr>
  </property>
</Properties>
</file>