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D1E" w:rsidRDefault="006846E1" w:rsidP="006846E1">
      <w:pPr>
        <w:jc w:val="center"/>
      </w:pPr>
      <w:r>
        <w:rPr>
          <w:noProof/>
          <w:lang w:eastAsia="en-AU"/>
        </w:rPr>
        <w:drawing>
          <wp:inline distT="0" distB="0" distL="0" distR="0">
            <wp:extent cx="2217420" cy="1087746"/>
            <wp:effectExtent l="0" t="0" r="0" b="0"/>
            <wp:docPr id="2" name="Picture 2" descr="Go TAFE, choose success" title="Logo for Goulburn Ovens Institute of TA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TAFE_textlogo_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7420" cy="1087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D1E" w:rsidRPr="002652B9" w:rsidRDefault="00AF0F85" w:rsidP="00AF0F85">
      <w:pPr>
        <w:jc w:val="both"/>
        <w:rPr>
          <w:rFonts w:ascii="Tahoma" w:hAnsi="Tahoma" w:cs="Tahoma"/>
          <w:sz w:val="24"/>
          <w:szCs w:val="24"/>
        </w:rPr>
      </w:pPr>
      <w:r w:rsidRPr="002652B9">
        <w:rPr>
          <w:rFonts w:ascii="Tahoma" w:hAnsi="Tahoma" w:cs="Tahoma"/>
          <w:sz w:val="24"/>
          <w:szCs w:val="24"/>
        </w:rPr>
        <w:t>10 April 2015</w:t>
      </w:r>
    </w:p>
    <w:p w:rsidR="00A61555" w:rsidRPr="002652B9" w:rsidRDefault="00A61555" w:rsidP="00AF0F85">
      <w:pPr>
        <w:jc w:val="both"/>
        <w:rPr>
          <w:rFonts w:ascii="Tahoma" w:hAnsi="Tahoma" w:cs="Tahoma"/>
          <w:sz w:val="24"/>
          <w:szCs w:val="24"/>
        </w:rPr>
      </w:pPr>
      <w:r w:rsidRPr="002652B9">
        <w:rPr>
          <w:rFonts w:ascii="Tahoma" w:hAnsi="Tahoma" w:cs="Tahoma"/>
          <w:sz w:val="24"/>
          <w:szCs w:val="24"/>
        </w:rPr>
        <w:t xml:space="preserve">To </w:t>
      </w:r>
      <w:r w:rsidR="00AF0F85" w:rsidRPr="002652B9">
        <w:rPr>
          <w:rFonts w:ascii="Tahoma" w:hAnsi="Tahoma" w:cs="Tahoma"/>
          <w:sz w:val="24"/>
          <w:szCs w:val="24"/>
        </w:rPr>
        <w:t>Whom It May Concern</w:t>
      </w:r>
    </w:p>
    <w:p w:rsidR="00A61555" w:rsidRPr="002652B9" w:rsidRDefault="00A61555" w:rsidP="00AF0F85">
      <w:pPr>
        <w:jc w:val="both"/>
        <w:rPr>
          <w:rFonts w:ascii="Tahoma" w:hAnsi="Tahoma" w:cs="Tahoma"/>
          <w:b/>
          <w:sz w:val="24"/>
          <w:szCs w:val="24"/>
        </w:rPr>
      </w:pPr>
      <w:r w:rsidRPr="002652B9">
        <w:rPr>
          <w:rFonts w:ascii="Tahoma" w:hAnsi="Tahoma" w:cs="Tahoma"/>
          <w:b/>
          <w:sz w:val="24"/>
          <w:szCs w:val="24"/>
        </w:rPr>
        <w:t>Re: Regional Economic Development Strategy Delivery Model Review</w:t>
      </w:r>
    </w:p>
    <w:p w:rsidR="00B3094C" w:rsidRPr="002652B9" w:rsidRDefault="00A61555" w:rsidP="00AF0F85">
      <w:pPr>
        <w:jc w:val="both"/>
        <w:rPr>
          <w:rFonts w:ascii="Tahoma" w:hAnsi="Tahoma" w:cs="Tahoma"/>
          <w:sz w:val="24"/>
          <w:szCs w:val="24"/>
        </w:rPr>
      </w:pPr>
      <w:r w:rsidRPr="002652B9">
        <w:rPr>
          <w:rFonts w:ascii="Tahoma" w:hAnsi="Tahoma" w:cs="Tahoma"/>
          <w:sz w:val="24"/>
          <w:szCs w:val="24"/>
        </w:rPr>
        <w:t xml:space="preserve">While I appreciate the broader scope of the above review, </w:t>
      </w:r>
      <w:r w:rsidR="002D04C2" w:rsidRPr="002652B9">
        <w:rPr>
          <w:rFonts w:ascii="Tahoma" w:hAnsi="Tahoma" w:cs="Tahoma"/>
          <w:sz w:val="24"/>
          <w:szCs w:val="24"/>
        </w:rPr>
        <w:t xml:space="preserve">I am writing </w:t>
      </w:r>
      <w:r w:rsidRPr="002652B9">
        <w:rPr>
          <w:rFonts w:ascii="Tahoma" w:hAnsi="Tahoma" w:cs="Tahoma"/>
          <w:sz w:val="24"/>
          <w:szCs w:val="24"/>
        </w:rPr>
        <w:t xml:space="preserve">with </w:t>
      </w:r>
      <w:r w:rsidR="00732FF7" w:rsidRPr="002652B9">
        <w:rPr>
          <w:rFonts w:ascii="Tahoma" w:hAnsi="Tahoma" w:cs="Tahoma"/>
          <w:sz w:val="24"/>
          <w:szCs w:val="24"/>
        </w:rPr>
        <w:t>specific</w:t>
      </w:r>
      <w:r w:rsidRPr="002652B9">
        <w:rPr>
          <w:rFonts w:ascii="Tahoma" w:hAnsi="Tahoma" w:cs="Tahoma"/>
          <w:sz w:val="24"/>
          <w:szCs w:val="24"/>
        </w:rPr>
        <w:t xml:space="preserve"> </w:t>
      </w:r>
      <w:r w:rsidR="00944ECD" w:rsidRPr="002652B9">
        <w:rPr>
          <w:rFonts w:ascii="Tahoma" w:hAnsi="Tahoma" w:cs="Tahoma"/>
          <w:sz w:val="24"/>
          <w:szCs w:val="24"/>
        </w:rPr>
        <w:t xml:space="preserve">focus on </w:t>
      </w:r>
      <w:r w:rsidR="00732FF7" w:rsidRPr="002652B9">
        <w:rPr>
          <w:rFonts w:ascii="Tahoma" w:hAnsi="Tahoma" w:cs="Tahoma"/>
          <w:sz w:val="24"/>
          <w:szCs w:val="24"/>
        </w:rPr>
        <w:t xml:space="preserve">issues related to implementation of </w:t>
      </w:r>
      <w:r w:rsidR="00B3094C" w:rsidRPr="002652B9">
        <w:rPr>
          <w:rFonts w:ascii="Tahoma" w:hAnsi="Tahoma" w:cs="Tahoma"/>
          <w:sz w:val="24"/>
          <w:szCs w:val="24"/>
        </w:rPr>
        <w:t>regional</w:t>
      </w:r>
      <w:r w:rsidR="00732FF7" w:rsidRPr="002652B9">
        <w:rPr>
          <w:rFonts w:ascii="Tahoma" w:hAnsi="Tahoma" w:cs="Tahoma"/>
          <w:sz w:val="24"/>
          <w:szCs w:val="24"/>
        </w:rPr>
        <w:t xml:space="preserve"> strategy</w:t>
      </w:r>
      <w:r w:rsidR="009D3C34" w:rsidRPr="002652B9">
        <w:rPr>
          <w:rFonts w:ascii="Tahoma" w:hAnsi="Tahoma" w:cs="Tahoma"/>
          <w:sz w:val="24"/>
          <w:szCs w:val="24"/>
        </w:rPr>
        <w:t>,</w:t>
      </w:r>
      <w:r w:rsidR="00732FF7" w:rsidRPr="002652B9">
        <w:rPr>
          <w:rFonts w:ascii="Tahoma" w:hAnsi="Tahoma" w:cs="Tahoma"/>
          <w:sz w:val="24"/>
          <w:szCs w:val="24"/>
        </w:rPr>
        <w:t xml:space="preserve"> which I </w:t>
      </w:r>
      <w:r w:rsidR="00E467F3" w:rsidRPr="002652B9">
        <w:rPr>
          <w:rFonts w:ascii="Tahoma" w:hAnsi="Tahoma" w:cs="Tahoma"/>
          <w:sz w:val="24"/>
          <w:szCs w:val="24"/>
        </w:rPr>
        <w:t>consider to be</w:t>
      </w:r>
      <w:r w:rsidR="00732FF7" w:rsidRPr="002652B9">
        <w:rPr>
          <w:rFonts w:ascii="Tahoma" w:hAnsi="Tahoma" w:cs="Tahoma"/>
          <w:sz w:val="24"/>
          <w:szCs w:val="24"/>
        </w:rPr>
        <w:t xml:space="preserve"> a major weakness in the process of delivery of </w:t>
      </w:r>
      <w:r w:rsidR="00D50D1E" w:rsidRPr="002652B9">
        <w:rPr>
          <w:rFonts w:ascii="Tahoma" w:hAnsi="Tahoma" w:cs="Tahoma"/>
          <w:sz w:val="24"/>
          <w:szCs w:val="24"/>
        </w:rPr>
        <w:t xml:space="preserve">economic </w:t>
      </w:r>
      <w:r w:rsidR="00732FF7" w:rsidRPr="002652B9">
        <w:rPr>
          <w:rFonts w:ascii="Tahoma" w:hAnsi="Tahoma" w:cs="Tahoma"/>
          <w:sz w:val="24"/>
          <w:szCs w:val="24"/>
        </w:rPr>
        <w:t>outcomes</w:t>
      </w:r>
      <w:r w:rsidR="00BC3CF1" w:rsidRPr="002652B9">
        <w:rPr>
          <w:rFonts w:ascii="Tahoma" w:hAnsi="Tahoma" w:cs="Tahoma"/>
          <w:sz w:val="24"/>
          <w:szCs w:val="24"/>
        </w:rPr>
        <w:t xml:space="preserve"> for regional areas</w:t>
      </w:r>
      <w:r w:rsidR="00732FF7" w:rsidRPr="002652B9">
        <w:rPr>
          <w:rFonts w:ascii="Tahoma" w:hAnsi="Tahoma" w:cs="Tahoma"/>
          <w:sz w:val="24"/>
          <w:szCs w:val="24"/>
        </w:rPr>
        <w:t>.</w:t>
      </w:r>
      <w:r w:rsidR="00213EE8" w:rsidRPr="002652B9">
        <w:rPr>
          <w:rFonts w:ascii="Tahoma" w:hAnsi="Tahoma" w:cs="Tahoma"/>
          <w:sz w:val="24"/>
          <w:szCs w:val="24"/>
        </w:rPr>
        <w:t xml:space="preserve"> </w:t>
      </w:r>
    </w:p>
    <w:p w:rsidR="009D3C34" w:rsidRPr="002652B9" w:rsidRDefault="009D3C34" w:rsidP="00AF0F85">
      <w:pPr>
        <w:jc w:val="both"/>
        <w:rPr>
          <w:rFonts w:ascii="Tahoma" w:hAnsi="Tahoma" w:cs="Tahoma"/>
          <w:sz w:val="24"/>
          <w:szCs w:val="24"/>
        </w:rPr>
      </w:pPr>
      <w:r w:rsidRPr="002652B9">
        <w:rPr>
          <w:rFonts w:ascii="Tahoma" w:hAnsi="Tahoma" w:cs="Tahoma"/>
          <w:sz w:val="24"/>
          <w:szCs w:val="24"/>
        </w:rPr>
        <w:t xml:space="preserve">In highlighting particular issues, </w:t>
      </w:r>
      <w:r w:rsidR="00647A0C" w:rsidRPr="002652B9">
        <w:rPr>
          <w:rFonts w:ascii="Tahoma" w:hAnsi="Tahoma" w:cs="Tahoma"/>
          <w:sz w:val="24"/>
          <w:szCs w:val="24"/>
        </w:rPr>
        <w:t>it</w:t>
      </w:r>
      <w:r w:rsidRPr="002652B9">
        <w:rPr>
          <w:rFonts w:ascii="Tahoma" w:hAnsi="Tahoma" w:cs="Tahoma"/>
          <w:sz w:val="24"/>
          <w:szCs w:val="24"/>
        </w:rPr>
        <w:t xml:space="preserve"> demonstrate</w:t>
      </w:r>
      <w:r w:rsidR="00647A0C" w:rsidRPr="002652B9">
        <w:rPr>
          <w:rFonts w:ascii="Tahoma" w:hAnsi="Tahoma" w:cs="Tahoma"/>
          <w:sz w:val="24"/>
          <w:szCs w:val="24"/>
        </w:rPr>
        <w:t>s</w:t>
      </w:r>
      <w:r w:rsidRPr="002652B9">
        <w:rPr>
          <w:rFonts w:ascii="Tahoma" w:hAnsi="Tahoma" w:cs="Tahoma"/>
          <w:sz w:val="24"/>
          <w:szCs w:val="24"/>
        </w:rPr>
        <w:t xml:space="preserve"> a major strategy implementation failing of the current delivery model, not only in the Hume region, but potentially across Victoria.</w:t>
      </w:r>
      <w:r w:rsidR="007D4EDA" w:rsidRPr="002652B9">
        <w:rPr>
          <w:rFonts w:ascii="Tahoma" w:hAnsi="Tahoma" w:cs="Tahoma"/>
          <w:sz w:val="24"/>
          <w:szCs w:val="24"/>
        </w:rPr>
        <w:t xml:space="preserve"> </w:t>
      </w:r>
      <w:r w:rsidR="00647A0C" w:rsidRPr="002652B9">
        <w:rPr>
          <w:rFonts w:ascii="Tahoma" w:hAnsi="Tahoma" w:cs="Tahoma"/>
          <w:sz w:val="24"/>
          <w:szCs w:val="24"/>
        </w:rPr>
        <w:t>G</w:t>
      </w:r>
      <w:r w:rsidR="007D4EDA" w:rsidRPr="002652B9">
        <w:rPr>
          <w:rFonts w:ascii="Tahoma" w:hAnsi="Tahoma" w:cs="Tahoma"/>
          <w:sz w:val="24"/>
          <w:szCs w:val="24"/>
        </w:rPr>
        <w:t>reater attention is required to resourcing of the implementation stage of any regional plan and to appropriately assign responsibility and accountability for delivery.</w:t>
      </w:r>
    </w:p>
    <w:p w:rsidR="009D3C34" w:rsidRPr="002652B9" w:rsidRDefault="00B3094C" w:rsidP="00AF0F85">
      <w:pPr>
        <w:jc w:val="both"/>
        <w:rPr>
          <w:rFonts w:ascii="Tahoma" w:hAnsi="Tahoma" w:cs="Tahoma"/>
          <w:sz w:val="24"/>
          <w:szCs w:val="24"/>
        </w:rPr>
      </w:pPr>
      <w:r w:rsidRPr="002652B9">
        <w:rPr>
          <w:rFonts w:ascii="Tahoma" w:hAnsi="Tahoma" w:cs="Tahoma"/>
          <w:sz w:val="24"/>
          <w:szCs w:val="24"/>
        </w:rPr>
        <w:t xml:space="preserve"> As an example, I refer to </w:t>
      </w:r>
      <w:r w:rsidR="00186084" w:rsidRPr="002652B9">
        <w:rPr>
          <w:rFonts w:ascii="Tahoma" w:hAnsi="Tahoma" w:cs="Tahoma"/>
          <w:sz w:val="24"/>
          <w:szCs w:val="24"/>
        </w:rPr>
        <w:t>The Hume S</w:t>
      </w:r>
      <w:r w:rsidR="00BC3CF1" w:rsidRPr="002652B9">
        <w:rPr>
          <w:rFonts w:ascii="Tahoma" w:hAnsi="Tahoma" w:cs="Tahoma"/>
          <w:sz w:val="24"/>
          <w:szCs w:val="24"/>
        </w:rPr>
        <w:t xml:space="preserve">trategy </w:t>
      </w:r>
      <w:r w:rsidRPr="002652B9">
        <w:rPr>
          <w:rFonts w:ascii="Tahoma" w:hAnsi="Tahoma" w:cs="Tahoma"/>
          <w:sz w:val="24"/>
          <w:szCs w:val="24"/>
        </w:rPr>
        <w:t>2010-2012 (Hume Strategy)</w:t>
      </w:r>
      <w:r w:rsidR="00EB149F" w:rsidRPr="002652B9">
        <w:rPr>
          <w:rFonts w:ascii="Tahoma" w:hAnsi="Tahoma" w:cs="Tahoma"/>
          <w:sz w:val="24"/>
          <w:szCs w:val="24"/>
        </w:rPr>
        <w:t xml:space="preserve"> </w:t>
      </w:r>
      <w:r w:rsidR="00BC3CF1" w:rsidRPr="002652B9">
        <w:rPr>
          <w:rFonts w:ascii="Tahoma" w:hAnsi="Tahoma" w:cs="Tahoma"/>
          <w:sz w:val="24"/>
          <w:szCs w:val="24"/>
        </w:rPr>
        <w:t>as developed by the Hume Regional Management Forum</w:t>
      </w:r>
      <w:r w:rsidR="001A140E" w:rsidRPr="002652B9">
        <w:rPr>
          <w:rFonts w:ascii="Tahoma" w:hAnsi="Tahoma" w:cs="Tahoma"/>
          <w:sz w:val="24"/>
          <w:szCs w:val="24"/>
        </w:rPr>
        <w:t xml:space="preserve">. This </w:t>
      </w:r>
      <w:r w:rsidR="00BC3CF1" w:rsidRPr="002652B9">
        <w:rPr>
          <w:rFonts w:ascii="Tahoma" w:hAnsi="Tahoma" w:cs="Tahoma"/>
          <w:sz w:val="24"/>
          <w:szCs w:val="24"/>
        </w:rPr>
        <w:t xml:space="preserve">is a valuable document which at a strategic level captures </w:t>
      </w:r>
      <w:r w:rsidR="002001F2" w:rsidRPr="002652B9">
        <w:rPr>
          <w:rFonts w:ascii="Tahoma" w:hAnsi="Tahoma" w:cs="Tahoma"/>
          <w:sz w:val="24"/>
          <w:szCs w:val="24"/>
        </w:rPr>
        <w:t xml:space="preserve">key </w:t>
      </w:r>
      <w:r w:rsidR="00BC3CF1" w:rsidRPr="002652B9">
        <w:rPr>
          <w:rFonts w:ascii="Tahoma" w:hAnsi="Tahoma" w:cs="Tahoma"/>
          <w:sz w:val="24"/>
          <w:szCs w:val="24"/>
        </w:rPr>
        <w:t>areas of priority.</w:t>
      </w:r>
      <w:r w:rsidR="002001F2" w:rsidRPr="002652B9">
        <w:rPr>
          <w:rFonts w:ascii="Tahoma" w:hAnsi="Tahoma" w:cs="Tahoma"/>
          <w:sz w:val="24"/>
          <w:szCs w:val="24"/>
        </w:rPr>
        <w:t xml:space="preserve"> It is not however evident who is responsible for </w:t>
      </w:r>
      <w:r w:rsidR="00AD260A" w:rsidRPr="002652B9">
        <w:rPr>
          <w:rFonts w:ascii="Tahoma" w:hAnsi="Tahoma" w:cs="Tahoma"/>
          <w:sz w:val="24"/>
          <w:szCs w:val="24"/>
        </w:rPr>
        <w:t xml:space="preserve">developing specific sector strategies, </w:t>
      </w:r>
      <w:r w:rsidR="002001F2" w:rsidRPr="002652B9">
        <w:rPr>
          <w:rFonts w:ascii="Tahoma" w:hAnsi="Tahoma" w:cs="Tahoma"/>
          <w:sz w:val="24"/>
          <w:szCs w:val="24"/>
        </w:rPr>
        <w:t xml:space="preserve">creating initiatives and driving implementation to support the </w:t>
      </w:r>
      <w:r w:rsidR="00AD260A" w:rsidRPr="002652B9">
        <w:rPr>
          <w:rFonts w:ascii="Tahoma" w:hAnsi="Tahoma" w:cs="Tahoma"/>
          <w:sz w:val="24"/>
          <w:szCs w:val="24"/>
        </w:rPr>
        <w:t>plan.</w:t>
      </w:r>
    </w:p>
    <w:p w:rsidR="00D76C0C" w:rsidRPr="002652B9" w:rsidRDefault="00BC3CF1" w:rsidP="00AF0F85">
      <w:pPr>
        <w:jc w:val="both"/>
        <w:rPr>
          <w:rFonts w:ascii="Tahoma" w:hAnsi="Tahoma" w:cs="Tahoma"/>
          <w:sz w:val="24"/>
          <w:szCs w:val="24"/>
        </w:rPr>
      </w:pPr>
      <w:r w:rsidRPr="002652B9">
        <w:rPr>
          <w:rFonts w:ascii="Tahoma" w:hAnsi="Tahoma" w:cs="Tahoma"/>
          <w:sz w:val="24"/>
          <w:szCs w:val="24"/>
        </w:rPr>
        <w:t>In particular</w:t>
      </w:r>
      <w:r w:rsidR="00C80D4E" w:rsidRPr="002652B9">
        <w:rPr>
          <w:rFonts w:ascii="Tahoma" w:hAnsi="Tahoma" w:cs="Tahoma"/>
          <w:sz w:val="24"/>
          <w:szCs w:val="24"/>
        </w:rPr>
        <w:t>,</w:t>
      </w:r>
      <w:r w:rsidRPr="002652B9">
        <w:rPr>
          <w:rFonts w:ascii="Tahoma" w:hAnsi="Tahoma" w:cs="Tahoma"/>
          <w:sz w:val="24"/>
          <w:szCs w:val="24"/>
        </w:rPr>
        <w:t xml:space="preserve"> Key Direction 5</w:t>
      </w:r>
      <w:r w:rsidR="002001F2" w:rsidRPr="002652B9">
        <w:rPr>
          <w:rFonts w:ascii="Tahoma" w:hAnsi="Tahoma" w:cs="Tahoma"/>
          <w:sz w:val="24"/>
          <w:szCs w:val="24"/>
        </w:rPr>
        <w:t xml:space="preserve"> -</w:t>
      </w:r>
      <w:r w:rsidRPr="002652B9">
        <w:rPr>
          <w:rFonts w:ascii="Tahoma" w:hAnsi="Tahoma" w:cs="Tahoma"/>
          <w:sz w:val="24"/>
          <w:szCs w:val="24"/>
        </w:rPr>
        <w:t xml:space="preserve"> Embracing Learning for Life</w:t>
      </w:r>
      <w:r w:rsidR="00C80D4E" w:rsidRPr="002652B9">
        <w:rPr>
          <w:rFonts w:ascii="Tahoma" w:hAnsi="Tahoma" w:cs="Tahoma"/>
          <w:sz w:val="24"/>
          <w:szCs w:val="24"/>
        </w:rPr>
        <w:t>,</w:t>
      </w:r>
      <w:r w:rsidR="00DE0140" w:rsidRPr="002652B9">
        <w:rPr>
          <w:rFonts w:ascii="Tahoma" w:hAnsi="Tahoma" w:cs="Tahoma"/>
          <w:sz w:val="24"/>
          <w:szCs w:val="24"/>
        </w:rPr>
        <w:t xml:space="preserve"> </w:t>
      </w:r>
      <w:r w:rsidRPr="002652B9">
        <w:rPr>
          <w:rFonts w:ascii="Tahoma" w:hAnsi="Tahoma" w:cs="Tahoma"/>
          <w:sz w:val="24"/>
          <w:szCs w:val="24"/>
        </w:rPr>
        <w:t xml:space="preserve">highlights that “The region’s education assets and abilities are important for social cultural and economic development as well as for retaining and attracting young people and should be built upon.” </w:t>
      </w:r>
    </w:p>
    <w:p w:rsidR="00DE0140" w:rsidRPr="002652B9" w:rsidRDefault="00186084" w:rsidP="00AF0F85">
      <w:pPr>
        <w:jc w:val="both"/>
        <w:rPr>
          <w:rFonts w:ascii="Tahoma" w:hAnsi="Tahoma" w:cs="Tahoma"/>
          <w:sz w:val="24"/>
          <w:szCs w:val="24"/>
        </w:rPr>
      </w:pPr>
      <w:r w:rsidRPr="002652B9">
        <w:rPr>
          <w:rFonts w:ascii="Tahoma" w:hAnsi="Tahoma" w:cs="Tahoma"/>
          <w:sz w:val="24"/>
          <w:szCs w:val="24"/>
        </w:rPr>
        <w:t xml:space="preserve">There is no doubt that improved educational </w:t>
      </w:r>
      <w:r w:rsidR="00E07FCB" w:rsidRPr="002652B9">
        <w:rPr>
          <w:rFonts w:ascii="Tahoma" w:hAnsi="Tahoma" w:cs="Tahoma"/>
          <w:sz w:val="24"/>
          <w:szCs w:val="24"/>
        </w:rPr>
        <w:t>attainment is</w:t>
      </w:r>
      <w:r w:rsidRPr="002652B9">
        <w:rPr>
          <w:rFonts w:ascii="Tahoma" w:hAnsi="Tahoma" w:cs="Tahoma"/>
          <w:sz w:val="24"/>
          <w:szCs w:val="24"/>
        </w:rPr>
        <w:t xml:space="preserve"> a key driver of employment outcomes and </w:t>
      </w:r>
      <w:r w:rsidR="00E07FCB" w:rsidRPr="002652B9">
        <w:rPr>
          <w:rFonts w:ascii="Tahoma" w:hAnsi="Tahoma" w:cs="Tahoma"/>
          <w:sz w:val="24"/>
          <w:szCs w:val="24"/>
        </w:rPr>
        <w:t xml:space="preserve">is </w:t>
      </w:r>
      <w:r w:rsidRPr="002652B9">
        <w:rPr>
          <w:rFonts w:ascii="Tahoma" w:hAnsi="Tahoma" w:cs="Tahoma"/>
          <w:sz w:val="24"/>
          <w:szCs w:val="24"/>
        </w:rPr>
        <w:t xml:space="preserve">particularly important in the Hume Region which currently suffers from low educational attainment levels linked to extremely high youth unemployment. </w:t>
      </w:r>
    </w:p>
    <w:p w:rsidR="00DE0140" w:rsidRPr="002652B9" w:rsidRDefault="00186084" w:rsidP="00AF0F85">
      <w:pPr>
        <w:jc w:val="both"/>
        <w:rPr>
          <w:rFonts w:ascii="Tahoma" w:hAnsi="Tahoma" w:cs="Tahoma"/>
          <w:sz w:val="24"/>
          <w:szCs w:val="24"/>
        </w:rPr>
      </w:pPr>
      <w:r w:rsidRPr="002652B9">
        <w:rPr>
          <w:rFonts w:ascii="Tahoma" w:hAnsi="Tahoma" w:cs="Tahoma"/>
          <w:sz w:val="24"/>
          <w:szCs w:val="24"/>
        </w:rPr>
        <w:t>Low educational attainment not only limits job readiness</w:t>
      </w:r>
      <w:r w:rsidR="00955235" w:rsidRPr="002652B9">
        <w:rPr>
          <w:rFonts w:ascii="Tahoma" w:hAnsi="Tahoma" w:cs="Tahoma"/>
          <w:sz w:val="24"/>
          <w:szCs w:val="24"/>
        </w:rPr>
        <w:t>,</w:t>
      </w:r>
      <w:r w:rsidRPr="002652B9">
        <w:rPr>
          <w:rFonts w:ascii="Tahoma" w:hAnsi="Tahoma" w:cs="Tahoma"/>
          <w:sz w:val="24"/>
          <w:szCs w:val="24"/>
        </w:rPr>
        <w:t xml:space="preserve"> but contributes to many negative social outcomes.</w:t>
      </w:r>
    </w:p>
    <w:p w:rsidR="00D76C0C" w:rsidRPr="002652B9" w:rsidRDefault="00D76C0C" w:rsidP="00AF0F85">
      <w:pPr>
        <w:jc w:val="both"/>
        <w:rPr>
          <w:rFonts w:ascii="Tahoma" w:hAnsi="Tahoma" w:cs="Tahoma"/>
          <w:sz w:val="24"/>
          <w:szCs w:val="24"/>
        </w:rPr>
      </w:pPr>
      <w:r w:rsidRPr="002652B9">
        <w:rPr>
          <w:rFonts w:ascii="Tahoma" w:hAnsi="Tahoma" w:cs="Tahoma"/>
          <w:sz w:val="24"/>
          <w:szCs w:val="24"/>
        </w:rPr>
        <w:t xml:space="preserve">Given this situation, it is imperative </w:t>
      </w:r>
      <w:r w:rsidR="00C31F5E" w:rsidRPr="002652B9">
        <w:rPr>
          <w:rFonts w:ascii="Tahoma" w:hAnsi="Tahoma" w:cs="Tahoma"/>
          <w:sz w:val="24"/>
          <w:szCs w:val="24"/>
        </w:rPr>
        <w:t xml:space="preserve">in any regional plan </w:t>
      </w:r>
      <w:r w:rsidRPr="002652B9">
        <w:rPr>
          <w:rFonts w:ascii="Tahoma" w:hAnsi="Tahoma" w:cs="Tahoma"/>
          <w:sz w:val="24"/>
          <w:szCs w:val="24"/>
        </w:rPr>
        <w:t>that initiatives in the area of Education and Training are prioritised to ensure that the usual long lead times for results are respected</w:t>
      </w:r>
      <w:r w:rsidR="00DE0140" w:rsidRPr="002652B9">
        <w:rPr>
          <w:rFonts w:ascii="Tahoma" w:hAnsi="Tahoma" w:cs="Tahoma"/>
          <w:sz w:val="24"/>
          <w:szCs w:val="24"/>
        </w:rPr>
        <w:t xml:space="preserve"> and able to be achieved</w:t>
      </w:r>
      <w:r w:rsidRPr="002652B9">
        <w:rPr>
          <w:rFonts w:ascii="Tahoma" w:hAnsi="Tahoma" w:cs="Tahoma"/>
          <w:sz w:val="24"/>
          <w:szCs w:val="24"/>
        </w:rPr>
        <w:t xml:space="preserve">. </w:t>
      </w:r>
    </w:p>
    <w:p w:rsidR="00B817D2" w:rsidRPr="002652B9" w:rsidRDefault="00B817D2" w:rsidP="00AF0F85">
      <w:pPr>
        <w:jc w:val="both"/>
        <w:rPr>
          <w:rFonts w:ascii="Tahoma" w:hAnsi="Tahoma" w:cs="Tahoma"/>
          <w:sz w:val="24"/>
          <w:szCs w:val="24"/>
        </w:rPr>
      </w:pPr>
      <w:r w:rsidRPr="002652B9">
        <w:rPr>
          <w:rFonts w:ascii="Tahoma" w:hAnsi="Tahoma" w:cs="Tahoma"/>
          <w:sz w:val="24"/>
          <w:szCs w:val="24"/>
        </w:rPr>
        <w:lastRenderedPageBreak/>
        <w:t xml:space="preserve">A subsequent report entitled State of the Hume Region 2010-2012 (published by Department of Planning and Community Development in August 2012) states with regard to </w:t>
      </w:r>
      <w:r w:rsidR="006D4C0A" w:rsidRPr="002652B9">
        <w:rPr>
          <w:rFonts w:ascii="Tahoma" w:hAnsi="Tahoma" w:cs="Tahoma"/>
          <w:sz w:val="24"/>
          <w:szCs w:val="24"/>
        </w:rPr>
        <w:t>establishment</w:t>
      </w:r>
      <w:r w:rsidRPr="002652B9">
        <w:rPr>
          <w:rFonts w:ascii="Tahoma" w:hAnsi="Tahoma" w:cs="Tahoma"/>
          <w:sz w:val="24"/>
          <w:szCs w:val="24"/>
        </w:rPr>
        <w:t xml:space="preserve"> of a collaborative approach to develop a regional education sector strategy</w:t>
      </w:r>
      <w:r w:rsidR="006D4C0A" w:rsidRPr="002652B9">
        <w:rPr>
          <w:rFonts w:ascii="Tahoma" w:hAnsi="Tahoma" w:cs="Tahoma"/>
          <w:sz w:val="24"/>
          <w:szCs w:val="24"/>
        </w:rPr>
        <w:t>,</w:t>
      </w:r>
      <w:r w:rsidRPr="002652B9">
        <w:rPr>
          <w:rFonts w:ascii="Tahoma" w:hAnsi="Tahoma" w:cs="Tahoma"/>
          <w:sz w:val="24"/>
          <w:szCs w:val="24"/>
        </w:rPr>
        <w:t xml:space="preserve">  that “Progress is not according to plan but actions are in place to bring it back on track.”</w:t>
      </w:r>
      <w:r w:rsidRPr="002652B9">
        <w:rPr>
          <w:rFonts w:ascii="Tahoma" w:hAnsi="Tahoma" w:cs="Tahoma"/>
          <w:b/>
          <w:bCs/>
          <w:color w:val="FFFFFF"/>
          <w:sz w:val="24"/>
          <w:szCs w:val="24"/>
        </w:rPr>
        <w:t>2011</w:t>
      </w:r>
    </w:p>
    <w:p w:rsidR="00B817D2" w:rsidRPr="002652B9" w:rsidRDefault="004679E9" w:rsidP="00AF0F85">
      <w:pPr>
        <w:jc w:val="both"/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2652B9">
        <w:rPr>
          <w:rFonts w:ascii="Tahoma" w:hAnsi="Tahoma" w:cs="Tahoma"/>
          <w:sz w:val="24"/>
          <w:szCs w:val="24"/>
        </w:rPr>
        <w:t>This situation remains to the current time and a</w:t>
      </w:r>
      <w:r w:rsidR="00B817D2" w:rsidRPr="002652B9">
        <w:rPr>
          <w:rFonts w:ascii="Tahoma" w:hAnsi="Tahoma" w:cs="Tahoma"/>
          <w:sz w:val="24"/>
          <w:szCs w:val="24"/>
        </w:rPr>
        <w:t xml:space="preserve">s Board Chair of the key provider of vocational </w:t>
      </w:r>
      <w:r w:rsidR="00FA3B1B" w:rsidRPr="002652B9">
        <w:rPr>
          <w:rFonts w:ascii="Tahoma" w:hAnsi="Tahoma" w:cs="Tahoma"/>
          <w:sz w:val="24"/>
          <w:szCs w:val="24"/>
        </w:rPr>
        <w:t xml:space="preserve">education and </w:t>
      </w:r>
      <w:r w:rsidR="00B817D2" w:rsidRPr="002652B9">
        <w:rPr>
          <w:rFonts w:ascii="Tahoma" w:hAnsi="Tahoma" w:cs="Tahoma"/>
          <w:sz w:val="24"/>
          <w:szCs w:val="24"/>
        </w:rPr>
        <w:t>training in the Hume Region,</w:t>
      </w:r>
      <w:r w:rsidRPr="002652B9">
        <w:rPr>
          <w:rFonts w:ascii="Tahoma" w:hAnsi="Tahoma" w:cs="Tahoma"/>
          <w:sz w:val="24"/>
          <w:szCs w:val="24"/>
        </w:rPr>
        <w:t xml:space="preserve"> </w:t>
      </w:r>
      <w:r w:rsidR="00DE0140" w:rsidRPr="002652B9">
        <w:rPr>
          <w:rFonts w:ascii="Tahoma" w:hAnsi="Tahoma" w:cs="Tahoma"/>
          <w:sz w:val="24"/>
          <w:szCs w:val="24"/>
        </w:rPr>
        <w:t>it is very concerning</w:t>
      </w:r>
      <w:r w:rsidR="00B817D2" w:rsidRPr="002652B9">
        <w:rPr>
          <w:rFonts w:ascii="Tahoma" w:hAnsi="Tahoma" w:cs="Tahoma"/>
          <w:sz w:val="24"/>
          <w:szCs w:val="24"/>
        </w:rPr>
        <w:t xml:space="preserve"> that there has been no </w:t>
      </w:r>
      <w:r w:rsidRPr="002652B9">
        <w:rPr>
          <w:rFonts w:ascii="Tahoma" w:hAnsi="Tahoma" w:cs="Tahoma"/>
          <w:sz w:val="24"/>
          <w:szCs w:val="24"/>
        </w:rPr>
        <w:t xml:space="preserve">overarching </w:t>
      </w:r>
      <w:r w:rsidR="00B817D2" w:rsidRPr="002652B9">
        <w:rPr>
          <w:rFonts w:ascii="Tahoma" w:hAnsi="Tahoma" w:cs="Tahoma"/>
          <w:sz w:val="24"/>
          <w:szCs w:val="24"/>
        </w:rPr>
        <w:t>education strategy developed to support the Hume Strategy. In the current environment, the absence of an educational strategy for the Hume Region is a critical omission.</w:t>
      </w:r>
      <w:r w:rsidR="00B817D2" w:rsidRPr="002652B9">
        <w:rPr>
          <w:rFonts w:ascii="Tahoma" w:hAnsi="Tahoma" w:cs="Tahoma"/>
          <w:b/>
          <w:bCs/>
          <w:color w:val="FFFFFF"/>
          <w:sz w:val="24"/>
          <w:szCs w:val="24"/>
        </w:rPr>
        <w:t xml:space="preserve">2 </w:t>
      </w:r>
    </w:p>
    <w:p w:rsidR="00DE0140" w:rsidRPr="002652B9" w:rsidRDefault="001A140E" w:rsidP="00AF0F85">
      <w:pPr>
        <w:jc w:val="both"/>
        <w:rPr>
          <w:rFonts w:ascii="Tahoma" w:hAnsi="Tahoma" w:cs="Tahoma"/>
          <w:sz w:val="24"/>
          <w:szCs w:val="24"/>
        </w:rPr>
      </w:pPr>
      <w:r w:rsidRPr="002652B9">
        <w:rPr>
          <w:rFonts w:ascii="Tahoma" w:hAnsi="Tahoma" w:cs="Tahoma"/>
          <w:sz w:val="24"/>
          <w:szCs w:val="24"/>
        </w:rPr>
        <w:t xml:space="preserve">Many </w:t>
      </w:r>
      <w:r w:rsidR="00DF3F30" w:rsidRPr="002652B9">
        <w:rPr>
          <w:rFonts w:ascii="Tahoma" w:hAnsi="Tahoma" w:cs="Tahoma"/>
          <w:sz w:val="24"/>
          <w:szCs w:val="24"/>
        </w:rPr>
        <w:t xml:space="preserve">systemic </w:t>
      </w:r>
      <w:r w:rsidRPr="002652B9">
        <w:rPr>
          <w:rFonts w:ascii="Tahoma" w:hAnsi="Tahoma" w:cs="Tahoma"/>
          <w:sz w:val="24"/>
          <w:szCs w:val="24"/>
        </w:rPr>
        <w:t>factors have mitigated against development and implementation of a</w:t>
      </w:r>
      <w:r w:rsidR="009D3C34" w:rsidRPr="002652B9">
        <w:rPr>
          <w:rFonts w:ascii="Tahoma" w:hAnsi="Tahoma" w:cs="Tahoma"/>
          <w:sz w:val="24"/>
          <w:szCs w:val="24"/>
        </w:rPr>
        <w:t xml:space="preserve"> more specific</w:t>
      </w:r>
      <w:r w:rsidRPr="002652B9">
        <w:rPr>
          <w:rFonts w:ascii="Tahoma" w:hAnsi="Tahoma" w:cs="Tahoma"/>
          <w:sz w:val="24"/>
          <w:szCs w:val="24"/>
        </w:rPr>
        <w:t xml:space="preserve"> education strategy in the Hume region, not the least of which have been a number of policy changes brought about by changes of government. </w:t>
      </w:r>
    </w:p>
    <w:p w:rsidR="00B817D2" w:rsidRPr="002652B9" w:rsidRDefault="001A140E" w:rsidP="00AF0F85">
      <w:pPr>
        <w:jc w:val="both"/>
        <w:rPr>
          <w:rFonts w:ascii="Tahoma" w:hAnsi="Tahoma" w:cs="Tahoma"/>
          <w:sz w:val="24"/>
          <w:szCs w:val="24"/>
        </w:rPr>
      </w:pPr>
      <w:r w:rsidRPr="002652B9">
        <w:rPr>
          <w:rFonts w:ascii="Tahoma" w:hAnsi="Tahoma" w:cs="Tahoma"/>
          <w:sz w:val="24"/>
          <w:szCs w:val="24"/>
        </w:rPr>
        <w:t xml:space="preserve">Some of these relevant to the </w:t>
      </w:r>
      <w:r w:rsidR="004679E9" w:rsidRPr="002652B9">
        <w:rPr>
          <w:rFonts w:ascii="Tahoma" w:hAnsi="Tahoma" w:cs="Tahoma"/>
          <w:sz w:val="24"/>
          <w:szCs w:val="24"/>
        </w:rPr>
        <w:t>Vocational Education and Training (</w:t>
      </w:r>
      <w:r w:rsidRPr="002652B9">
        <w:rPr>
          <w:rFonts w:ascii="Tahoma" w:hAnsi="Tahoma" w:cs="Tahoma"/>
          <w:sz w:val="24"/>
          <w:szCs w:val="24"/>
        </w:rPr>
        <w:t>VET</w:t>
      </w:r>
      <w:r w:rsidR="004679E9" w:rsidRPr="002652B9">
        <w:rPr>
          <w:rFonts w:ascii="Tahoma" w:hAnsi="Tahoma" w:cs="Tahoma"/>
          <w:sz w:val="24"/>
          <w:szCs w:val="24"/>
        </w:rPr>
        <w:t>)</w:t>
      </w:r>
      <w:r w:rsidRPr="002652B9">
        <w:rPr>
          <w:rFonts w:ascii="Tahoma" w:hAnsi="Tahoma" w:cs="Tahoma"/>
          <w:sz w:val="24"/>
          <w:szCs w:val="24"/>
        </w:rPr>
        <w:t xml:space="preserve"> sector are currently being addressed by the </w:t>
      </w:r>
      <w:r w:rsidR="004679E9" w:rsidRPr="002652B9">
        <w:rPr>
          <w:rFonts w:ascii="Tahoma" w:hAnsi="Tahoma" w:cs="Tahoma"/>
          <w:sz w:val="24"/>
          <w:szCs w:val="24"/>
        </w:rPr>
        <w:t xml:space="preserve">government’s </w:t>
      </w:r>
      <w:r w:rsidRPr="002652B9">
        <w:rPr>
          <w:rFonts w:ascii="Tahoma" w:hAnsi="Tahoma" w:cs="Tahoma"/>
          <w:sz w:val="24"/>
          <w:szCs w:val="24"/>
        </w:rPr>
        <w:t>VET Funding</w:t>
      </w:r>
      <w:r w:rsidR="00FA3B1B" w:rsidRPr="002652B9">
        <w:rPr>
          <w:rFonts w:ascii="Tahoma" w:hAnsi="Tahoma" w:cs="Tahoma"/>
          <w:sz w:val="24"/>
          <w:szCs w:val="24"/>
        </w:rPr>
        <w:t xml:space="preserve"> </w:t>
      </w:r>
      <w:r w:rsidR="00DF3F30" w:rsidRPr="002652B9">
        <w:rPr>
          <w:rFonts w:ascii="Tahoma" w:hAnsi="Tahoma" w:cs="Tahoma"/>
          <w:sz w:val="24"/>
          <w:szCs w:val="24"/>
        </w:rPr>
        <w:t>Review.</w:t>
      </w:r>
      <w:r w:rsidRPr="002652B9">
        <w:rPr>
          <w:rFonts w:ascii="Tahoma" w:hAnsi="Tahoma" w:cs="Tahoma"/>
          <w:sz w:val="24"/>
          <w:szCs w:val="24"/>
        </w:rPr>
        <w:t xml:space="preserve"> </w:t>
      </w:r>
      <w:r w:rsidR="00DF3F30" w:rsidRPr="002652B9">
        <w:rPr>
          <w:rFonts w:ascii="Tahoma" w:hAnsi="Tahoma" w:cs="Tahoma"/>
          <w:sz w:val="24"/>
          <w:szCs w:val="24"/>
        </w:rPr>
        <w:t>H</w:t>
      </w:r>
      <w:r w:rsidRPr="002652B9">
        <w:rPr>
          <w:rFonts w:ascii="Tahoma" w:hAnsi="Tahoma" w:cs="Tahoma"/>
          <w:sz w:val="24"/>
          <w:szCs w:val="24"/>
        </w:rPr>
        <w:t>owever</w:t>
      </w:r>
      <w:r w:rsidR="00B817D2" w:rsidRPr="002652B9">
        <w:rPr>
          <w:rFonts w:ascii="Tahoma" w:hAnsi="Tahoma" w:cs="Tahoma"/>
          <w:sz w:val="24"/>
          <w:szCs w:val="24"/>
        </w:rPr>
        <w:t xml:space="preserve"> greater coherency across government policy areas </w:t>
      </w:r>
      <w:r w:rsidR="004679E9" w:rsidRPr="002652B9">
        <w:rPr>
          <w:rFonts w:ascii="Tahoma" w:hAnsi="Tahoma" w:cs="Tahoma"/>
          <w:sz w:val="24"/>
          <w:szCs w:val="24"/>
        </w:rPr>
        <w:t>such as</w:t>
      </w:r>
      <w:r w:rsidR="00B817D2" w:rsidRPr="002652B9">
        <w:rPr>
          <w:rFonts w:ascii="Tahoma" w:hAnsi="Tahoma" w:cs="Tahoma"/>
          <w:sz w:val="24"/>
          <w:szCs w:val="24"/>
        </w:rPr>
        <w:t xml:space="preserve"> Regional Development, Education</w:t>
      </w:r>
      <w:r w:rsidR="004679E9" w:rsidRPr="002652B9">
        <w:rPr>
          <w:rFonts w:ascii="Tahoma" w:hAnsi="Tahoma" w:cs="Tahoma"/>
          <w:sz w:val="24"/>
          <w:szCs w:val="24"/>
        </w:rPr>
        <w:t xml:space="preserve"> and </w:t>
      </w:r>
      <w:r w:rsidR="00D50D1E" w:rsidRPr="002652B9">
        <w:rPr>
          <w:rFonts w:ascii="Tahoma" w:hAnsi="Tahoma" w:cs="Tahoma"/>
          <w:sz w:val="24"/>
          <w:szCs w:val="24"/>
        </w:rPr>
        <w:t>Local G</w:t>
      </w:r>
      <w:r w:rsidR="00B817D2" w:rsidRPr="002652B9">
        <w:rPr>
          <w:rFonts w:ascii="Tahoma" w:hAnsi="Tahoma" w:cs="Tahoma"/>
          <w:sz w:val="24"/>
          <w:szCs w:val="24"/>
        </w:rPr>
        <w:t>overnment</w:t>
      </w:r>
      <w:r w:rsidR="004679E9" w:rsidRPr="002652B9">
        <w:rPr>
          <w:rFonts w:ascii="Tahoma" w:hAnsi="Tahoma" w:cs="Tahoma"/>
          <w:sz w:val="24"/>
          <w:szCs w:val="24"/>
        </w:rPr>
        <w:t xml:space="preserve"> is also a critical success factor</w:t>
      </w:r>
      <w:r w:rsidR="00DF3F30" w:rsidRPr="002652B9">
        <w:rPr>
          <w:rFonts w:ascii="Tahoma" w:hAnsi="Tahoma" w:cs="Tahoma"/>
          <w:sz w:val="24"/>
          <w:szCs w:val="24"/>
        </w:rPr>
        <w:t xml:space="preserve"> in ensuring that potential conflicts do not undermine regional development strategy.</w:t>
      </w:r>
    </w:p>
    <w:p w:rsidR="007D4EDA" w:rsidRPr="002652B9" w:rsidRDefault="001A140E" w:rsidP="00AF0F85">
      <w:pPr>
        <w:jc w:val="both"/>
        <w:rPr>
          <w:rFonts w:ascii="Tahoma" w:hAnsi="Tahoma" w:cs="Tahoma"/>
          <w:sz w:val="24"/>
          <w:szCs w:val="24"/>
        </w:rPr>
      </w:pPr>
      <w:r w:rsidRPr="002652B9">
        <w:rPr>
          <w:rFonts w:ascii="Tahoma" w:hAnsi="Tahoma" w:cs="Tahoma"/>
          <w:sz w:val="24"/>
          <w:szCs w:val="24"/>
        </w:rPr>
        <w:t xml:space="preserve">Despite such unfortunate disruptions, GOTAFE has maintained a focus on improving access and developing new </w:t>
      </w:r>
      <w:r w:rsidR="004679E9" w:rsidRPr="002652B9">
        <w:rPr>
          <w:rFonts w:ascii="Tahoma" w:hAnsi="Tahoma" w:cs="Tahoma"/>
          <w:sz w:val="24"/>
          <w:szCs w:val="24"/>
        </w:rPr>
        <w:t xml:space="preserve">education </w:t>
      </w:r>
      <w:r w:rsidRPr="002652B9">
        <w:rPr>
          <w:rFonts w:ascii="Tahoma" w:hAnsi="Tahoma" w:cs="Tahoma"/>
          <w:sz w:val="24"/>
          <w:szCs w:val="24"/>
        </w:rPr>
        <w:t>pathways consistent with the intention of the plan</w:t>
      </w:r>
      <w:r w:rsidR="007D4EDA" w:rsidRPr="002652B9">
        <w:rPr>
          <w:rFonts w:ascii="Tahoma" w:hAnsi="Tahoma" w:cs="Tahoma"/>
          <w:sz w:val="24"/>
          <w:szCs w:val="24"/>
        </w:rPr>
        <w:t xml:space="preserve">. </w:t>
      </w:r>
    </w:p>
    <w:p w:rsidR="001A140E" w:rsidRPr="002652B9" w:rsidRDefault="001A140E" w:rsidP="00AF0F85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2652B9">
        <w:rPr>
          <w:rFonts w:ascii="Tahoma" w:hAnsi="Tahoma" w:cs="Tahoma"/>
          <w:sz w:val="24"/>
          <w:szCs w:val="24"/>
        </w:rPr>
        <w:t>GOTAFE is currently a key partner in the Better Together Alliance which is a</w:t>
      </w:r>
      <w:r w:rsidR="00AF0F85" w:rsidRPr="002652B9">
        <w:rPr>
          <w:rFonts w:ascii="Tahoma" w:hAnsi="Tahoma" w:cs="Tahoma"/>
          <w:sz w:val="24"/>
          <w:szCs w:val="24"/>
        </w:rPr>
        <w:t xml:space="preserve"> </w:t>
      </w:r>
      <w:r w:rsidRPr="002652B9">
        <w:rPr>
          <w:rFonts w:ascii="Tahoma" w:hAnsi="Tahoma" w:cs="Tahoma"/>
          <w:sz w:val="24"/>
          <w:szCs w:val="24"/>
        </w:rPr>
        <w:t xml:space="preserve">collaboration between the major secondary schools in </w:t>
      </w:r>
      <w:r w:rsidR="004679E9" w:rsidRPr="002652B9">
        <w:rPr>
          <w:rFonts w:ascii="Tahoma" w:hAnsi="Tahoma" w:cs="Tahoma"/>
          <w:sz w:val="24"/>
          <w:szCs w:val="24"/>
        </w:rPr>
        <w:t xml:space="preserve">Greater </w:t>
      </w:r>
      <w:r w:rsidRPr="002652B9">
        <w:rPr>
          <w:rFonts w:ascii="Tahoma" w:hAnsi="Tahoma" w:cs="Tahoma"/>
          <w:sz w:val="24"/>
          <w:szCs w:val="24"/>
        </w:rPr>
        <w:t>Shepparton</w:t>
      </w:r>
      <w:r w:rsidR="008A31F0" w:rsidRPr="002652B9">
        <w:rPr>
          <w:rFonts w:ascii="Tahoma" w:hAnsi="Tahoma" w:cs="Tahoma"/>
          <w:sz w:val="24"/>
          <w:szCs w:val="24"/>
        </w:rPr>
        <w:t>.</w:t>
      </w:r>
      <w:r w:rsidR="00DE0140" w:rsidRPr="002652B9">
        <w:rPr>
          <w:rFonts w:ascii="Tahoma" w:hAnsi="Tahoma" w:cs="Tahoma"/>
          <w:sz w:val="24"/>
          <w:szCs w:val="24"/>
        </w:rPr>
        <w:t xml:space="preserve"> Along with La</w:t>
      </w:r>
      <w:r w:rsidR="00AF0F85" w:rsidRPr="002652B9">
        <w:rPr>
          <w:rFonts w:ascii="Tahoma" w:hAnsi="Tahoma" w:cs="Tahoma"/>
          <w:sz w:val="24"/>
          <w:szCs w:val="24"/>
        </w:rPr>
        <w:t xml:space="preserve"> </w:t>
      </w:r>
      <w:r w:rsidR="00DE0140" w:rsidRPr="002652B9">
        <w:rPr>
          <w:rFonts w:ascii="Tahoma" w:hAnsi="Tahoma" w:cs="Tahoma"/>
          <w:sz w:val="24"/>
          <w:szCs w:val="24"/>
        </w:rPr>
        <w:t>Trobe University,</w:t>
      </w:r>
      <w:r w:rsidRPr="002652B9">
        <w:rPr>
          <w:rFonts w:ascii="Tahoma" w:hAnsi="Tahoma" w:cs="Tahoma"/>
          <w:sz w:val="24"/>
          <w:szCs w:val="24"/>
        </w:rPr>
        <w:t xml:space="preserve"> GOTAFE will be</w:t>
      </w:r>
      <w:r w:rsidR="008A31F0" w:rsidRPr="002652B9">
        <w:rPr>
          <w:rFonts w:ascii="Tahoma" w:hAnsi="Tahoma" w:cs="Tahoma"/>
          <w:sz w:val="24"/>
          <w:szCs w:val="24"/>
        </w:rPr>
        <w:t xml:space="preserve"> the partner</w:t>
      </w:r>
      <w:r w:rsidRPr="002652B9">
        <w:rPr>
          <w:rFonts w:ascii="Tahoma" w:hAnsi="Tahoma" w:cs="Tahoma"/>
          <w:sz w:val="24"/>
          <w:szCs w:val="24"/>
        </w:rPr>
        <w:t xml:space="preserve"> responsible for development and </w:t>
      </w:r>
      <w:r w:rsidR="008A31F0" w:rsidRPr="002652B9">
        <w:rPr>
          <w:rFonts w:ascii="Tahoma" w:hAnsi="Tahoma" w:cs="Tahoma"/>
          <w:sz w:val="24"/>
          <w:szCs w:val="24"/>
        </w:rPr>
        <w:t>operation</w:t>
      </w:r>
      <w:r w:rsidRPr="002652B9">
        <w:rPr>
          <w:rFonts w:ascii="Tahoma" w:hAnsi="Tahoma" w:cs="Tahoma"/>
          <w:sz w:val="24"/>
          <w:szCs w:val="24"/>
        </w:rPr>
        <w:t xml:space="preserve"> of a new Trades Skills Centre at McGuire College</w:t>
      </w:r>
      <w:r w:rsidR="00B817D2" w:rsidRPr="002652B9">
        <w:rPr>
          <w:rFonts w:ascii="Tahoma" w:hAnsi="Tahoma" w:cs="Tahoma"/>
          <w:sz w:val="24"/>
          <w:szCs w:val="24"/>
        </w:rPr>
        <w:t xml:space="preserve">. </w:t>
      </w:r>
      <w:r w:rsidRPr="002652B9">
        <w:rPr>
          <w:rFonts w:ascii="Tahoma" w:hAnsi="Tahoma" w:cs="Tahoma"/>
          <w:sz w:val="24"/>
          <w:szCs w:val="24"/>
        </w:rPr>
        <w:t xml:space="preserve">This </w:t>
      </w:r>
      <w:r w:rsidR="00B817D2" w:rsidRPr="002652B9">
        <w:rPr>
          <w:rFonts w:ascii="Tahoma" w:hAnsi="Tahoma" w:cs="Tahoma"/>
          <w:sz w:val="24"/>
          <w:szCs w:val="24"/>
        </w:rPr>
        <w:t xml:space="preserve">provides the opportunity for better integration of the school and VET sector </w:t>
      </w:r>
      <w:r w:rsidR="00C31F5E" w:rsidRPr="002652B9">
        <w:rPr>
          <w:rFonts w:ascii="Tahoma" w:hAnsi="Tahoma" w:cs="Tahoma"/>
          <w:sz w:val="24"/>
          <w:szCs w:val="24"/>
        </w:rPr>
        <w:t xml:space="preserve">in order </w:t>
      </w:r>
      <w:r w:rsidR="00B817D2" w:rsidRPr="002652B9">
        <w:rPr>
          <w:rFonts w:ascii="Tahoma" w:hAnsi="Tahoma" w:cs="Tahoma"/>
          <w:sz w:val="24"/>
          <w:szCs w:val="24"/>
        </w:rPr>
        <w:t xml:space="preserve">to provide </w:t>
      </w:r>
      <w:r w:rsidR="00C31F5E" w:rsidRPr="002652B9">
        <w:rPr>
          <w:rFonts w:ascii="Tahoma" w:hAnsi="Tahoma" w:cs="Tahoma"/>
          <w:sz w:val="24"/>
          <w:szCs w:val="24"/>
        </w:rPr>
        <w:t xml:space="preserve">a </w:t>
      </w:r>
      <w:r w:rsidR="00B817D2" w:rsidRPr="002652B9">
        <w:rPr>
          <w:rFonts w:ascii="Tahoma" w:hAnsi="Tahoma" w:cs="Tahoma"/>
          <w:sz w:val="24"/>
          <w:szCs w:val="24"/>
        </w:rPr>
        <w:t>more seamless transition of students through the offer</w:t>
      </w:r>
      <w:r w:rsidR="00C31F5E" w:rsidRPr="002652B9">
        <w:rPr>
          <w:rFonts w:ascii="Tahoma" w:hAnsi="Tahoma" w:cs="Tahoma"/>
          <w:sz w:val="24"/>
          <w:szCs w:val="24"/>
        </w:rPr>
        <w:t>ing</w:t>
      </w:r>
      <w:r w:rsidR="00B817D2" w:rsidRPr="002652B9">
        <w:rPr>
          <w:rFonts w:ascii="Tahoma" w:hAnsi="Tahoma" w:cs="Tahoma"/>
          <w:sz w:val="24"/>
          <w:szCs w:val="24"/>
        </w:rPr>
        <w:t xml:space="preserve"> of </w:t>
      </w:r>
      <w:r w:rsidRPr="002652B9">
        <w:rPr>
          <w:rFonts w:ascii="Tahoma" w:hAnsi="Tahoma" w:cs="Tahoma"/>
          <w:sz w:val="24"/>
          <w:szCs w:val="24"/>
        </w:rPr>
        <w:t xml:space="preserve">more comprehensive vocational </w:t>
      </w:r>
      <w:r w:rsidR="007D4EDA" w:rsidRPr="002652B9">
        <w:rPr>
          <w:rFonts w:ascii="Tahoma" w:hAnsi="Tahoma" w:cs="Tahoma"/>
          <w:sz w:val="24"/>
          <w:szCs w:val="24"/>
        </w:rPr>
        <w:t xml:space="preserve">and HE </w:t>
      </w:r>
      <w:r w:rsidRPr="002652B9">
        <w:rPr>
          <w:rFonts w:ascii="Tahoma" w:hAnsi="Tahoma" w:cs="Tahoma"/>
          <w:sz w:val="24"/>
          <w:szCs w:val="24"/>
        </w:rPr>
        <w:t>pathways and is a model for future expansion.</w:t>
      </w:r>
    </w:p>
    <w:p w:rsidR="001A140E" w:rsidRPr="002652B9" w:rsidRDefault="00B817D2" w:rsidP="00AF0F85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2652B9">
        <w:rPr>
          <w:rFonts w:ascii="Tahoma" w:hAnsi="Tahoma" w:cs="Tahoma"/>
          <w:sz w:val="24"/>
          <w:szCs w:val="24"/>
        </w:rPr>
        <w:t>GOTAFE also c</w:t>
      </w:r>
      <w:r w:rsidR="009D3C34" w:rsidRPr="002652B9">
        <w:rPr>
          <w:rFonts w:ascii="Tahoma" w:hAnsi="Tahoma" w:cs="Tahoma"/>
          <w:sz w:val="24"/>
          <w:szCs w:val="24"/>
        </w:rPr>
        <w:t>ontinue</w:t>
      </w:r>
      <w:r w:rsidRPr="002652B9">
        <w:rPr>
          <w:rFonts w:ascii="Tahoma" w:hAnsi="Tahoma" w:cs="Tahoma"/>
          <w:sz w:val="24"/>
          <w:szCs w:val="24"/>
        </w:rPr>
        <w:t>s</w:t>
      </w:r>
      <w:r w:rsidR="009D3C34" w:rsidRPr="002652B9">
        <w:rPr>
          <w:rFonts w:ascii="Tahoma" w:hAnsi="Tahoma" w:cs="Tahoma"/>
          <w:sz w:val="24"/>
          <w:szCs w:val="24"/>
        </w:rPr>
        <w:t xml:space="preserve"> to develop pathways for students into Higher Education as evidenced by recent agreements with </w:t>
      </w:r>
      <w:r w:rsidR="001A140E" w:rsidRPr="002652B9">
        <w:rPr>
          <w:rFonts w:ascii="Tahoma" w:hAnsi="Tahoma" w:cs="Tahoma"/>
          <w:sz w:val="24"/>
          <w:szCs w:val="24"/>
        </w:rPr>
        <w:t>La</w:t>
      </w:r>
      <w:r w:rsidR="00AF0F85" w:rsidRPr="002652B9">
        <w:rPr>
          <w:rFonts w:ascii="Tahoma" w:hAnsi="Tahoma" w:cs="Tahoma"/>
          <w:sz w:val="24"/>
          <w:szCs w:val="24"/>
        </w:rPr>
        <w:t xml:space="preserve"> </w:t>
      </w:r>
      <w:r w:rsidR="001A140E" w:rsidRPr="002652B9">
        <w:rPr>
          <w:rFonts w:ascii="Tahoma" w:hAnsi="Tahoma" w:cs="Tahoma"/>
          <w:sz w:val="24"/>
          <w:szCs w:val="24"/>
        </w:rPr>
        <w:t>Trobe</w:t>
      </w:r>
      <w:r w:rsidR="009D3C34" w:rsidRPr="002652B9">
        <w:rPr>
          <w:rFonts w:ascii="Tahoma" w:hAnsi="Tahoma" w:cs="Tahoma"/>
          <w:sz w:val="24"/>
          <w:szCs w:val="24"/>
        </w:rPr>
        <w:t xml:space="preserve"> University to articulate </w:t>
      </w:r>
      <w:r w:rsidR="004679E9" w:rsidRPr="002652B9">
        <w:rPr>
          <w:rFonts w:ascii="Tahoma" w:hAnsi="Tahoma" w:cs="Tahoma"/>
          <w:sz w:val="24"/>
          <w:szCs w:val="24"/>
        </w:rPr>
        <w:t xml:space="preserve">GOTAFE </w:t>
      </w:r>
      <w:r w:rsidR="009D3C34" w:rsidRPr="002652B9">
        <w:rPr>
          <w:rFonts w:ascii="Tahoma" w:hAnsi="Tahoma" w:cs="Tahoma"/>
          <w:sz w:val="24"/>
          <w:szCs w:val="24"/>
        </w:rPr>
        <w:t>Diploma</w:t>
      </w:r>
      <w:r w:rsidRPr="002652B9">
        <w:rPr>
          <w:rFonts w:ascii="Tahoma" w:hAnsi="Tahoma" w:cs="Tahoma"/>
          <w:sz w:val="24"/>
          <w:szCs w:val="24"/>
        </w:rPr>
        <w:t xml:space="preserve"> of Nursing </w:t>
      </w:r>
      <w:r w:rsidR="009D3C34" w:rsidRPr="002652B9">
        <w:rPr>
          <w:rFonts w:ascii="Tahoma" w:hAnsi="Tahoma" w:cs="Tahoma"/>
          <w:sz w:val="24"/>
          <w:szCs w:val="24"/>
        </w:rPr>
        <w:t xml:space="preserve">graduates into a Bachelors qualification and with Charles Sturt University </w:t>
      </w:r>
      <w:r w:rsidR="00DF3F30" w:rsidRPr="002652B9">
        <w:rPr>
          <w:rFonts w:ascii="Tahoma" w:hAnsi="Tahoma" w:cs="Tahoma"/>
          <w:sz w:val="24"/>
          <w:szCs w:val="24"/>
        </w:rPr>
        <w:t>with the joint establishment of a university study campus in Wangaratta and the development and delivery</w:t>
      </w:r>
      <w:r w:rsidR="009D3C34" w:rsidRPr="002652B9">
        <w:rPr>
          <w:rFonts w:ascii="Tahoma" w:hAnsi="Tahoma" w:cs="Tahoma"/>
          <w:sz w:val="24"/>
          <w:szCs w:val="24"/>
        </w:rPr>
        <w:t xml:space="preserve"> of a Bachelor of Veterinary Technology qualification.</w:t>
      </w:r>
    </w:p>
    <w:p w:rsidR="001A140E" w:rsidRPr="002652B9" w:rsidRDefault="001A140E" w:rsidP="00AF0F85">
      <w:pPr>
        <w:jc w:val="both"/>
        <w:rPr>
          <w:rFonts w:ascii="Tahoma" w:hAnsi="Tahoma" w:cs="Tahoma"/>
          <w:sz w:val="24"/>
          <w:szCs w:val="24"/>
        </w:rPr>
      </w:pPr>
      <w:r w:rsidRPr="002652B9">
        <w:rPr>
          <w:rFonts w:ascii="Tahoma" w:hAnsi="Tahoma" w:cs="Tahoma"/>
          <w:sz w:val="24"/>
          <w:szCs w:val="24"/>
        </w:rPr>
        <w:t xml:space="preserve">If such initiatives were able to be incorporated into a more cohesive regional plan, the opportunity to </w:t>
      </w:r>
      <w:r w:rsidR="009D3C34" w:rsidRPr="002652B9">
        <w:rPr>
          <w:rFonts w:ascii="Tahoma" w:hAnsi="Tahoma" w:cs="Tahoma"/>
          <w:sz w:val="24"/>
          <w:szCs w:val="24"/>
        </w:rPr>
        <w:t xml:space="preserve">realise </w:t>
      </w:r>
      <w:r w:rsidRPr="002652B9">
        <w:rPr>
          <w:rFonts w:ascii="Tahoma" w:hAnsi="Tahoma" w:cs="Tahoma"/>
          <w:sz w:val="24"/>
          <w:szCs w:val="24"/>
        </w:rPr>
        <w:t xml:space="preserve">broader regional </w:t>
      </w:r>
      <w:r w:rsidR="009D3C34" w:rsidRPr="002652B9">
        <w:rPr>
          <w:rFonts w:ascii="Tahoma" w:hAnsi="Tahoma" w:cs="Tahoma"/>
          <w:sz w:val="24"/>
          <w:szCs w:val="24"/>
        </w:rPr>
        <w:t xml:space="preserve">outcomes could be </w:t>
      </w:r>
      <w:r w:rsidR="004679E9" w:rsidRPr="002652B9">
        <w:rPr>
          <w:rFonts w:ascii="Tahoma" w:hAnsi="Tahoma" w:cs="Tahoma"/>
          <w:sz w:val="24"/>
          <w:szCs w:val="24"/>
        </w:rPr>
        <w:t xml:space="preserve">greatly </w:t>
      </w:r>
      <w:r w:rsidR="009D3C34" w:rsidRPr="002652B9">
        <w:rPr>
          <w:rFonts w:ascii="Tahoma" w:hAnsi="Tahoma" w:cs="Tahoma"/>
          <w:sz w:val="24"/>
          <w:szCs w:val="24"/>
        </w:rPr>
        <w:t>enhanced</w:t>
      </w:r>
      <w:r w:rsidR="00DE0140" w:rsidRPr="002652B9">
        <w:rPr>
          <w:rFonts w:ascii="Tahoma" w:hAnsi="Tahoma" w:cs="Tahoma"/>
          <w:sz w:val="24"/>
          <w:szCs w:val="24"/>
        </w:rPr>
        <w:t xml:space="preserve"> and expedited</w:t>
      </w:r>
      <w:r w:rsidRPr="002652B9">
        <w:rPr>
          <w:rFonts w:ascii="Tahoma" w:hAnsi="Tahoma" w:cs="Tahoma"/>
          <w:sz w:val="24"/>
          <w:szCs w:val="24"/>
        </w:rPr>
        <w:t>.</w:t>
      </w:r>
    </w:p>
    <w:p w:rsidR="00DE0140" w:rsidRPr="002652B9" w:rsidRDefault="00AE1A07" w:rsidP="00AF0F85">
      <w:pPr>
        <w:jc w:val="both"/>
        <w:rPr>
          <w:rFonts w:ascii="Tahoma" w:hAnsi="Tahoma" w:cs="Tahoma"/>
          <w:sz w:val="24"/>
          <w:szCs w:val="24"/>
        </w:rPr>
      </w:pPr>
      <w:r w:rsidRPr="002652B9">
        <w:rPr>
          <w:rFonts w:ascii="Tahoma" w:hAnsi="Tahoma" w:cs="Tahoma"/>
          <w:sz w:val="24"/>
          <w:szCs w:val="24"/>
        </w:rPr>
        <w:lastRenderedPageBreak/>
        <w:t>While having a regional development strategy in place is an important first step, the key to achieving outcomes is effective implementation which requires a greater onus an assigning responsibility, accountability and sufficient resource</w:t>
      </w:r>
      <w:r w:rsidR="009F2BE6" w:rsidRPr="002652B9">
        <w:rPr>
          <w:rFonts w:ascii="Tahoma" w:hAnsi="Tahoma" w:cs="Tahoma"/>
          <w:sz w:val="24"/>
          <w:szCs w:val="24"/>
        </w:rPr>
        <w:t xml:space="preserve"> to the task</w:t>
      </w:r>
      <w:r w:rsidRPr="002652B9">
        <w:rPr>
          <w:rFonts w:ascii="Tahoma" w:hAnsi="Tahoma" w:cs="Tahoma"/>
          <w:sz w:val="24"/>
          <w:szCs w:val="24"/>
        </w:rPr>
        <w:t xml:space="preserve">. </w:t>
      </w:r>
    </w:p>
    <w:p w:rsidR="00AE1A07" w:rsidRPr="002652B9" w:rsidRDefault="00C31F5E" w:rsidP="00AF0F85">
      <w:pPr>
        <w:jc w:val="both"/>
        <w:rPr>
          <w:rFonts w:ascii="Tahoma" w:hAnsi="Tahoma" w:cs="Tahoma"/>
          <w:sz w:val="24"/>
          <w:szCs w:val="24"/>
        </w:rPr>
      </w:pPr>
      <w:r w:rsidRPr="002652B9">
        <w:rPr>
          <w:rFonts w:ascii="Tahoma" w:hAnsi="Tahoma" w:cs="Tahoma"/>
          <w:sz w:val="24"/>
          <w:szCs w:val="24"/>
        </w:rPr>
        <w:t>Overall, it seems that responsibilities are currently delegated to working parties and committees without sufficient</w:t>
      </w:r>
      <w:r w:rsidR="00D50D1E" w:rsidRPr="002652B9">
        <w:rPr>
          <w:rFonts w:ascii="Tahoma" w:hAnsi="Tahoma" w:cs="Tahoma"/>
          <w:sz w:val="24"/>
          <w:szCs w:val="24"/>
        </w:rPr>
        <w:t xml:space="preserve"> </w:t>
      </w:r>
      <w:r w:rsidRPr="002652B9">
        <w:rPr>
          <w:rFonts w:ascii="Tahoma" w:hAnsi="Tahoma" w:cs="Tahoma"/>
          <w:sz w:val="24"/>
          <w:szCs w:val="24"/>
        </w:rPr>
        <w:t xml:space="preserve">governance </w:t>
      </w:r>
      <w:r w:rsidR="00FA3B1B" w:rsidRPr="002652B9">
        <w:rPr>
          <w:rFonts w:ascii="Tahoma" w:hAnsi="Tahoma" w:cs="Tahoma"/>
          <w:sz w:val="24"/>
          <w:szCs w:val="24"/>
        </w:rPr>
        <w:t>framework</w:t>
      </w:r>
      <w:r w:rsidR="00DF3F30" w:rsidRPr="002652B9">
        <w:rPr>
          <w:rFonts w:ascii="Tahoma" w:hAnsi="Tahoma" w:cs="Tahoma"/>
          <w:sz w:val="24"/>
          <w:szCs w:val="24"/>
        </w:rPr>
        <w:t>s</w:t>
      </w:r>
      <w:r w:rsidRPr="002652B9">
        <w:rPr>
          <w:rFonts w:ascii="Tahoma" w:hAnsi="Tahoma" w:cs="Tahoma"/>
          <w:sz w:val="24"/>
          <w:szCs w:val="24"/>
        </w:rPr>
        <w:t xml:space="preserve"> or project management resource provided.</w:t>
      </w:r>
    </w:p>
    <w:p w:rsidR="00A61555" w:rsidRPr="002652B9" w:rsidRDefault="004C4495" w:rsidP="00AF0F85">
      <w:pPr>
        <w:jc w:val="both"/>
        <w:rPr>
          <w:rFonts w:ascii="Tahoma" w:hAnsi="Tahoma" w:cs="Tahoma"/>
          <w:sz w:val="24"/>
          <w:szCs w:val="24"/>
        </w:rPr>
      </w:pPr>
      <w:r w:rsidRPr="002652B9">
        <w:rPr>
          <w:rFonts w:ascii="Tahoma" w:hAnsi="Tahoma" w:cs="Tahoma"/>
          <w:sz w:val="24"/>
          <w:szCs w:val="24"/>
        </w:rPr>
        <w:t xml:space="preserve">Again, I use this as an example of a broader issue of bringing </w:t>
      </w:r>
      <w:r w:rsidR="00E07FCB" w:rsidRPr="002652B9">
        <w:rPr>
          <w:rFonts w:ascii="Tahoma" w:hAnsi="Tahoma" w:cs="Tahoma"/>
          <w:sz w:val="24"/>
          <w:szCs w:val="24"/>
        </w:rPr>
        <w:t>regional development</w:t>
      </w:r>
      <w:r w:rsidR="007366BA" w:rsidRPr="002652B9">
        <w:rPr>
          <w:rFonts w:ascii="Tahoma" w:hAnsi="Tahoma" w:cs="Tahoma"/>
          <w:sz w:val="24"/>
          <w:szCs w:val="24"/>
        </w:rPr>
        <w:t xml:space="preserve"> </w:t>
      </w:r>
      <w:r w:rsidRPr="002652B9">
        <w:rPr>
          <w:rFonts w:ascii="Tahoma" w:hAnsi="Tahoma" w:cs="Tahoma"/>
          <w:sz w:val="24"/>
          <w:szCs w:val="24"/>
        </w:rPr>
        <w:t>plans to life</w:t>
      </w:r>
      <w:r w:rsidR="00E07FCB" w:rsidRPr="002652B9">
        <w:rPr>
          <w:rFonts w:ascii="Tahoma" w:hAnsi="Tahoma" w:cs="Tahoma"/>
          <w:sz w:val="24"/>
          <w:szCs w:val="24"/>
        </w:rPr>
        <w:t xml:space="preserve"> and trust that you will give due consideration to this issue</w:t>
      </w:r>
      <w:r w:rsidR="00D76C0C" w:rsidRPr="002652B9">
        <w:rPr>
          <w:rFonts w:ascii="Tahoma" w:hAnsi="Tahoma" w:cs="Tahoma"/>
          <w:sz w:val="24"/>
          <w:szCs w:val="24"/>
        </w:rPr>
        <w:t xml:space="preserve"> of effective</w:t>
      </w:r>
      <w:r w:rsidR="00BB085F" w:rsidRPr="002652B9">
        <w:rPr>
          <w:rFonts w:ascii="Tahoma" w:hAnsi="Tahoma" w:cs="Tahoma"/>
          <w:sz w:val="24"/>
          <w:szCs w:val="24"/>
        </w:rPr>
        <w:t>ness of</w:t>
      </w:r>
      <w:r w:rsidR="00D76C0C" w:rsidRPr="002652B9">
        <w:rPr>
          <w:rFonts w:ascii="Tahoma" w:hAnsi="Tahoma" w:cs="Tahoma"/>
          <w:sz w:val="24"/>
          <w:szCs w:val="24"/>
        </w:rPr>
        <w:t xml:space="preserve"> implementation</w:t>
      </w:r>
      <w:r w:rsidR="00E07FCB" w:rsidRPr="002652B9">
        <w:rPr>
          <w:rFonts w:ascii="Tahoma" w:hAnsi="Tahoma" w:cs="Tahoma"/>
          <w:sz w:val="24"/>
          <w:szCs w:val="24"/>
        </w:rPr>
        <w:t xml:space="preserve"> as a key element of a</w:t>
      </w:r>
      <w:r w:rsidR="00D76C0C" w:rsidRPr="002652B9">
        <w:rPr>
          <w:rFonts w:ascii="Tahoma" w:hAnsi="Tahoma" w:cs="Tahoma"/>
          <w:sz w:val="24"/>
          <w:szCs w:val="24"/>
        </w:rPr>
        <w:t xml:space="preserve"> meaningful regional</w:t>
      </w:r>
      <w:r w:rsidR="00E07FCB" w:rsidRPr="002652B9">
        <w:rPr>
          <w:rFonts w:ascii="Tahoma" w:hAnsi="Tahoma" w:cs="Tahoma"/>
          <w:sz w:val="24"/>
          <w:szCs w:val="24"/>
        </w:rPr>
        <w:t xml:space="preserve"> delivery model.</w:t>
      </w:r>
    </w:p>
    <w:p w:rsidR="00A61555" w:rsidRPr="002652B9" w:rsidRDefault="00A61555" w:rsidP="00AF0F85">
      <w:pPr>
        <w:jc w:val="both"/>
        <w:rPr>
          <w:rFonts w:ascii="Tahoma" w:hAnsi="Tahoma" w:cs="Tahoma"/>
          <w:sz w:val="24"/>
          <w:szCs w:val="24"/>
        </w:rPr>
      </w:pPr>
      <w:r w:rsidRPr="002652B9">
        <w:rPr>
          <w:rFonts w:ascii="Tahoma" w:hAnsi="Tahoma" w:cs="Tahoma"/>
          <w:sz w:val="24"/>
          <w:szCs w:val="24"/>
        </w:rPr>
        <w:t>Yours sincerely</w:t>
      </w:r>
    </w:p>
    <w:p w:rsidR="00AF0F85" w:rsidRPr="002652B9" w:rsidRDefault="00AF0F85" w:rsidP="00AF0F85">
      <w:pPr>
        <w:jc w:val="both"/>
        <w:rPr>
          <w:rFonts w:ascii="Tahoma" w:hAnsi="Tahoma" w:cs="Tahoma"/>
          <w:sz w:val="24"/>
          <w:szCs w:val="24"/>
        </w:rPr>
      </w:pPr>
      <w:r w:rsidRPr="002652B9">
        <w:rPr>
          <w:rFonts w:ascii="Tahoma" w:hAnsi="Tahoma" w:cs="Tahoma"/>
          <w:noProof/>
          <w:sz w:val="24"/>
          <w:szCs w:val="24"/>
          <w:lang w:eastAsia="en-AU"/>
        </w:rPr>
        <w:drawing>
          <wp:inline distT="0" distB="0" distL="0" distR="0" wp14:anchorId="3F62557C" wp14:editId="3A764C24">
            <wp:extent cx="1226820" cy="529763"/>
            <wp:effectExtent l="0" t="0" r="0" b="3810"/>
            <wp:docPr id="1" name="Picture 1" descr="U:\Private\CEO Office\2015 CEO\Board\Correspondence\Signature\MichaelTehan.jpg" title="signature of Michael Tehan, Board Cha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Private\CEO Office\2015 CEO\Board\Correspondence\Signature\MichaelTeha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529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555" w:rsidRPr="002652B9" w:rsidRDefault="00A61555" w:rsidP="00AF0F85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2652B9">
        <w:rPr>
          <w:rFonts w:ascii="Tahoma" w:hAnsi="Tahoma" w:cs="Tahoma"/>
          <w:sz w:val="24"/>
          <w:szCs w:val="24"/>
        </w:rPr>
        <w:t>Michael Tehan</w:t>
      </w:r>
    </w:p>
    <w:p w:rsidR="00A61555" w:rsidRPr="002652B9" w:rsidRDefault="00A61555" w:rsidP="00AF0F85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2652B9">
        <w:rPr>
          <w:rFonts w:ascii="Tahoma" w:hAnsi="Tahoma" w:cs="Tahoma"/>
          <w:sz w:val="24"/>
          <w:szCs w:val="24"/>
        </w:rPr>
        <w:t>Board Chair</w:t>
      </w:r>
    </w:p>
    <w:p w:rsidR="00A61555" w:rsidRPr="002652B9" w:rsidRDefault="00A61555" w:rsidP="00AF0F85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2652B9">
        <w:rPr>
          <w:rFonts w:ascii="Tahoma" w:hAnsi="Tahoma" w:cs="Tahoma"/>
          <w:sz w:val="24"/>
          <w:szCs w:val="24"/>
        </w:rPr>
        <w:t>Goulburn Ovens Institute of TAFE</w:t>
      </w:r>
    </w:p>
    <w:sectPr w:rsidR="00A61555" w:rsidRPr="002652B9" w:rsidSect="006846E1">
      <w:footerReference w:type="default" r:id="rId10"/>
      <w:pgSz w:w="11906" w:h="16838"/>
      <w:pgMar w:top="1440" w:right="1418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2B9" w:rsidRDefault="002652B9" w:rsidP="002652B9">
      <w:pPr>
        <w:spacing w:after="0" w:line="240" w:lineRule="auto"/>
      </w:pPr>
      <w:r>
        <w:separator/>
      </w:r>
    </w:p>
  </w:endnote>
  <w:endnote w:type="continuationSeparator" w:id="0">
    <w:p w:rsidR="002652B9" w:rsidRDefault="002652B9" w:rsidP="00265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90625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52B9" w:rsidRDefault="002652B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2B9" w:rsidRDefault="002652B9" w:rsidP="002652B9">
      <w:pPr>
        <w:spacing w:after="0" w:line="240" w:lineRule="auto"/>
      </w:pPr>
      <w:r>
        <w:separator/>
      </w:r>
    </w:p>
  </w:footnote>
  <w:footnote w:type="continuationSeparator" w:id="0">
    <w:p w:rsidR="002652B9" w:rsidRDefault="002652B9" w:rsidP="00265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2438"/>
    <w:multiLevelType w:val="hybridMultilevel"/>
    <w:tmpl w:val="CD70DE1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AC5238"/>
    <w:multiLevelType w:val="hybridMultilevel"/>
    <w:tmpl w:val="3564BE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3657C1"/>
    <w:multiLevelType w:val="hybridMultilevel"/>
    <w:tmpl w:val="A4E458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CED"/>
    <w:rsid w:val="00014261"/>
    <w:rsid w:val="00186084"/>
    <w:rsid w:val="001A140E"/>
    <w:rsid w:val="002001F2"/>
    <w:rsid w:val="00213EE8"/>
    <w:rsid w:val="002652B9"/>
    <w:rsid w:val="002D04C2"/>
    <w:rsid w:val="00321B34"/>
    <w:rsid w:val="00456C10"/>
    <w:rsid w:val="004679E9"/>
    <w:rsid w:val="004C4495"/>
    <w:rsid w:val="00647A0C"/>
    <w:rsid w:val="00664FAC"/>
    <w:rsid w:val="006846E1"/>
    <w:rsid w:val="006D4C0A"/>
    <w:rsid w:val="006E0171"/>
    <w:rsid w:val="00732FF7"/>
    <w:rsid w:val="007366BA"/>
    <w:rsid w:val="007C4CED"/>
    <w:rsid w:val="007D4EDA"/>
    <w:rsid w:val="00856754"/>
    <w:rsid w:val="008A31F0"/>
    <w:rsid w:val="00914B7E"/>
    <w:rsid w:val="00944ECD"/>
    <w:rsid w:val="00955235"/>
    <w:rsid w:val="00971F01"/>
    <w:rsid w:val="009D3C34"/>
    <w:rsid w:val="009F2BE6"/>
    <w:rsid w:val="00A17B71"/>
    <w:rsid w:val="00A61555"/>
    <w:rsid w:val="00AA0996"/>
    <w:rsid w:val="00AC6E7C"/>
    <w:rsid w:val="00AD260A"/>
    <w:rsid w:val="00AE1A07"/>
    <w:rsid w:val="00AF0F85"/>
    <w:rsid w:val="00B3094C"/>
    <w:rsid w:val="00B817D2"/>
    <w:rsid w:val="00BB085F"/>
    <w:rsid w:val="00BC3CF1"/>
    <w:rsid w:val="00BF4793"/>
    <w:rsid w:val="00C31F5E"/>
    <w:rsid w:val="00C80D4E"/>
    <w:rsid w:val="00CC3CD2"/>
    <w:rsid w:val="00D1197E"/>
    <w:rsid w:val="00D50D1E"/>
    <w:rsid w:val="00D76C0C"/>
    <w:rsid w:val="00DE0140"/>
    <w:rsid w:val="00DF3F30"/>
    <w:rsid w:val="00E07FCB"/>
    <w:rsid w:val="00E467F3"/>
    <w:rsid w:val="00E53579"/>
    <w:rsid w:val="00EB149F"/>
    <w:rsid w:val="00FA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1F2"/>
    <w:pPr>
      <w:ind w:left="720"/>
      <w:contextualSpacing/>
    </w:pPr>
  </w:style>
  <w:style w:type="table" w:styleId="TableGrid">
    <w:name w:val="Table Grid"/>
    <w:basedOn w:val="TableNormal"/>
    <w:uiPriority w:val="59"/>
    <w:rsid w:val="004C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F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52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2B9"/>
  </w:style>
  <w:style w:type="paragraph" w:styleId="Footer">
    <w:name w:val="footer"/>
    <w:basedOn w:val="Normal"/>
    <w:link w:val="FooterChar"/>
    <w:uiPriority w:val="99"/>
    <w:unhideWhenUsed/>
    <w:rsid w:val="002652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2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1F2"/>
    <w:pPr>
      <w:ind w:left="720"/>
      <w:contextualSpacing/>
    </w:pPr>
  </w:style>
  <w:style w:type="table" w:styleId="TableGrid">
    <w:name w:val="Table Grid"/>
    <w:basedOn w:val="TableNormal"/>
    <w:uiPriority w:val="59"/>
    <w:rsid w:val="004C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F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52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2B9"/>
  </w:style>
  <w:style w:type="paragraph" w:styleId="Footer">
    <w:name w:val="footer"/>
    <w:basedOn w:val="Normal"/>
    <w:link w:val="FooterChar"/>
    <w:uiPriority w:val="99"/>
    <w:unhideWhenUsed/>
    <w:rsid w:val="002652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810</Words>
  <Characters>4517</Characters>
  <Application>Microsoft Office Word</Application>
  <DocSecurity>0</DocSecurity>
  <Lines>84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Goulburn Ovens Institute of TAFE</Company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McLennan</dc:creator>
  <cp:lastModifiedBy>Joanna Harvey</cp:lastModifiedBy>
  <cp:revision>2</cp:revision>
  <cp:lastPrinted>2015-04-10T05:37:00Z</cp:lastPrinted>
  <dcterms:created xsi:type="dcterms:W3CDTF">2015-05-12T02:06:00Z</dcterms:created>
  <dcterms:modified xsi:type="dcterms:W3CDTF">2015-05-12T02:06:00Z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67d319a2-3ea0-4c32-b0b9-c4831b694526</vt:lpwstr>
  </property>
  <property fmtid="{D5CDD505-2E9C-101B-9397-08002B2CF9AE}" pid="3" name="DSDBI ClassificationCLASSIFICATION">
    <vt:lpwstr>UNCLASSIFIED</vt:lpwstr>
  </property>
  <property fmtid="{D5CDD505-2E9C-101B-9397-08002B2CF9AE}" pid="4" name="DSDBI ClassificationDLM FOR SEC-MARKINGS">
    <vt:lpwstr>NONE</vt:lpwstr>
  </property>
  <property fmtid="{D5CDD505-2E9C-101B-9397-08002B2CF9AE}" pid="5" name="Classification">
    <vt:lpwstr>UNCLASSIFIED
NONE
Joanna Harvey</vt:lpwstr>
  </property>
</Properties>
</file>