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0020E" w14:textId="54CA3209" w:rsidR="004E40C5" w:rsidRDefault="0013032F" w:rsidP="004E40C5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6BEE722A" wp14:editId="57B3B3C2">
            <wp:extent cx="2148844" cy="539497"/>
            <wp:effectExtent l="0" t="0" r="3810" b="0"/>
            <wp:docPr id="1" name="Picture 1" descr="Regional Development Vic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egional Development Victoria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8844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0DA66" w14:textId="28BA968E" w:rsidR="00757772" w:rsidRPr="00F22F9E" w:rsidRDefault="00305D3C" w:rsidP="004E40C5">
      <w:pPr>
        <w:pStyle w:val="Title"/>
      </w:pPr>
      <w:r w:rsidRPr="00F22F9E">
        <w:t>Annual</w:t>
      </w:r>
      <w:r w:rsidR="0013032F">
        <w:t xml:space="preserve"> </w:t>
      </w:r>
      <w:r w:rsidRPr="00F22F9E">
        <w:t>Report</w:t>
      </w:r>
    </w:p>
    <w:p w14:paraId="642730A0" w14:textId="2404054D" w:rsidR="00757772" w:rsidRDefault="00305D3C" w:rsidP="004E40C5">
      <w:pPr>
        <w:pStyle w:val="Subtitle"/>
        <w:rPr>
          <w:lang w:val="en-GB"/>
        </w:rPr>
      </w:pPr>
      <w:r w:rsidRPr="00F22F9E">
        <w:rPr>
          <w:lang w:val="en-GB"/>
        </w:rPr>
        <w:t>2022–23</w:t>
      </w:r>
    </w:p>
    <w:p w14:paraId="494C1D0F" w14:textId="5B5E8A62" w:rsidR="0013032F" w:rsidRDefault="0013032F" w:rsidP="0013032F">
      <w:pPr>
        <w:pStyle w:val="TOCHeading"/>
        <w:rPr>
          <w:lang w:val="en-GB"/>
        </w:rPr>
      </w:pPr>
      <w:r>
        <w:rPr>
          <w:lang w:val="en-GB"/>
        </w:rPr>
        <w:t>Contents</w:t>
      </w:r>
    </w:p>
    <w:p w14:paraId="59C10F77" w14:textId="368EE30E" w:rsidR="000814E4" w:rsidRDefault="000814E4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\o "1-1" \h \z \t "Heading 2,2,Heading 2 numbered,2" </w:instrText>
      </w:r>
      <w:r>
        <w:rPr>
          <w:lang w:val="en-GB"/>
        </w:rPr>
        <w:fldChar w:fldCharType="separate"/>
      </w:r>
      <w:hyperlink w:anchor="_Toc149566548" w:history="1">
        <w:r w:rsidRPr="002E5690">
          <w:rPr>
            <w:rStyle w:val="Hyperlink"/>
            <w:noProof/>
          </w:rPr>
          <w:t>Chief Executive foreword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E7B382C" w14:textId="45D8FB23" w:rsidR="000814E4" w:rsidRDefault="000814E4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49566549" w:history="1">
        <w:r w:rsidRPr="002E5690">
          <w:rPr>
            <w:rStyle w:val="Hyperlink"/>
            <w:noProof/>
          </w:rPr>
          <w:t>RDV Executive team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826D810" w14:textId="3BBE30E1" w:rsidR="000814E4" w:rsidRDefault="000814E4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49566550" w:history="1">
        <w:r w:rsidRPr="002E5690">
          <w:rPr>
            <w:rStyle w:val="Hyperlink"/>
            <w:noProof/>
          </w:rPr>
          <w:t>Regional Victoria – a vital part of our state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53B9CC1" w14:textId="6E5ACF07" w:rsidR="000814E4" w:rsidRDefault="000814E4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49566551" w:history="1">
        <w:r w:rsidRPr="002E5690">
          <w:rPr>
            <w:rStyle w:val="Hyperlink"/>
            <w:noProof/>
          </w:rPr>
          <w:t>An overview of Regional Development Victoria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AF961C5" w14:textId="2F16958C" w:rsidR="000814E4" w:rsidRDefault="000814E4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49566552" w:history="1">
        <w:r w:rsidRPr="002E5690">
          <w:rPr>
            <w:rStyle w:val="Hyperlink"/>
            <w:noProof/>
          </w:rPr>
          <w:t>Purpose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C288B3F" w14:textId="7355F68D" w:rsidR="000814E4" w:rsidRDefault="000814E4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49566553" w:history="1">
        <w:r w:rsidRPr="002E5690">
          <w:rPr>
            <w:rStyle w:val="Hyperlink"/>
            <w:noProof/>
          </w:rPr>
          <w:t>Organisational structure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A72D111" w14:textId="78215C6E" w:rsidR="000814E4" w:rsidRDefault="000814E4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49566554" w:history="1">
        <w:r w:rsidRPr="002E5690">
          <w:rPr>
            <w:rStyle w:val="Hyperlink"/>
            <w:noProof/>
          </w:rPr>
          <w:t>Regional Jobs and Infrastructure Fund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1CB69A4" w14:textId="383AAAC9" w:rsidR="000814E4" w:rsidRDefault="000814E4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49566555" w:history="1">
        <w:r w:rsidRPr="002E5690">
          <w:rPr>
            <w:rStyle w:val="Hyperlink"/>
            <w:noProof/>
          </w:rPr>
          <w:t>Regional Jobs Fund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3A0AB13" w14:textId="7BCE4AA2" w:rsidR="000814E4" w:rsidRDefault="000814E4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49566556" w:history="1">
        <w:r w:rsidRPr="002E5690">
          <w:rPr>
            <w:rStyle w:val="Hyperlink"/>
            <w:noProof/>
          </w:rPr>
          <w:t>Regional Infrastructure Fund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5CF99FF" w14:textId="00ABD59C" w:rsidR="000814E4" w:rsidRDefault="000814E4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49566557" w:history="1">
        <w:r w:rsidRPr="002E5690">
          <w:rPr>
            <w:rStyle w:val="Hyperlink"/>
            <w:noProof/>
          </w:rPr>
          <w:t>Investment Fast-Track Fund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85397EA" w14:textId="114DB6DA" w:rsidR="000814E4" w:rsidRDefault="000814E4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49566558" w:history="1">
        <w:r w:rsidRPr="002E5690">
          <w:rPr>
            <w:rStyle w:val="Hyperlink"/>
            <w:noProof/>
          </w:rPr>
          <w:t>Regional Partnerships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9F7C266" w14:textId="3A075087" w:rsidR="000814E4" w:rsidRDefault="000814E4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49566559" w:history="1">
        <w:r w:rsidRPr="002E5690">
          <w:rPr>
            <w:rStyle w:val="Hyperlink"/>
            <w:noProof/>
          </w:rPr>
          <w:t>Overview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0E9AD74" w14:textId="1E2C799D" w:rsidR="000814E4" w:rsidRDefault="000814E4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49566560" w:history="1">
        <w:r w:rsidRPr="002E5690">
          <w:rPr>
            <w:rStyle w:val="Hyperlink"/>
            <w:noProof/>
          </w:rPr>
          <w:t>Key achievements for 2022–23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FB01248" w14:textId="131F9A0A" w:rsidR="000814E4" w:rsidRDefault="000814E4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49566561" w:history="1">
        <w:r w:rsidRPr="002E5690">
          <w:rPr>
            <w:rStyle w:val="Hyperlink"/>
            <w:noProof/>
          </w:rPr>
          <w:t>Reporting on Regional Partnerships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0BA3784" w14:textId="5DAFEB17" w:rsidR="000814E4" w:rsidRDefault="000814E4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49566562" w:history="1">
        <w:r w:rsidRPr="002E5690">
          <w:rPr>
            <w:rStyle w:val="Hyperlink"/>
            <w:noProof/>
          </w:rPr>
          <w:t>Barwon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2F070E3" w14:textId="4F627322" w:rsidR="000814E4" w:rsidRDefault="000814E4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49566563" w:history="1">
        <w:r w:rsidRPr="002E5690">
          <w:rPr>
            <w:rStyle w:val="Hyperlink"/>
            <w:noProof/>
          </w:rPr>
          <w:t>Great South Coast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5D277534" w14:textId="569393EE" w:rsidR="000814E4" w:rsidRDefault="000814E4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49566564" w:history="1">
        <w:r w:rsidRPr="002E5690">
          <w:rPr>
            <w:rStyle w:val="Hyperlink"/>
            <w:noProof/>
          </w:rPr>
          <w:t>Wimmera Southern Mallee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DC82ED5" w14:textId="66F88D55" w:rsidR="000814E4" w:rsidRDefault="000814E4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49566565" w:history="1">
        <w:r w:rsidRPr="002E5690">
          <w:rPr>
            <w:rStyle w:val="Hyperlink"/>
            <w:noProof/>
          </w:rPr>
          <w:t>Central Highlands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13B971EE" w14:textId="4ED97B10" w:rsidR="000814E4" w:rsidRDefault="000814E4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49566566" w:history="1">
        <w:r w:rsidRPr="002E5690">
          <w:rPr>
            <w:rStyle w:val="Hyperlink"/>
            <w:noProof/>
          </w:rPr>
          <w:t>Ovens Murray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4C54750D" w14:textId="26875769" w:rsidR="000814E4" w:rsidRDefault="000814E4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49566567" w:history="1">
        <w:r w:rsidRPr="002E5690">
          <w:rPr>
            <w:rStyle w:val="Hyperlink"/>
            <w:noProof/>
          </w:rPr>
          <w:t>Goulburn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5F1B5966" w14:textId="58ED34A4" w:rsidR="000814E4" w:rsidRDefault="000814E4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49566568" w:history="1">
        <w:r w:rsidRPr="002E5690">
          <w:rPr>
            <w:rStyle w:val="Hyperlink"/>
            <w:noProof/>
          </w:rPr>
          <w:t>Mallee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37418A8D" w14:textId="7DECCFD0" w:rsidR="000814E4" w:rsidRDefault="000814E4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49566569" w:history="1">
        <w:r w:rsidRPr="002E5690">
          <w:rPr>
            <w:rStyle w:val="Hyperlink"/>
            <w:noProof/>
          </w:rPr>
          <w:t>Case study: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686D1DA9" w14:textId="1F665599" w:rsidR="000814E4" w:rsidRDefault="000814E4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49566570" w:history="1">
        <w:r w:rsidRPr="002E5690">
          <w:rPr>
            <w:rStyle w:val="Hyperlink"/>
            <w:noProof/>
          </w:rPr>
          <w:t>Loddon Campaspe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3D17BF73" w14:textId="75EC2537" w:rsidR="000814E4" w:rsidRDefault="000814E4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49566571" w:history="1">
        <w:r w:rsidRPr="002E5690">
          <w:rPr>
            <w:rStyle w:val="Hyperlink"/>
            <w:noProof/>
          </w:rPr>
          <w:t>Case study: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53187D90" w14:textId="27B7B96E" w:rsidR="000814E4" w:rsidRDefault="000814E4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49566572" w:history="1">
        <w:r w:rsidRPr="002E5690">
          <w:rPr>
            <w:rStyle w:val="Hyperlink"/>
            <w:noProof/>
          </w:rPr>
          <w:t>Gippsland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6D95CE88" w14:textId="3B4BB999" w:rsidR="000814E4" w:rsidRDefault="000814E4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49566573" w:history="1">
        <w:r w:rsidRPr="002E5690">
          <w:rPr>
            <w:rStyle w:val="Hyperlink"/>
            <w:noProof/>
          </w:rPr>
          <w:t>Case study: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272133B7" w14:textId="25C8CDE8" w:rsidR="000814E4" w:rsidRDefault="000814E4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49566574" w:history="1">
        <w:r w:rsidRPr="002E5690">
          <w:rPr>
            <w:rStyle w:val="Hyperlink"/>
            <w:noProof/>
          </w:rPr>
          <w:t>Regional Development Australia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3FC9B425" w14:textId="73309F0A" w:rsidR="000814E4" w:rsidRDefault="000814E4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49566575" w:history="1">
        <w:r w:rsidRPr="002E5690">
          <w:rPr>
            <w:rStyle w:val="Hyperlink"/>
            <w:noProof/>
          </w:rPr>
          <w:t>Barwon South West case study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3810BFEA" w14:textId="5C0C1913" w:rsidR="000814E4" w:rsidRDefault="000814E4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49566576" w:history="1">
        <w:r w:rsidRPr="002E5690">
          <w:rPr>
            <w:rStyle w:val="Hyperlink"/>
            <w:noProof/>
          </w:rPr>
          <w:t>Gippsland case study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759F50FE" w14:textId="27F3933D" w:rsidR="000814E4" w:rsidRDefault="000814E4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49566577" w:history="1">
        <w:r w:rsidRPr="002E5690">
          <w:rPr>
            <w:rStyle w:val="Hyperlink"/>
            <w:noProof/>
          </w:rPr>
          <w:t>Grampians case study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7BF30A12" w14:textId="3E5ECEED" w:rsidR="000814E4" w:rsidRDefault="000814E4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49566578" w:history="1">
        <w:r w:rsidRPr="002E5690">
          <w:rPr>
            <w:rStyle w:val="Hyperlink"/>
            <w:noProof/>
          </w:rPr>
          <w:t>Hume case study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35D640A9" w14:textId="4AE528CD" w:rsidR="000814E4" w:rsidRDefault="000814E4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49566579" w:history="1">
        <w:r w:rsidRPr="002E5690">
          <w:rPr>
            <w:rStyle w:val="Hyperlink"/>
            <w:noProof/>
          </w:rPr>
          <w:t>Loddon Mallee case study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777B716D" w14:textId="19796733" w:rsidR="000814E4" w:rsidRDefault="000814E4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49566580" w:history="1">
        <w:r w:rsidRPr="002E5690">
          <w:rPr>
            <w:rStyle w:val="Hyperlink"/>
            <w:noProof/>
          </w:rPr>
          <w:t>Melbourne case study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55BB613A" w14:textId="3AC3B96E" w:rsidR="000814E4" w:rsidRDefault="000814E4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49566581" w:history="1">
        <w:r w:rsidRPr="002E5690">
          <w:rPr>
            <w:rStyle w:val="Hyperlink"/>
            <w:noProof/>
          </w:rPr>
          <w:t>Cross Border Commissioner: Asking the border question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108DC703" w14:textId="787110BE" w:rsidR="000814E4" w:rsidRDefault="000814E4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49566582" w:history="1">
        <w:r w:rsidRPr="002E5690">
          <w:rPr>
            <w:rStyle w:val="Hyperlink"/>
            <w:noProof/>
          </w:rPr>
          <w:t>Regional Economic Development Strategies (REDS)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2A1888DF" w14:textId="21F05C09" w:rsidR="000814E4" w:rsidRDefault="000814E4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49566583" w:history="1">
        <w:r w:rsidRPr="002E5690">
          <w:rPr>
            <w:rStyle w:val="Hyperlink"/>
            <w:noProof/>
          </w:rPr>
          <w:t>Geelong City Deal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0A479122" w14:textId="5A3BB8E0" w:rsidR="000814E4" w:rsidRDefault="000814E4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49566584" w:history="1">
        <w:r w:rsidRPr="002E5690">
          <w:rPr>
            <w:rStyle w:val="Hyperlink"/>
            <w:noProof/>
          </w:rPr>
          <w:t>Key achievements in 2022–23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769768B7" w14:textId="59AF78CC" w:rsidR="000814E4" w:rsidRDefault="000814E4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49566585" w:history="1">
        <w:r w:rsidRPr="002E5690">
          <w:rPr>
            <w:rStyle w:val="Hyperlink"/>
            <w:noProof/>
          </w:rPr>
          <w:t>2022 Victorian flood recovery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29992A7F" w14:textId="03F3A89C" w:rsidR="000814E4" w:rsidRDefault="000814E4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49566586" w:history="1">
        <w:r w:rsidRPr="002E5690">
          <w:rPr>
            <w:rStyle w:val="Hyperlink"/>
            <w:noProof/>
          </w:rPr>
          <w:t>Regional report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740000E8" w14:textId="6D0C7B4A" w:rsidR="000814E4" w:rsidRDefault="000814E4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49566587" w:history="1">
        <w:r w:rsidRPr="002E5690">
          <w:rPr>
            <w:rStyle w:val="Hyperlink"/>
            <w:noProof/>
          </w:rPr>
          <w:t>Barwon South West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3F2FBC04" w14:textId="4A87ADEE" w:rsidR="000814E4" w:rsidRDefault="000814E4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49566588" w:history="1">
        <w:r w:rsidRPr="002E5690">
          <w:rPr>
            <w:rStyle w:val="Hyperlink"/>
            <w:noProof/>
          </w:rPr>
          <w:t>Regional highlights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254CC97C" w14:textId="3C902154" w:rsidR="000814E4" w:rsidRDefault="000814E4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49566589" w:history="1">
        <w:r w:rsidRPr="002E5690">
          <w:rPr>
            <w:rStyle w:val="Hyperlink"/>
            <w:noProof/>
          </w:rPr>
          <w:t>Key outcomes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0DDA6055" w14:textId="27803A13" w:rsidR="000814E4" w:rsidRDefault="000814E4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49566590" w:history="1">
        <w:r w:rsidRPr="002E5690">
          <w:rPr>
            <w:rStyle w:val="Hyperlink"/>
            <w:noProof/>
          </w:rPr>
          <w:t>Gippsland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0DAE5EE5" w14:textId="759602BD" w:rsidR="000814E4" w:rsidRDefault="000814E4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49566591" w:history="1">
        <w:r w:rsidRPr="002E5690">
          <w:rPr>
            <w:rStyle w:val="Hyperlink"/>
            <w:noProof/>
          </w:rPr>
          <w:t>Regional highlights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757B2BA3" w14:textId="55BD63F6" w:rsidR="000814E4" w:rsidRDefault="000814E4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49566592" w:history="1">
        <w:r w:rsidRPr="002E5690">
          <w:rPr>
            <w:rStyle w:val="Hyperlink"/>
            <w:noProof/>
          </w:rPr>
          <w:t>Key outcomes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1146121D" w14:textId="26DC6D0B" w:rsidR="000814E4" w:rsidRDefault="000814E4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49566593" w:history="1">
        <w:r w:rsidRPr="002E5690">
          <w:rPr>
            <w:rStyle w:val="Hyperlink"/>
            <w:noProof/>
          </w:rPr>
          <w:t>Grampians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4831ACCA" w14:textId="23C324C6" w:rsidR="000814E4" w:rsidRDefault="000814E4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49566594" w:history="1">
        <w:r w:rsidRPr="002E5690">
          <w:rPr>
            <w:rStyle w:val="Hyperlink"/>
            <w:noProof/>
          </w:rPr>
          <w:t>Regional highlights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34BE9B73" w14:textId="119C0718" w:rsidR="000814E4" w:rsidRDefault="000814E4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49566595" w:history="1">
        <w:r w:rsidRPr="002E5690">
          <w:rPr>
            <w:rStyle w:val="Hyperlink"/>
            <w:noProof/>
          </w:rPr>
          <w:t>Key outcomes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0F5E4AFF" w14:textId="101D9F22" w:rsidR="000814E4" w:rsidRDefault="000814E4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49566596" w:history="1">
        <w:r w:rsidRPr="002E5690">
          <w:rPr>
            <w:rStyle w:val="Hyperlink"/>
            <w:noProof/>
          </w:rPr>
          <w:t>Hume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2F6FBF4D" w14:textId="56AD4E73" w:rsidR="000814E4" w:rsidRDefault="000814E4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49566597" w:history="1">
        <w:r w:rsidRPr="002E5690">
          <w:rPr>
            <w:rStyle w:val="Hyperlink"/>
            <w:noProof/>
          </w:rPr>
          <w:t>Regional highlights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6D0ABC52" w14:textId="6F68D9D8" w:rsidR="000814E4" w:rsidRDefault="000814E4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49566598" w:history="1">
        <w:r w:rsidRPr="002E5690">
          <w:rPr>
            <w:rStyle w:val="Hyperlink"/>
            <w:noProof/>
          </w:rPr>
          <w:t>Key outcomes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4FE77D57" w14:textId="7756CF16" w:rsidR="000814E4" w:rsidRDefault="000814E4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49566599" w:history="1">
        <w:r w:rsidRPr="002E5690">
          <w:rPr>
            <w:rStyle w:val="Hyperlink"/>
            <w:noProof/>
          </w:rPr>
          <w:t>Loddon Mallee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7EC04DA4" w14:textId="07A96020" w:rsidR="000814E4" w:rsidRDefault="000814E4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49566600" w:history="1">
        <w:r w:rsidRPr="002E5690">
          <w:rPr>
            <w:rStyle w:val="Hyperlink"/>
            <w:noProof/>
          </w:rPr>
          <w:t>Regional highlights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326F8105" w14:textId="1938599D" w:rsidR="000814E4" w:rsidRDefault="000814E4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49566601" w:history="1">
        <w:r w:rsidRPr="002E5690">
          <w:rPr>
            <w:rStyle w:val="Hyperlink"/>
            <w:noProof/>
          </w:rPr>
          <w:t>Key outcomes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7AB55AC7" w14:textId="23931238" w:rsidR="000814E4" w:rsidRDefault="000814E4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49566602" w:history="1">
        <w:r w:rsidRPr="002E5690">
          <w:rPr>
            <w:rStyle w:val="Hyperlink"/>
            <w:noProof/>
          </w:rPr>
          <w:t>Financials 2022–23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1A688CD1" w14:textId="76650EC5" w:rsidR="000814E4" w:rsidRDefault="000814E4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49566603" w:history="1">
        <w:r w:rsidRPr="002E5690">
          <w:rPr>
            <w:rStyle w:val="Hyperlink"/>
            <w:noProof/>
          </w:rPr>
          <w:t>2022–23 output targets and performance against Budget Paper 3 measures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37EEDF9B" w14:textId="464FB094" w:rsidR="000814E4" w:rsidRDefault="000814E4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49566604" w:history="1">
        <w:r w:rsidRPr="002E5690">
          <w:rPr>
            <w:rStyle w:val="Hyperlink"/>
            <w:noProof/>
          </w:rPr>
          <w:t>Income and expenditure report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62050131" w14:textId="7DFE6256" w:rsidR="000814E4" w:rsidRDefault="000814E4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149566605" w:history="1">
        <w:r w:rsidRPr="002E5690">
          <w:rPr>
            <w:rStyle w:val="Hyperlink"/>
            <w:noProof/>
          </w:rPr>
          <w:t>Contact 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750BA45E" w14:textId="0F3A1A96" w:rsidR="000814E4" w:rsidRDefault="000814E4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49566606" w:history="1">
        <w:r w:rsidRPr="002E5690">
          <w:rPr>
            <w:rStyle w:val="Hyperlink"/>
            <w:noProof/>
          </w:rPr>
          <w:t>Regional Development Victoria offices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_Toc149566606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0FA674D9" w14:textId="5AAD95BF" w:rsidR="0013032F" w:rsidRPr="0013032F" w:rsidRDefault="000814E4" w:rsidP="0013032F">
      <w:pPr>
        <w:rPr>
          <w:lang w:val="en-GB"/>
        </w:rPr>
      </w:pPr>
      <w:r>
        <w:rPr>
          <w:lang w:val="en-GB"/>
        </w:rPr>
        <w:fldChar w:fldCharType="end"/>
      </w:r>
    </w:p>
    <w:p w14:paraId="4E816575" w14:textId="54EFB70E" w:rsidR="00757772" w:rsidRPr="0013032F" w:rsidRDefault="00305D3C" w:rsidP="0013032F">
      <w:pPr>
        <w:pStyle w:val="Normalbeforebullets"/>
        <w:rPr>
          <w:b/>
          <w:bCs/>
        </w:rPr>
      </w:pPr>
      <w:r w:rsidRPr="0013032F">
        <w:rPr>
          <w:b/>
          <w:bCs/>
        </w:rPr>
        <w:t>Acknowledgment</w:t>
      </w:r>
    </w:p>
    <w:p w14:paraId="551E1298" w14:textId="6FC0080E" w:rsidR="00757772" w:rsidRPr="0013032F" w:rsidRDefault="00305D3C" w:rsidP="0013032F">
      <w:r w:rsidRPr="0013032F">
        <w:t>We</w:t>
      </w:r>
      <w:r w:rsidR="0013032F">
        <w:t xml:space="preserve"> </w:t>
      </w:r>
      <w:r w:rsidRPr="0013032F">
        <w:t>acknowledge</w:t>
      </w:r>
      <w:r w:rsidR="0013032F">
        <w:t xml:space="preserve"> </w:t>
      </w:r>
      <w:r w:rsidRPr="0013032F">
        <w:t>the</w:t>
      </w:r>
      <w:r w:rsidR="0013032F">
        <w:t xml:space="preserve"> </w:t>
      </w:r>
      <w:r w:rsidRPr="0013032F">
        <w:t>traditional</w:t>
      </w:r>
      <w:r w:rsidR="0013032F">
        <w:t xml:space="preserve"> </w:t>
      </w:r>
      <w:r w:rsidRPr="0013032F">
        <w:t>Aboriginal</w:t>
      </w:r>
      <w:r w:rsidR="0013032F">
        <w:t xml:space="preserve"> </w:t>
      </w:r>
      <w:r w:rsidRPr="0013032F">
        <w:t>owners</w:t>
      </w:r>
      <w:r w:rsidR="0013032F">
        <w:t xml:space="preserve"> </w:t>
      </w:r>
      <w:r w:rsidRPr="0013032F">
        <w:t>of</w:t>
      </w:r>
      <w:r w:rsidR="0013032F">
        <w:t xml:space="preserve"> </w:t>
      </w:r>
      <w:r w:rsidRPr="0013032F">
        <w:t>country</w:t>
      </w:r>
      <w:r w:rsidR="0013032F">
        <w:t xml:space="preserve"> </w:t>
      </w:r>
      <w:r w:rsidRPr="0013032F">
        <w:t>throughout</w:t>
      </w:r>
      <w:r w:rsidR="0013032F">
        <w:t xml:space="preserve"> </w:t>
      </w:r>
      <w:r w:rsidRPr="0013032F">
        <w:t>Victoria,</w:t>
      </w:r>
      <w:r w:rsidR="0013032F">
        <w:t xml:space="preserve"> </w:t>
      </w:r>
      <w:r w:rsidRPr="0013032F">
        <w:t>their</w:t>
      </w:r>
      <w:r w:rsidR="0013032F">
        <w:t xml:space="preserve"> </w:t>
      </w:r>
      <w:r w:rsidRPr="0013032F">
        <w:t>ongoing</w:t>
      </w:r>
      <w:r w:rsidR="0013032F">
        <w:t xml:space="preserve"> </w:t>
      </w:r>
      <w:r w:rsidRPr="0013032F">
        <w:t>connection</w:t>
      </w:r>
      <w:r w:rsidR="0013032F">
        <w:t xml:space="preserve"> </w:t>
      </w:r>
      <w:r w:rsidRPr="0013032F">
        <w:t>to</w:t>
      </w:r>
      <w:r w:rsidR="0013032F">
        <w:t xml:space="preserve"> </w:t>
      </w:r>
      <w:r w:rsidRPr="0013032F">
        <w:t>this</w:t>
      </w:r>
      <w:r w:rsidR="0013032F">
        <w:t xml:space="preserve"> </w:t>
      </w:r>
      <w:r w:rsidRPr="0013032F">
        <w:t>land</w:t>
      </w:r>
      <w:r w:rsidR="0013032F">
        <w:t xml:space="preserve"> </w:t>
      </w:r>
      <w:r w:rsidRPr="0013032F">
        <w:t>and</w:t>
      </w:r>
      <w:r w:rsidR="0013032F">
        <w:t xml:space="preserve"> </w:t>
      </w:r>
      <w:r w:rsidRPr="0013032F">
        <w:t>we</w:t>
      </w:r>
      <w:r w:rsidR="0013032F">
        <w:t xml:space="preserve"> </w:t>
      </w:r>
      <w:r w:rsidRPr="0013032F">
        <w:t>pay</w:t>
      </w:r>
      <w:r w:rsidR="0013032F">
        <w:t xml:space="preserve"> </w:t>
      </w:r>
      <w:r w:rsidRPr="0013032F">
        <w:t>our</w:t>
      </w:r>
      <w:r w:rsidR="0013032F">
        <w:t xml:space="preserve"> </w:t>
      </w:r>
      <w:r w:rsidRPr="0013032F">
        <w:t>respects</w:t>
      </w:r>
      <w:r w:rsidR="0013032F">
        <w:t xml:space="preserve"> </w:t>
      </w:r>
      <w:r w:rsidRPr="0013032F">
        <w:t>to</w:t>
      </w:r>
      <w:r w:rsidR="0013032F">
        <w:t xml:space="preserve"> </w:t>
      </w:r>
      <w:r w:rsidRPr="0013032F">
        <w:t>their</w:t>
      </w:r>
      <w:r w:rsidR="0013032F">
        <w:t xml:space="preserve"> </w:t>
      </w:r>
      <w:r w:rsidRPr="0013032F">
        <w:t>culture</w:t>
      </w:r>
      <w:r w:rsidR="0013032F">
        <w:t xml:space="preserve"> </w:t>
      </w:r>
      <w:r w:rsidRPr="0013032F">
        <w:t>and</w:t>
      </w:r>
      <w:r w:rsidR="0013032F">
        <w:t xml:space="preserve"> </w:t>
      </w:r>
      <w:r w:rsidRPr="0013032F">
        <w:t>their</w:t>
      </w:r>
      <w:r w:rsidR="0013032F">
        <w:t xml:space="preserve"> </w:t>
      </w:r>
      <w:r w:rsidRPr="0013032F">
        <w:t>Elders</w:t>
      </w:r>
      <w:r w:rsidR="0013032F">
        <w:t xml:space="preserve"> </w:t>
      </w:r>
      <w:r w:rsidRPr="0013032F">
        <w:t>past,</w:t>
      </w:r>
      <w:r w:rsidR="0013032F">
        <w:t xml:space="preserve"> </w:t>
      </w:r>
      <w:r w:rsidRPr="0013032F">
        <w:t>present</w:t>
      </w:r>
      <w:r w:rsidR="0013032F">
        <w:t xml:space="preserve"> </w:t>
      </w:r>
      <w:r w:rsidRPr="0013032F">
        <w:t>and</w:t>
      </w:r>
      <w:r w:rsidR="0013032F">
        <w:t xml:space="preserve"> </w:t>
      </w:r>
      <w:r w:rsidRPr="0013032F">
        <w:t>future.</w:t>
      </w:r>
    </w:p>
    <w:p w14:paraId="36A19210" w14:textId="7F272915" w:rsidR="00757772" w:rsidRPr="0013032F" w:rsidRDefault="00305D3C" w:rsidP="0013032F">
      <w:r w:rsidRPr="0013032F">
        <w:t>Published</w:t>
      </w:r>
      <w:r w:rsidR="0013032F">
        <w:t xml:space="preserve"> </w:t>
      </w:r>
      <w:r w:rsidRPr="0013032F">
        <w:t>by</w:t>
      </w:r>
      <w:r w:rsidR="0013032F">
        <w:t xml:space="preserve"> </w:t>
      </w:r>
      <w:r w:rsidRPr="0013032F">
        <w:t>the</w:t>
      </w:r>
      <w:r w:rsidR="0013032F">
        <w:t xml:space="preserve"> </w:t>
      </w:r>
      <w:r w:rsidRPr="0013032F">
        <w:t>Victorian</w:t>
      </w:r>
      <w:r w:rsidR="0013032F">
        <w:t xml:space="preserve"> </w:t>
      </w:r>
      <w:r w:rsidRPr="0013032F">
        <w:t>Government</w:t>
      </w:r>
    </w:p>
    <w:p w14:paraId="6F6D3A5D" w14:textId="7D5A0F24" w:rsidR="00757772" w:rsidRPr="0013032F" w:rsidRDefault="00305D3C" w:rsidP="0013032F">
      <w:r w:rsidRPr="0013032F">
        <w:t>Regional</w:t>
      </w:r>
      <w:r w:rsidR="0013032F">
        <w:t xml:space="preserve"> </w:t>
      </w:r>
      <w:r w:rsidRPr="0013032F">
        <w:t>Development</w:t>
      </w:r>
      <w:r w:rsidR="0013032F">
        <w:t xml:space="preserve"> </w:t>
      </w:r>
      <w:r w:rsidRPr="0013032F">
        <w:t>Victoria</w:t>
      </w:r>
      <w:r w:rsidR="0013032F">
        <w:t xml:space="preserve"> </w:t>
      </w:r>
      <w:r w:rsidRPr="0013032F">
        <w:t>Annual</w:t>
      </w:r>
      <w:r w:rsidR="0013032F">
        <w:t xml:space="preserve"> </w:t>
      </w:r>
      <w:r w:rsidRPr="0013032F">
        <w:t>Report</w:t>
      </w:r>
      <w:r w:rsidR="0013032F">
        <w:t xml:space="preserve"> </w:t>
      </w:r>
      <w:r w:rsidRPr="0013032F">
        <w:t>2022–23</w:t>
      </w:r>
    </w:p>
    <w:p w14:paraId="4C64F7B9" w14:textId="46FA500C" w:rsidR="00757772" w:rsidRPr="0013032F" w:rsidRDefault="00305D3C" w:rsidP="0013032F">
      <w:r w:rsidRPr="0013032F">
        <w:t>September</w:t>
      </w:r>
      <w:r w:rsidR="0013032F">
        <w:t xml:space="preserve"> </w:t>
      </w:r>
      <w:r w:rsidRPr="0013032F">
        <w:t>2023</w:t>
      </w:r>
      <w:r w:rsidRPr="0013032F">
        <w:br/>
        <w:t>Melbourne</w:t>
      </w:r>
      <w:r w:rsidR="0013032F">
        <w:t xml:space="preserve"> </w:t>
      </w:r>
      <w:r w:rsidRPr="0013032F">
        <w:t>Victoria</w:t>
      </w:r>
    </w:p>
    <w:p w14:paraId="58804A73" w14:textId="7E084343" w:rsidR="00757772" w:rsidRPr="0013032F" w:rsidRDefault="00305D3C" w:rsidP="0013032F">
      <w:r w:rsidRPr="0013032F">
        <w:lastRenderedPageBreak/>
        <w:t>©</w:t>
      </w:r>
      <w:r w:rsidR="0013032F">
        <w:t xml:space="preserve"> </w:t>
      </w:r>
      <w:r w:rsidRPr="0013032F">
        <w:t>Copyright</w:t>
      </w:r>
      <w:r w:rsidR="0013032F">
        <w:t xml:space="preserve"> </w:t>
      </w:r>
      <w:r w:rsidRPr="0013032F">
        <w:t>State</w:t>
      </w:r>
      <w:r w:rsidR="0013032F">
        <w:t xml:space="preserve"> </w:t>
      </w:r>
      <w:r w:rsidRPr="0013032F">
        <w:t>Government</w:t>
      </w:r>
      <w:r w:rsidR="0013032F">
        <w:t xml:space="preserve"> </w:t>
      </w:r>
      <w:r w:rsidRPr="0013032F">
        <w:t>of</w:t>
      </w:r>
      <w:r w:rsidR="0013032F">
        <w:t xml:space="preserve"> </w:t>
      </w:r>
      <w:r w:rsidRPr="0013032F">
        <w:t>Victoria</w:t>
      </w:r>
      <w:r w:rsidR="0013032F">
        <w:t xml:space="preserve"> </w:t>
      </w:r>
      <w:r w:rsidRPr="0013032F">
        <w:t>2023</w:t>
      </w:r>
    </w:p>
    <w:p w14:paraId="4CB4FA3D" w14:textId="56995A4A" w:rsidR="00757772" w:rsidRPr="0013032F" w:rsidRDefault="00305D3C" w:rsidP="0013032F">
      <w:r w:rsidRPr="0013032F">
        <w:t>This</w:t>
      </w:r>
      <w:r w:rsidR="0013032F">
        <w:t xml:space="preserve"> </w:t>
      </w:r>
      <w:r w:rsidRPr="0013032F">
        <w:t>publication</w:t>
      </w:r>
      <w:r w:rsidR="0013032F">
        <w:t xml:space="preserve"> </w:t>
      </w:r>
      <w:r w:rsidRPr="0013032F">
        <w:t>is</w:t>
      </w:r>
      <w:r w:rsidR="0013032F">
        <w:t xml:space="preserve"> </w:t>
      </w:r>
      <w:r w:rsidRPr="0013032F">
        <w:t>copyright.</w:t>
      </w:r>
      <w:r w:rsidR="0013032F">
        <w:t xml:space="preserve"> </w:t>
      </w:r>
      <w:r w:rsidRPr="0013032F">
        <w:t>No</w:t>
      </w:r>
      <w:r w:rsidR="0013032F">
        <w:t xml:space="preserve"> </w:t>
      </w:r>
      <w:r w:rsidRPr="0013032F">
        <w:t>part</w:t>
      </w:r>
      <w:r w:rsidR="0013032F">
        <w:t xml:space="preserve"> </w:t>
      </w:r>
      <w:r w:rsidRPr="0013032F">
        <w:t>may</w:t>
      </w:r>
      <w:r w:rsidR="0013032F">
        <w:t xml:space="preserve"> </w:t>
      </w:r>
      <w:r w:rsidRPr="0013032F">
        <w:t>be</w:t>
      </w:r>
      <w:r w:rsidR="0013032F">
        <w:t xml:space="preserve"> </w:t>
      </w:r>
      <w:r w:rsidRPr="0013032F">
        <w:t>reproduced</w:t>
      </w:r>
      <w:r w:rsidR="0013032F">
        <w:t xml:space="preserve"> </w:t>
      </w:r>
      <w:r w:rsidRPr="0013032F">
        <w:t>by</w:t>
      </w:r>
      <w:r w:rsidR="0013032F">
        <w:t xml:space="preserve"> </w:t>
      </w:r>
      <w:r w:rsidRPr="0013032F">
        <w:t>any</w:t>
      </w:r>
      <w:r w:rsidR="0013032F">
        <w:t xml:space="preserve"> </w:t>
      </w:r>
      <w:r w:rsidRPr="0013032F">
        <w:t>process</w:t>
      </w:r>
      <w:r w:rsidR="0013032F">
        <w:t xml:space="preserve"> </w:t>
      </w:r>
      <w:r w:rsidRPr="0013032F">
        <w:t>except</w:t>
      </w:r>
      <w:r w:rsidR="0013032F">
        <w:t xml:space="preserve"> </w:t>
      </w:r>
      <w:r w:rsidRPr="0013032F">
        <w:t>in</w:t>
      </w:r>
      <w:r w:rsidR="0013032F">
        <w:t xml:space="preserve"> </w:t>
      </w:r>
      <w:r w:rsidRPr="0013032F">
        <w:t>accordance</w:t>
      </w:r>
      <w:r w:rsidR="0013032F">
        <w:t xml:space="preserve"> </w:t>
      </w:r>
      <w:r w:rsidRPr="0013032F">
        <w:t>with</w:t>
      </w:r>
      <w:r w:rsidR="0013032F">
        <w:t xml:space="preserve"> </w:t>
      </w:r>
      <w:r w:rsidRPr="0013032F">
        <w:t>provisions</w:t>
      </w:r>
      <w:r w:rsidR="0013032F">
        <w:t xml:space="preserve"> </w:t>
      </w:r>
      <w:r w:rsidRPr="0013032F">
        <w:t>of</w:t>
      </w:r>
      <w:r w:rsidR="0013032F">
        <w:t xml:space="preserve"> </w:t>
      </w:r>
      <w:r w:rsidRPr="0013032F">
        <w:t>the</w:t>
      </w:r>
      <w:r w:rsidR="0013032F">
        <w:t xml:space="preserve"> </w:t>
      </w:r>
      <w:r w:rsidRPr="0013032F">
        <w:t>Copyright</w:t>
      </w:r>
      <w:r w:rsidR="0013032F">
        <w:t xml:space="preserve"> </w:t>
      </w:r>
      <w:r w:rsidRPr="0013032F">
        <w:t>Act</w:t>
      </w:r>
      <w:r w:rsidR="0013032F">
        <w:t xml:space="preserve"> </w:t>
      </w:r>
      <w:r w:rsidRPr="0013032F">
        <w:t>1968.</w:t>
      </w:r>
      <w:r w:rsidR="0013032F">
        <w:t xml:space="preserve"> </w:t>
      </w:r>
    </w:p>
    <w:p w14:paraId="55F0D58B" w14:textId="1D06C657" w:rsidR="00757772" w:rsidRPr="0013032F" w:rsidRDefault="00305D3C" w:rsidP="0013032F">
      <w:r w:rsidRPr="0013032F">
        <w:t>Authorised</w:t>
      </w:r>
      <w:r w:rsidR="0013032F">
        <w:t xml:space="preserve"> </w:t>
      </w:r>
      <w:r w:rsidRPr="0013032F">
        <w:t>by</w:t>
      </w:r>
      <w:r w:rsidR="0013032F">
        <w:t xml:space="preserve"> </w:t>
      </w:r>
      <w:r w:rsidRPr="0013032F">
        <w:t>the</w:t>
      </w:r>
      <w:r w:rsidR="0013032F">
        <w:t xml:space="preserve"> </w:t>
      </w:r>
      <w:r w:rsidRPr="0013032F">
        <w:t>Victorian</w:t>
      </w:r>
      <w:r w:rsidR="0013032F">
        <w:t xml:space="preserve"> </w:t>
      </w:r>
      <w:r w:rsidRPr="0013032F">
        <w:t>Government,</w:t>
      </w:r>
      <w:r w:rsidR="0013032F">
        <w:t xml:space="preserve"> </w:t>
      </w:r>
      <w:r w:rsidRPr="0013032F">
        <w:t>Melbourne</w:t>
      </w:r>
    </w:p>
    <w:p w14:paraId="133D181B" w14:textId="59F5F374" w:rsidR="00757772" w:rsidRPr="0013032F" w:rsidRDefault="00305D3C" w:rsidP="0013032F">
      <w:r w:rsidRPr="0013032F">
        <w:t>ISBN</w:t>
      </w:r>
      <w:r w:rsidR="0013032F">
        <w:t xml:space="preserve"> </w:t>
      </w:r>
      <w:r w:rsidRPr="0013032F">
        <w:t>1448</w:t>
      </w:r>
      <w:r w:rsidRPr="0013032F">
        <w:noBreakHyphen/>
        <w:t>9341</w:t>
      </w:r>
      <w:r w:rsidR="0013032F">
        <w:t xml:space="preserve"> </w:t>
      </w:r>
      <w:r w:rsidRPr="0013032F">
        <w:t>(press)</w:t>
      </w:r>
      <w:r w:rsidRPr="0013032F">
        <w:br/>
        <w:t>ISBN</w:t>
      </w:r>
      <w:r w:rsidR="0013032F">
        <w:t xml:space="preserve"> </w:t>
      </w:r>
      <w:r w:rsidRPr="0013032F">
        <w:t>2652</w:t>
      </w:r>
      <w:r w:rsidR="0013032F">
        <w:t xml:space="preserve"> </w:t>
      </w:r>
      <w:r w:rsidRPr="0013032F">
        <w:t>2101</w:t>
      </w:r>
      <w:r w:rsidR="0013032F">
        <w:t xml:space="preserve"> </w:t>
      </w:r>
      <w:r w:rsidRPr="0013032F">
        <w:t>(pdf/online/MS</w:t>
      </w:r>
      <w:r w:rsidR="0013032F">
        <w:t xml:space="preserve"> </w:t>
      </w:r>
      <w:r w:rsidRPr="0013032F">
        <w:t>word)</w:t>
      </w:r>
    </w:p>
    <w:p w14:paraId="29D278C9" w14:textId="16B045EA" w:rsidR="00757772" w:rsidRPr="0013032F" w:rsidRDefault="00305D3C" w:rsidP="0013032F">
      <w:r w:rsidRPr="0013032F">
        <w:t>Contact</w:t>
      </w:r>
      <w:r w:rsidRPr="0013032F">
        <w:br/>
        <w:t>Regional</w:t>
      </w:r>
      <w:r w:rsidR="0013032F">
        <w:t xml:space="preserve"> </w:t>
      </w:r>
      <w:r w:rsidRPr="0013032F">
        <w:t>Development</w:t>
      </w:r>
      <w:r w:rsidR="0013032F">
        <w:t xml:space="preserve"> </w:t>
      </w:r>
      <w:r w:rsidRPr="0013032F">
        <w:t>Victoria</w:t>
      </w:r>
      <w:r w:rsidR="0013032F">
        <w:t xml:space="preserve"> </w:t>
      </w:r>
      <w:r w:rsidRPr="0013032F">
        <w:br/>
        <w:t>Level</w:t>
      </w:r>
      <w:r w:rsidR="0013032F">
        <w:t xml:space="preserve"> </w:t>
      </w:r>
      <w:r w:rsidRPr="0013032F">
        <w:t>31,</w:t>
      </w:r>
      <w:r w:rsidR="0013032F">
        <w:t xml:space="preserve"> </w:t>
      </w:r>
      <w:r w:rsidRPr="0013032F">
        <w:t>121</w:t>
      </w:r>
      <w:r w:rsidR="0013032F">
        <w:t xml:space="preserve"> </w:t>
      </w:r>
      <w:r w:rsidRPr="0013032F">
        <w:t>Exhibition</w:t>
      </w:r>
      <w:r w:rsidR="0013032F">
        <w:t xml:space="preserve"> </w:t>
      </w:r>
      <w:r w:rsidRPr="0013032F">
        <w:t>Street</w:t>
      </w:r>
      <w:r w:rsidR="0013032F">
        <w:t xml:space="preserve"> </w:t>
      </w:r>
      <w:r w:rsidRPr="0013032F">
        <w:br/>
      </w:r>
      <w:r w:rsidRPr="0013032F">
        <w:t>Melbourne</w:t>
      </w:r>
      <w:r w:rsidR="0013032F">
        <w:t xml:space="preserve"> </w:t>
      </w:r>
      <w:r w:rsidRPr="0013032F">
        <w:t>3000</w:t>
      </w:r>
      <w:r w:rsidRPr="0013032F">
        <w:br/>
        <w:t>T:</w:t>
      </w:r>
      <w:r w:rsidR="0013032F">
        <w:t xml:space="preserve"> </w:t>
      </w:r>
      <w:r w:rsidRPr="0013032F">
        <w:t>13</w:t>
      </w:r>
      <w:r w:rsidR="0013032F">
        <w:t xml:space="preserve"> </w:t>
      </w:r>
      <w:r w:rsidRPr="0013032F">
        <w:t>22</w:t>
      </w:r>
      <w:r w:rsidR="0013032F">
        <w:t xml:space="preserve"> </w:t>
      </w:r>
      <w:r w:rsidRPr="0013032F">
        <w:t>15</w:t>
      </w:r>
      <w:r w:rsidRPr="0013032F">
        <w:br/>
        <w:t>E:</w:t>
      </w:r>
      <w:r w:rsidR="0013032F">
        <w:t xml:space="preserve"> </w:t>
      </w:r>
      <w:hyperlink r:id="rId12" w:tooltip="Link to Regional Development Victoria email address" w:history="1">
        <w:r w:rsidRPr="002D121D">
          <w:rPr>
            <w:rStyle w:val="Hyperlink"/>
          </w:rPr>
          <w:t>rdv@rdv.vic.gov.au</w:t>
        </w:r>
      </w:hyperlink>
      <w:r w:rsidRPr="0013032F">
        <w:br/>
        <w:t>Web:</w:t>
      </w:r>
      <w:r w:rsidR="0013032F">
        <w:t xml:space="preserve"> </w:t>
      </w:r>
      <w:hyperlink r:id="rId13" w:tooltip="Link to Regional Development Victoria website" w:history="1">
        <w:r>
          <w:rPr>
            <w:rStyle w:val="Hyperlink"/>
          </w:rPr>
          <w:t>Regional Development Victoria</w:t>
        </w:r>
      </w:hyperlink>
    </w:p>
    <w:p w14:paraId="0A707A9C" w14:textId="4F08CC5A" w:rsidR="00757772" w:rsidRPr="0013032F" w:rsidRDefault="00305D3C" w:rsidP="0013032F">
      <w:r w:rsidRPr="0013032F">
        <w:t>Designed</w:t>
      </w:r>
      <w:r w:rsidR="0013032F">
        <w:t xml:space="preserve"> </w:t>
      </w:r>
      <w:r w:rsidRPr="0013032F">
        <w:t>by</w:t>
      </w:r>
      <w:r w:rsidR="0013032F">
        <w:t xml:space="preserve"> </w:t>
      </w:r>
      <w:r w:rsidRPr="0013032F">
        <w:t>DJSIR</w:t>
      </w:r>
      <w:r w:rsidR="0013032F">
        <w:t xml:space="preserve"> </w:t>
      </w:r>
      <w:r w:rsidRPr="0013032F">
        <w:t>Design</w:t>
      </w:r>
      <w:r w:rsidR="0013032F">
        <w:t xml:space="preserve"> </w:t>
      </w:r>
      <w:r w:rsidRPr="0013032F">
        <w:t>Studio</w:t>
      </w:r>
      <w:r w:rsidRPr="0013032F">
        <w:br/>
        <w:t>Printed</w:t>
      </w:r>
      <w:r w:rsidR="0013032F">
        <w:t xml:space="preserve"> </w:t>
      </w:r>
      <w:r w:rsidRPr="0013032F">
        <w:t>by</w:t>
      </w:r>
      <w:r w:rsidR="0013032F">
        <w:t xml:space="preserve"> </w:t>
      </w:r>
      <w:r w:rsidRPr="0013032F">
        <w:t>Finsbury</w:t>
      </w:r>
      <w:r w:rsidR="0013032F">
        <w:t xml:space="preserve"> </w:t>
      </w:r>
      <w:r w:rsidRPr="0013032F">
        <w:t>Green</w:t>
      </w:r>
    </w:p>
    <w:p w14:paraId="181C6002" w14:textId="77777777" w:rsidR="00757772" w:rsidRPr="0013032F" w:rsidRDefault="00305D3C" w:rsidP="0013032F">
      <w:pPr>
        <w:pStyle w:val="Normalbeforebullets"/>
        <w:rPr>
          <w:b/>
          <w:bCs/>
        </w:rPr>
      </w:pPr>
      <w:r w:rsidRPr="0013032F">
        <w:rPr>
          <w:b/>
          <w:bCs/>
        </w:rPr>
        <w:t>Disclaimer</w:t>
      </w:r>
    </w:p>
    <w:p w14:paraId="139BDC16" w14:textId="48D5D7DB" w:rsidR="00757772" w:rsidRPr="0013032F" w:rsidRDefault="00305D3C" w:rsidP="0013032F">
      <w:r w:rsidRPr="0013032F">
        <w:t>The</w:t>
      </w:r>
      <w:r w:rsidR="0013032F">
        <w:t xml:space="preserve"> </w:t>
      </w:r>
      <w:r w:rsidRPr="0013032F">
        <w:t>information</w:t>
      </w:r>
      <w:r w:rsidR="0013032F">
        <w:t xml:space="preserve"> </w:t>
      </w:r>
      <w:r w:rsidRPr="0013032F">
        <w:t>contained</w:t>
      </w:r>
      <w:r w:rsidR="0013032F">
        <w:t xml:space="preserve"> </w:t>
      </w:r>
      <w:r w:rsidRPr="0013032F">
        <w:t>in</w:t>
      </w:r>
      <w:r w:rsidR="0013032F">
        <w:t xml:space="preserve"> </w:t>
      </w:r>
      <w:r w:rsidRPr="0013032F">
        <w:t>this</w:t>
      </w:r>
      <w:r w:rsidR="0013032F">
        <w:t xml:space="preserve"> </w:t>
      </w:r>
      <w:r w:rsidRPr="0013032F">
        <w:t>report</w:t>
      </w:r>
      <w:r w:rsidR="0013032F">
        <w:t xml:space="preserve"> </w:t>
      </w:r>
      <w:r w:rsidRPr="0013032F">
        <w:t>is</w:t>
      </w:r>
      <w:r w:rsidR="0013032F">
        <w:t xml:space="preserve"> </w:t>
      </w:r>
      <w:r w:rsidRPr="0013032F">
        <w:t>provided</w:t>
      </w:r>
      <w:r w:rsidR="0013032F">
        <w:t xml:space="preserve"> </w:t>
      </w:r>
      <w:r w:rsidRPr="0013032F">
        <w:t>for</w:t>
      </w:r>
      <w:r w:rsidR="0013032F">
        <w:t xml:space="preserve"> </w:t>
      </w:r>
      <w:r w:rsidRPr="0013032F">
        <w:t>general</w:t>
      </w:r>
      <w:r w:rsidR="0013032F">
        <w:t xml:space="preserve"> </w:t>
      </w:r>
      <w:r w:rsidRPr="0013032F">
        <w:t>guidance</w:t>
      </w:r>
      <w:r w:rsidR="0013032F">
        <w:t xml:space="preserve"> </w:t>
      </w:r>
      <w:r w:rsidRPr="0013032F">
        <w:t>and</w:t>
      </w:r>
      <w:r w:rsidR="0013032F">
        <w:t xml:space="preserve"> </w:t>
      </w:r>
      <w:r w:rsidRPr="0013032F">
        <w:t>assistance</w:t>
      </w:r>
      <w:r w:rsidR="0013032F">
        <w:t xml:space="preserve"> </w:t>
      </w:r>
      <w:r w:rsidRPr="0013032F">
        <w:t>only</w:t>
      </w:r>
      <w:r w:rsidR="0013032F">
        <w:t xml:space="preserve"> </w:t>
      </w:r>
      <w:r w:rsidRPr="0013032F">
        <w:t>and</w:t>
      </w:r>
      <w:r w:rsidR="0013032F">
        <w:t xml:space="preserve"> </w:t>
      </w:r>
      <w:r w:rsidRPr="0013032F">
        <w:t>is</w:t>
      </w:r>
      <w:r w:rsidR="0013032F">
        <w:t xml:space="preserve"> </w:t>
      </w:r>
      <w:r w:rsidRPr="0013032F">
        <w:t>not</w:t>
      </w:r>
      <w:r w:rsidR="0013032F">
        <w:t xml:space="preserve"> </w:t>
      </w:r>
      <w:r w:rsidRPr="0013032F">
        <w:t>intended</w:t>
      </w:r>
      <w:r w:rsidR="0013032F">
        <w:t xml:space="preserve"> </w:t>
      </w:r>
      <w:r w:rsidRPr="0013032F">
        <w:t>as</w:t>
      </w:r>
      <w:r w:rsidR="0013032F">
        <w:t xml:space="preserve"> </w:t>
      </w:r>
      <w:r w:rsidRPr="0013032F">
        <w:t>advice.</w:t>
      </w:r>
      <w:r w:rsidR="0013032F">
        <w:t xml:space="preserve"> </w:t>
      </w:r>
      <w:r w:rsidRPr="0013032F">
        <w:t>You</w:t>
      </w:r>
      <w:r w:rsidR="0013032F">
        <w:t xml:space="preserve"> </w:t>
      </w:r>
      <w:r w:rsidRPr="0013032F">
        <w:t>should</w:t>
      </w:r>
      <w:r w:rsidR="0013032F">
        <w:t xml:space="preserve"> </w:t>
      </w:r>
      <w:r w:rsidRPr="0013032F">
        <w:t>make</w:t>
      </w:r>
      <w:r w:rsidR="0013032F">
        <w:t xml:space="preserve"> </w:t>
      </w:r>
      <w:r w:rsidRPr="0013032F">
        <w:t>your</w:t>
      </w:r>
      <w:r w:rsidR="0013032F">
        <w:t xml:space="preserve"> </w:t>
      </w:r>
      <w:r w:rsidRPr="0013032F">
        <w:t>own</w:t>
      </w:r>
      <w:r w:rsidR="0013032F">
        <w:t xml:space="preserve"> </w:t>
      </w:r>
      <w:r w:rsidRPr="0013032F">
        <w:t>inquiries</w:t>
      </w:r>
      <w:r w:rsidR="0013032F">
        <w:t xml:space="preserve"> </w:t>
      </w:r>
      <w:r w:rsidRPr="0013032F">
        <w:t>as</w:t>
      </w:r>
      <w:r w:rsidR="0013032F">
        <w:t xml:space="preserve"> </w:t>
      </w:r>
      <w:r w:rsidRPr="0013032F">
        <w:t>to</w:t>
      </w:r>
      <w:r w:rsidR="0013032F">
        <w:t xml:space="preserve"> </w:t>
      </w:r>
      <w:r w:rsidRPr="0013032F">
        <w:t>the</w:t>
      </w:r>
      <w:r w:rsidR="0013032F">
        <w:t xml:space="preserve"> </w:t>
      </w:r>
      <w:r w:rsidRPr="0013032F">
        <w:t>appropriateness</w:t>
      </w:r>
      <w:r w:rsidR="0013032F">
        <w:t xml:space="preserve"> </w:t>
      </w:r>
      <w:r w:rsidRPr="0013032F">
        <w:t>and</w:t>
      </w:r>
      <w:r w:rsidR="0013032F">
        <w:t xml:space="preserve"> </w:t>
      </w:r>
      <w:r w:rsidRPr="0013032F">
        <w:t>suitability</w:t>
      </w:r>
      <w:r w:rsidR="0013032F">
        <w:t xml:space="preserve"> </w:t>
      </w:r>
      <w:r w:rsidRPr="0013032F">
        <w:t>of</w:t>
      </w:r>
      <w:r w:rsidR="0013032F">
        <w:t xml:space="preserve"> </w:t>
      </w:r>
      <w:r w:rsidRPr="0013032F">
        <w:t>the</w:t>
      </w:r>
      <w:r w:rsidR="0013032F">
        <w:t xml:space="preserve"> </w:t>
      </w:r>
      <w:r w:rsidRPr="0013032F">
        <w:t>information</w:t>
      </w:r>
      <w:r w:rsidR="0013032F">
        <w:t xml:space="preserve"> </w:t>
      </w:r>
      <w:r w:rsidRPr="0013032F">
        <w:t>provided.</w:t>
      </w:r>
      <w:r w:rsidR="0013032F">
        <w:t xml:space="preserve"> </w:t>
      </w:r>
      <w:r w:rsidRPr="0013032F">
        <w:t>While</w:t>
      </w:r>
      <w:r w:rsidR="0013032F">
        <w:t xml:space="preserve"> </w:t>
      </w:r>
      <w:r w:rsidRPr="0013032F">
        <w:t>every</w:t>
      </w:r>
      <w:r w:rsidR="0013032F">
        <w:t xml:space="preserve"> </w:t>
      </w:r>
      <w:r w:rsidRPr="0013032F">
        <w:t>effort</w:t>
      </w:r>
      <w:r w:rsidR="0013032F">
        <w:t xml:space="preserve"> </w:t>
      </w:r>
      <w:r w:rsidRPr="0013032F">
        <w:t>has</w:t>
      </w:r>
      <w:r w:rsidR="0013032F">
        <w:t xml:space="preserve"> </w:t>
      </w:r>
      <w:r w:rsidRPr="0013032F">
        <w:t>been</w:t>
      </w:r>
      <w:r w:rsidR="0013032F">
        <w:t xml:space="preserve"> </w:t>
      </w:r>
      <w:r w:rsidRPr="0013032F">
        <w:t>made</w:t>
      </w:r>
      <w:r w:rsidR="0013032F">
        <w:t xml:space="preserve"> </w:t>
      </w:r>
      <w:r w:rsidRPr="0013032F">
        <w:t>to</w:t>
      </w:r>
      <w:r w:rsidR="0013032F">
        <w:t xml:space="preserve"> </w:t>
      </w:r>
      <w:r w:rsidRPr="0013032F">
        <w:t>ensure</w:t>
      </w:r>
      <w:r w:rsidR="0013032F">
        <w:t xml:space="preserve"> </w:t>
      </w:r>
      <w:r w:rsidRPr="0013032F">
        <w:t>the</w:t>
      </w:r>
      <w:r w:rsidR="0013032F">
        <w:t xml:space="preserve"> </w:t>
      </w:r>
      <w:r w:rsidRPr="0013032F">
        <w:t>currency,</w:t>
      </w:r>
      <w:r w:rsidR="0013032F">
        <w:t xml:space="preserve"> </w:t>
      </w:r>
      <w:r w:rsidRPr="0013032F">
        <w:t>accuracy</w:t>
      </w:r>
      <w:r w:rsidR="0013032F">
        <w:t xml:space="preserve"> </w:t>
      </w:r>
      <w:r w:rsidRPr="0013032F">
        <w:t>or</w:t>
      </w:r>
      <w:r w:rsidR="0013032F">
        <w:t xml:space="preserve"> </w:t>
      </w:r>
      <w:r w:rsidRPr="0013032F">
        <w:t>completeness</w:t>
      </w:r>
      <w:r w:rsidR="0013032F">
        <w:t xml:space="preserve"> </w:t>
      </w:r>
      <w:r w:rsidRPr="0013032F">
        <w:t>of</w:t>
      </w:r>
      <w:r w:rsidR="0013032F">
        <w:t xml:space="preserve"> </w:t>
      </w:r>
      <w:r w:rsidRPr="0013032F">
        <w:t>the</w:t>
      </w:r>
      <w:r w:rsidR="0013032F">
        <w:t xml:space="preserve"> </w:t>
      </w:r>
      <w:r w:rsidRPr="0013032F">
        <w:t>content</w:t>
      </w:r>
      <w:r w:rsidR="0013032F">
        <w:t xml:space="preserve"> </w:t>
      </w:r>
      <w:r w:rsidRPr="0013032F">
        <w:t>we</w:t>
      </w:r>
      <w:r w:rsidR="0013032F">
        <w:t xml:space="preserve"> </w:t>
      </w:r>
      <w:r w:rsidRPr="0013032F">
        <w:t>endeavour</w:t>
      </w:r>
      <w:r w:rsidR="0013032F">
        <w:t xml:space="preserve"> </w:t>
      </w:r>
      <w:r w:rsidRPr="0013032F">
        <w:t>to</w:t>
      </w:r>
      <w:r w:rsidR="0013032F">
        <w:t xml:space="preserve"> </w:t>
      </w:r>
      <w:r w:rsidRPr="0013032F">
        <w:t>keep</w:t>
      </w:r>
      <w:r w:rsidR="0013032F">
        <w:t xml:space="preserve"> </w:t>
      </w:r>
      <w:r w:rsidRPr="0013032F">
        <w:t>the</w:t>
      </w:r>
      <w:r w:rsidR="0013032F">
        <w:t xml:space="preserve"> </w:t>
      </w:r>
      <w:r w:rsidRPr="0013032F">
        <w:t>content</w:t>
      </w:r>
      <w:r w:rsidR="0013032F">
        <w:t xml:space="preserve"> </w:t>
      </w:r>
      <w:r w:rsidRPr="0013032F">
        <w:t>relevant</w:t>
      </w:r>
      <w:r w:rsidR="0013032F">
        <w:t xml:space="preserve"> </w:t>
      </w:r>
      <w:r w:rsidRPr="0013032F">
        <w:t>and</w:t>
      </w:r>
      <w:r w:rsidR="0013032F">
        <w:t xml:space="preserve"> </w:t>
      </w:r>
      <w:r w:rsidRPr="0013032F">
        <w:t>up</w:t>
      </w:r>
      <w:r w:rsidR="0013032F">
        <w:t xml:space="preserve"> </w:t>
      </w:r>
      <w:r w:rsidRPr="0013032F">
        <w:t>to</w:t>
      </w:r>
      <w:r w:rsidR="0013032F">
        <w:t xml:space="preserve"> </w:t>
      </w:r>
      <w:r w:rsidRPr="0013032F">
        <w:t>date</w:t>
      </w:r>
      <w:r w:rsidR="0013032F">
        <w:t xml:space="preserve"> </w:t>
      </w:r>
      <w:r w:rsidRPr="0013032F">
        <w:t>and</w:t>
      </w:r>
      <w:r w:rsidR="0013032F">
        <w:t xml:space="preserve"> </w:t>
      </w:r>
      <w:r w:rsidRPr="0013032F">
        <w:t>reserve</w:t>
      </w:r>
      <w:r w:rsidR="0013032F">
        <w:t xml:space="preserve"> </w:t>
      </w:r>
      <w:r w:rsidRPr="0013032F">
        <w:t>the</w:t>
      </w:r>
      <w:r w:rsidR="0013032F">
        <w:t xml:space="preserve"> </w:t>
      </w:r>
      <w:r w:rsidRPr="0013032F">
        <w:t>right</w:t>
      </w:r>
      <w:r w:rsidR="0013032F">
        <w:t xml:space="preserve"> </w:t>
      </w:r>
      <w:r w:rsidRPr="0013032F">
        <w:t>to</w:t>
      </w:r>
      <w:r w:rsidR="0013032F">
        <w:t xml:space="preserve"> </w:t>
      </w:r>
      <w:r w:rsidRPr="0013032F">
        <w:t>make</w:t>
      </w:r>
      <w:r w:rsidR="0013032F">
        <w:t xml:space="preserve"> </w:t>
      </w:r>
      <w:r w:rsidRPr="0013032F">
        <w:t>changes</w:t>
      </w:r>
      <w:r w:rsidR="0013032F">
        <w:t xml:space="preserve"> </w:t>
      </w:r>
      <w:r w:rsidRPr="0013032F">
        <w:t>as</w:t>
      </w:r>
      <w:r w:rsidR="0013032F">
        <w:t xml:space="preserve"> </w:t>
      </w:r>
      <w:r w:rsidRPr="0013032F">
        <w:t>required.</w:t>
      </w:r>
      <w:r w:rsidR="0013032F">
        <w:t xml:space="preserve"> </w:t>
      </w:r>
      <w:r w:rsidRPr="0013032F">
        <w:t>The</w:t>
      </w:r>
      <w:r w:rsidR="0013032F">
        <w:t xml:space="preserve"> </w:t>
      </w:r>
      <w:r w:rsidRPr="0013032F">
        <w:t>Victorian</w:t>
      </w:r>
      <w:r w:rsidR="0013032F">
        <w:t xml:space="preserve"> </w:t>
      </w:r>
      <w:r w:rsidRPr="0013032F">
        <w:t>Government,</w:t>
      </w:r>
      <w:r w:rsidR="0013032F">
        <w:t xml:space="preserve"> </w:t>
      </w:r>
      <w:r w:rsidRPr="0013032F">
        <w:t>authors</w:t>
      </w:r>
      <w:r w:rsidR="0013032F">
        <w:t xml:space="preserve"> </w:t>
      </w:r>
      <w:r w:rsidRPr="0013032F">
        <w:t>and</w:t>
      </w:r>
      <w:r w:rsidR="0013032F">
        <w:t xml:space="preserve"> </w:t>
      </w:r>
      <w:r w:rsidRPr="0013032F">
        <w:t>presenters</w:t>
      </w:r>
      <w:r w:rsidR="0013032F">
        <w:t xml:space="preserve"> </w:t>
      </w:r>
      <w:r w:rsidRPr="0013032F">
        <w:t>do</w:t>
      </w:r>
      <w:r w:rsidR="0013032F">
        <w:t xml:space="preserve"> </w:t>
      </w:r>
      <w:r w:rsidRPr="0013032F">
        <w:t>not</w:t>
      </w:r>
      <w:r w:rsidR="0013032F">
        <w:t xml:space="preserve"> </w:t>
      </w:r>
      <w:r w:rsidRPr="0013032F">
        <w:t>accept</w:t>
      </w:r>
      <w:r w:rsidR="0013032F">
        <w:t xml:space="preserve"> </w:t>
      </w:r>
      <w:r w:rsidRPr="0013032F">
        <w:t>any</w:t>
      </w:r>
      <w:r w:rsidR="0013032F">
        <w:t xml:space="preserve"> </w:t>
      </w:r>
      <w:r w:rsidRPr="0013032F">
        <w:t>liability</w:t>
      </w:r>
      <w:r w:rsidR="0013032F">
        <w:t xml:space="preserve"> </w:t>
      </w:r>
      <w:r w:rsidRPr="0013032F">
        <w:t>to</w:t>
      </w:r>
      <w:r w:rsidR="0013032F">
        <w:t xml:space="preserve"> </w:t>
      </w:r>
      <w:r w:rsidRPr="0013032F">
        <w:t>any</w:t>
      </w:r>
      <w:r w:rsidR="0013032F">
        <w:t xml:space="preserve"> </w:t>
      </w:r>
      <w:r w:rsidRPr="0013032F">
        <w:t>person</w:t>
      </w:r>
      <w:r w:rsidR="0013032F">
        <w:t xml:space="preserve"> </w:t>
      </w:r>
      <w:r w:rsidRPr="0013032F">
        <w:t>for</w:t>
      </w:r>
      <w:r w:rsidR="0013032F">
        <w:t xml:space="preserve"> </w:t>
      </w:r>
      <w:r w:rsidRPr="0013032F">
        <w:t>the</w:t>
      </w:r>
      <w:r w:rsidR="0013032F">
        <w:t xml:space="preserve"> </w:t>
      </w:r>
      <w:r w:rsidRPr="0013032F">
        <w:t>information</w:t>
      </w:r>
      <w:r w:rsidR="0013032F">
        <w:t xml:space="preserve"> </w:t>
      </w:r>
      <w:r w:rsidRPr="0013032F">
        <w:t>(or</w:t>
      </w:r>
      <w:r w:rsidR="0013032F">
        <w:t xml:space="preserve"> </w:t>
      </w:r>
      <w:r w:rsidRPr="0013032F">
        <w:t>the</w:t>
      </w:r>
      <w:r w:rsidR="0013032F">
        <w:t xml:space="preserve"> </w:t>
      </w:r>
      <w:r w:rsidRPr="0013032F">
        <w:t>use</w:t>
      </w:r>
      <w:r w:rsidR="0013032F">
        <w:t xml:space="preserve"> </w:t>
      </w:r>
      <w:r w:rsidRPr="0013032F">
        <w:t>of</w:t>
      </w:r>
      <w:r w:rsidR="0013032F">
        <w:t xml:space="preserve"> </w:t>
      </w:r>
      <w:r w:rsidRPr="0013032F">
        <w:t>the</w:t>
      </w:r>
      <w:r w:rsidR="0013032F">
        <w:t xml:space="preserve"> </w:t>
      </w:r>
      <w:r w:rsidRPr="0013032F">
        <w:t>information)</w:t>
      </w:r>
      <w:r w:rsidR="0013032F">
        <w:t xml:space="preserve"> </w:t>
      </w:r>
      <w:r w:rsidRPr="0013032F">
        <w:t>which</w:t>
      </w:r>
      <w:r w:rsidR="0013032F">
        <w:t xml:space="preserve"> </w:t>
      </w:r>
      <w:r w:rsidRPr="0013032F">
        <w:t>is</w:t>
      </w:r>
      <w:r w:rsidR="0013032F">
        <w:t xml:space="preserve"> </w:t>
      </w:r>
      <w:r w:rsidRPr="0013032F">
        <w:t>provided</w:t>
      </w:r>
      <w:r w:rsidR="0013032F">
        <w:t xml:space="preserve"> </w:t>
      </w:r>
      <w:r w:rsidRPr="0013032F">
        <w:t>or</w:t>
      </w:r>
      <w:r w:rsidR="0013032F">
        <w:t xml:space="preserve"> </w:t>
      </w:r>
      <w:r w:rsidRPr="0013032F">
        <w:t>referred</w:t>
      </w:r>
      <w:r w:rsidR="0013032F">
        <w:t xml:space="preserve"> </w:t>
      </w:r>
      <w:r w:rsidRPr="0013032F">
        <w:t>to</w:t>
      </w:r>
      <w:r w:rsidR="0013032F">
        <w:t xml:space="preserve"> </w:t>
      </w:r>
      <w:r w:rsidRPr="0013032F">
        <w:t>in</w:t>
      </w:r>
      <w:r w:rsidR="0013032F">
        <w:t xml:space="preserve"> </w:t>
      </w:r>
      <w:r w:rsidRPr="0013032F">
        <w:t>the</w:t>
      </w:r>
      <w:r w:rsidR="0013032F">
        <w:t xml:space="preserve"> </w:t>
      </w:r>
      <w:r w:rsidRPr="0013032F">
        <w:t>report.</w:t>
      </w:r>
    </w:p>
    <w:p w14:paraId="5D56E3AD" w14:textId="5ED59D75" w:rsidR="00757772" w:rsidRPr="0013032F" w:rsidRDefault="00305D3C" w:rsidP="0013032F">
      <w:r w:rsidRPr="0013032F">
        <w:t>Except</w:t>
      </w:r>
      <w:r w:rsidR="0013032F">
        <w:t xml:space="preserve"> </w:t>
      </w:r>
      <w:r w:rsidRPr="0013032F">
        <w:t>for</w:t>
      </w:r>
      <w:r w:rsidR="0013032F">
        <w:t xml:space="preserve"> </w:t>
      </w:r>
      <w:r w:rsidRPr="0013032F">
        <w:t>any</w:t>
      </w:r>
      <w:r w:rsidR="0013032F">
        <w:t xml:space="preserve"> </w:t>
      </w:r>
      <w:r w:rsidRPr="0013032F">
        <w:t>logos,</w:t>
      </w:r>
      <w:r w:rsidR="0013032F">
        <w:t xml:space="preserve"> </w:t>
      </w:r>
      <w:r w:rsidRPr="0013032F">
        <w:t>emblems,</w:t>
      </w:r>
      <w:r w:rsidR="0013032F">
        <w:t xml:space="preserve"> </w:t>
      </w:r>
      <w:r w:rsidRPr="0013032F">
        <w:t>trademarks,</w:t>
      </w:r>
      <w:r w:rsidR="0013032F">
        <w:t xml:space="preserve"> </w:t>
      </w:r>
      <w:r w:rsidRPr="0013032F">
        <w:t>artwork</w:t>
      </w:r>
      <w:r w:rsidR="0013032F">
        <w:t xml:space="preserve"> </w:t>
      </w:r>
      <w:r w:rsidRPr="0013032F">
        <w:t>and</w:t>
      </w:r>
      <w:r w:rsidR="0013032F">
        <w:t xml:space="preserve"> </w:t>
      </w:r>
      <w:r w:rsidRPr="0013032F">
        <w:t>photography</w:t>
      </w:r>
      <w:r w:rsidR="0013032F">
        <w:t xml:space="preserve"> </w:t>
      </w:r>
      <w:r w:rsidRPr="0013032F">
        <w:t>this</w:t>
      </w:r>
      <w:r w:rsidR="0013032F">
        <w:t xml:space="preserve"> </w:t>
      </w:r>
      <w:r w:rsidRPr="0013032F">
        <w:t>document</w:t>
      </w:r>
      <w:r w:rsidR="0013032F">
        <w:t xml:space="preserve"> </w:t>
      </w:r>
      <w:r w:rsidRPr="0013032F">
        <w:t>is</w:t>
      </w:r>
      <w:r w:rsidR="0013032F">
        <w:t xml:space="preserve"> </w:t>
      </w:r>
      <w:r w:rsidRPr="0013032F">
        <w:t>made</w:t>
      </w:r>
      <w:r w:rsidR="0013032F">
        <w:t xml:space="preserve"> </w:t>
      </w:r>
      <w:r w:rsidRPr="0013032F">
        <w:t>available</w:t>
      </w:r>
      <w:r w:rsidR="0013032F">
        <w:t xml:space="preserve"> </w:t>
      </w:r>
      <w:r w:rsidRPr="0013032F">
        <w:t>under</w:t>
      </w:r>
      <w:r w:rsidR="0013032F">
        <w:t xml:space="preserve"> </w:t>
      </w:r>
      <w:r w:rsidRPr="0013032F">
        <w:t>the</w:t>
      </w:r>
      <w:r w:rsidR="0013032F">
        <w:t xml:space="preserve"> </w:t>
      </w:r>
      <w:r w:rsidRPr="0013032F">
        <w:t>terms</w:t>
      </w:r>
      <w:r w:rsidR="0013032F">
        <w:t xml:space="preserve"> </w:t>
      </w:r>
      <w:r w:rsidRPr="0013032F">
        <w:t>of</w:t>
      </w:r>
      <w:r w:rsidR="0013032F">
        <w:t xml:space="preserve"> </w:t>
      </w:r>
      <w:r w:rsidRPr="0013032F">
        <w:t>the</w:t>
      </w:r>
      <w:r w:rsidR="0013032F">
        <w:t xml:space="preserve"> </w:t>
      </w:r>
      <w:r w:rsidRPr="0013032F">
        <w:t>Creative</w:t>
      </w:r>
      <w:r w:rsidR="0013032F">
        <w:t xml:space="preserve"> </w:t>
      </w:r>
      <w:r w:rsidRPr="0013032F">
        <w:t>Commons</w:t>
      </w:r>
      <w:r w:rsidR="0013032F">
        <w:t xml:space="preserve"> </w:t>
      </w:r>
      <w:r w:rsidRPr="0013032F">
        <w:t>Attribution</w:t>
      </w:r>
      <w:r w:rsidR="0013032F">
        <w:t xml:space="preserve"> </w:t>
      </w:r>
      <w:r w:rsidRPr="0013032F">
        <w:t>3.0</w:t>
      </w:r>
      <w:r w:rsidR="0013032F">
        <w:t xml:space="preserve"> </w:t>
      </w:r>
      <w:r w:rsidRPr="0013032F">
        <w:t>Australi</w:t>
      </w:r>
      <w:r w:rsidRPr="0013032F">
        <w:t>a</w:t>
      </w:r>
      <w:r w:rsidR="0013032F">
        <w:t xml:space="preserve"> </w:t>
      </w:r>
      <w:r w:rsidRPr="0013032F">
        <w:t>licence.</w:t>
      </w:r>
    </w:p>
    <w:p w14:paraId="6DBCFFDB" w14:textId="1AC6214C" w:rsidR="00757772" w:rsidRDefault="00305D3C" w:rsidP="0013032F">
      <w:pPr>
        <w:pStyle w:val="Heading1"/>
      </w:pPr>
      <w:bookmarkStart w:id="0" w:name="_Toc149566548"/>
      <w:r>
        <w:lastRenderedPageBreak/>
        <w:t>Chief</w:t>
      </w:r>
      <w:r w:rsidR="0013032F">
        <w:t xml:space="preserve"> </w:t>
      </w:r>
      <w:r>
        <w:t>Executive</w:t>
      </w:r>
      <w:r w:rsidR="0013032F">
        <w:t xml:space="preserve"> </w:t>
      </w:r>
      <w:r>
        <w:t>foreword</w:t>
      </w:r>
      <w:bookmarkEnd w:id="0"/>
    </w:p>
    <w:p w14:paraId="06B0554B" w14:textId="135BA284" w:rsidR="00757772" w:rsidRDefault="00305D3C" w:rsidP="0013032F">
      <w:r>
        <w:t>Regional</w:t>
      </w:r>
      <w:r w:rsidR="0013032F">
        <w:t xml:space="preserve"> </w:t>
      </w:r>
      <w:r>
        <w:t>Development</w:t>
      </w:r>
      <w:r w:rsidR="0013032F">
        <w:t xml:space="preserve"> </w:t>
      </w:r>
      <w:r>
        <w:t>Victoria</w:t>
      </w:r>
      <w:r w:rsidR="0013032F">
        <w:t xml:space="preserve"> </w:t>
      </w:r>
      <w:r>
        <w:t>(RDV)</w:t>
      </w:r>
      <w:r w:rsidR="0013032F">
        <w:t xml:space="preserve"> </w:t>
      </w:r>
      <w:r>
        <w:t>works</w:t>
      </w:r>
      <w:r w:rsidR="0013032F">
        <w:t xml:space="preserve"> </w:t>
      </w:r>
      <w:r>
        <w:t>to</w:t>
      </w:r>
      <w:r w:rsidR="0013032F">
        <w:t xml:space="preserve"> </w:t>
      </w:r>
      <w:r>
        <w:t>support</w:t>
      </w:r>
      <w:r w:rsidR="0013032F">
        <w:t xml:space="preserve"> </w:t>
      </w:r>
      <w:r>
        <w:t>prosperous</w:t>
      </w:r>
      <w:r w:rsidR="0013032F">
        <w:t xml:space="preserve"> </w:t>
      </w:r>
      <w:r>
        <w:t>and</w:t>
      </w:r>
      <w:r w:rsidR="0013032F">
        <w:t xml:space="preserve"> </w:t>
      </w:r>
      <w:r>
        <w:t>inclusive</w:t>
      </w:r>
      <w:r w:rsidR="0013032F">
        <w:t xml:space="preserve"> </w:t>
      </w:r>
      <w:r>
        <w:t>communities</w:t>
      </w:r>
      <w:r w:rsidR="0013032F">
        <w:t xml:space="preserve"> </w:t>
      </w:r>
      <w:r>
        <w:t>across</w:t>
      </w:r>
      <w:r w:rsidR="0013032F">
        <w:t xml:space="preserve"> </w:t>
      </w:r>
      <w:r>
        <w:t>regional</w:t>
      </w:r>
      <w:r w:rsidR="0013032F">
        <w:t xml:space="preserve"> </w:t>
      </w:r>
      <w:r>
        <w:t>Victoria</w:t>
      </w:r>
      <w:r w:rsidR="0013032F">
        <w:t xml:space="preserve"> </w:t>
      </w:r>
      <w:r>
        <w:t>and</w:t>
      </w:r>
      <w:r w:rsidR="0013032F">
        <w:t xml:space="preserve"> </w:t>
      </w:r>
      <w:r>
        <w:t>cross-border</w:t>
      </w:r>
      <w:r w:rsidR="0013032F">
        <w:t xml:space="preserve"> </w:t>
      </w:r>
      <w:r>
        <w:t>areas</w:t>
      </w:r>
      <w:r w:rsidR="0013032F">
        <w:t xml:space="preserve"> </w:t>
      </w:r>
      <w:r>
        <w:t>through</w:t>
      </w:r>
      <w:r w:rsidR="0013032F">
        <w:t xml:space="preserve"> </w:t>
      </w:r>
      <w:r>
        <w:t>the</w:t>
      </w:r>
      <w:r w:rsidR="0013032F">
        <w:t xml:space="preserve"> </w:t>
      </w:r>
      <w:r>
        <w:t>delivery</w:t>
      </w:r>
      <w:r w:rsidR="0013032F">
        <w:t xml:space="preserve"> </w:t>
      </w:r>
      <w:r>
        <w:t>of</w:t>
      </w:r>
      <w:r w:rsidR="0013032F">
        <w:t xml:space="preserve"> </w:t>
      </w:r>
      <w:r>
        <w:t>place-based</w:t>
      </w:r>
      <w:r w:rsidR="0013032F">
        <w:t xml:space="preserve"> </w:t>
      </w:r>
      <w:r>
        <w:t>policy,</w:t>
      </w:r>
      <w:r w:rsidR="0013032F">
        <w:t xml:space="preserve"> </w:t>
      </w:r>
      <w:r>
        <w:t>programs,</w:t>
      </w:r>
      <w:r w:rsidR="0013032F">
        <w:t xml:space="preserve"> </w:t>
      </w:r>
      <w:r>
        <w:t>projects,</w:t>
      </w:r>
      <w:r w:rsidR="0013032F">
        <w:t xml:space="preserve"> </w:t>
      </w:r>
      <w:r>
        <w:t>and</w:t>
      </w:r>
      <w:r w:rsidR="0013032F">
        <w:t xml:space="preserve"> </w:t>
      </w:r>
      <w:r>
        <w:t>engagement.</w:t>
      </w:r>
    </w:p>
    <w:p w14:paraId="35C4E4E8" w14:textId="501F79F0" w:rsidR="00757772" w:rsidRDefault="00305D3C" w:rsidP="0013032F">
      <w:r>
        <w:t>Our</w:t>
      </w:r>
      <w:r w:rsidR="0013032F">
        <w:t xml:space="preserve"> </w:t>
      </w:r>
      <w:r>
        <w:t>regions</w:t>
      </w:r>
      <w:r w:rsidR="0013032F">
        <w:t xml:space="preserve"> </w:t>
      </w:r>
      <w:r>
        <w:t>account</w:t>
      </w:r>
      <w:r w:rsidR="0013032F">
        <w:t xml:space="preserve"> </w:t>
      </w:r>
      <w:r>
        <w:t>for</w:t>
      </w:r>
      <w:r w:rsidR="0013032F">
        <w:t xml:space="preserve"> </w:t>
      </w:r>
      <w:r>
        <w:t>around</w:t>
      </w:r>
      <w:r w:rsidR="0013032F">
        <w:t xml:space="preserve"> </w:t>
      </w:r>
      <w:r>
        <w:t>a</w:t>
      </w:r>
      <w:r w:rsidR="0013032F">
        <w:t xml:space="preserve"> </w:t>
      </w:r>
      <w:r>
        <w:t>quarter</w:t>
      </w:r>
      <w:r w:rsidR="0013032F">
        <w:t xml:space="preserve"> </w:t>
      </w:r>
      <w:r>
        <w:t>of</w:t>
      </w:r>
      <w:r w:rsidR="0013032F">
        <w:t xml:space="preserve"> </w:t>
      </w:r>
      <w:r>
        <w:t>Victoria’s</w:t>
      </w:r>
      <w:r w:rsidR="0013032F">
        <w:t xml:space="preserve"> </w:t>
      </w:r>
      <w:r>
        <w:t>economic</w:t>
      </w:r>
      <w:r w:rsidR="0013032F">
        <w:t xml:space="preserve"> </w:t>
      </w:r>
      <w:r>
        <w:t>output,</w:t>
      </w:r>
      <w:r w:rsidR="0013032F">
        <w:t xml:space="preserve"> </w:t>
      </w:r>
      <w:r>
        <w:t>population,</w:t>
      </w:r>
      <w:r w:rsidR="0013032F">
        <w:t xml:space="preserve"> </w:t>
      </w:r>
      <w:r>
        <w:t>small</w:t>
      </w:r>
      <w:r w:rsidR="0013032F">
        <w:t xml:space="preserve"> </w:t>
      </w:r>
      <w:r>
        <w:t>businesses</w:t>
      </w:r>
      <w:r w:rsidR="0013032F">
        <w:t xml:space="preserve"> </w:t>
      </w:r>
      <w:r>
        <w:t>and</w:t>
      </w:r>
      <w:r w:rsidR="0013032F">
        <w:t xml:space="preserve"> </w:t>
      </w:r>
      <w:r>
        <w:t>employment.</w:t>
      </w:r>
      <w:r w:rsidR="0013032F">
        <w:t xml:space="preserve"> </w:t>
      </w:r>
      <w:r>
        <w:t>Regional</w:t>
      </w:r>
      <w:r w:rsidR="0013032F">
        <w:t xml:space="preserve"> </w:t>
      </w:r>
      <w:r>
        <w:t>Victoria</w:t>
      </w:r>
      <w:r w:rsidR="0013032F">
        <w:t xml:space="preserve"> </w:t>
      </w:r>
      <w:r>
        <w:t>continues</w:t>
      </w:r>
      <w:r w:rsidR="0013032F">
        <w:t xml:space="preserve"> </w:t>
      </w:r>
      <w:r>
        <w:t>to</w:t>
      </w:r>
      <w:r w:rsidR="0013032F">
        <w:t xml:space="preserve"> </w:t>
      </w:r>
      <w:r>
        <w:t>attract</w:t>
      </w:r>
      <w:r w:rsidR="0013032F">
        <w:t xml:space="preserve"> </w:t>
      </w:r>
      <w:r>
        <w:t>new</w:t>
      </w:r>
      <w:r w:rsidR="0013032F">
        <w:t xml:space="preserve"> </w:t>
      </w:r>
      <w:r>
        <w:t>residents,</w:t>
      </w:r>
      <w:r w:rsidR="0013032F">
        <w:t xml:space="preserve"> </w:t>
      </w:r>
      <w:r>
        <w:t>with</w:t>
      </w:r>
      <w:r w:rsidR="0013032F">
        <w:t xml:space="preserve"> </w:t>
      </w:r>
      <w:r>
        <w:t>current</w:t>
      </w:r>
      <w:r w:rsidR="0013032F">
        <w:t xml:space="preserve"> </w:t>
      </w:r>
      <w:r>
        <w:t>net</w:t>
      </w:r>
      <w:r w:rsidR="0013032F">
        <w:t xml:space="preserve"> </w:t>
      </w:r>
      <w:r>
        <w:t>regional</w:t>
      </w:r>
      <w:r w:rsidR="0013032F">
        <w:t xml:space="preserve"> </w:t>
      </w:r>
      <w:r>
        <w:t>migration</w:t>
      </w:r>
      <w:r w:rsidR="0013032F">
        <w:t xml:space="preserve"> </w:t>
      </w:r>
      <w:r>
        <w:t>higher</w:t>
      </w:r>
      <w:r w:rsidR="0013032F">
        <w:t xml:space="preserve"> </w:t>
      </w:r>
      <w:r>
        <w:t>than</w:t>
      </w:r>
      <w:r w:rsidR="0013032F">
        <w:t xml:space="preserve"> </w:t>
      </w:r>
      <w:r>
        <w:t>the</w:t>
      </w:r>
      <w:r w:rsidR="0013032F">
        <w:t xml:space="preserve"> </w:t>
      </w:r>
      <w:r>
        <w:t>preceding</w:t>
      </w:r>
      <w:r w:rsidR="0013032F">
        <w:t xml:space="preserve"> </w:t>
      </w:r>
      <w:r>
        <w:t>5-year</w:t>
      </w:r>
      <w:r w:rsidR="0013032F">
        <w:t xml:space="preserve"> </w:t>
      </w:r>
      <w:r>
        <w:t>average.</w:t>
      </w:r>
      <w:r w:rsidR="0013032F">
        <w:t xml:space="preserve"> </w:t>
      </w:r>
      <w:r>
        <w:t>As</w:t>
      </w:r>
      <w:r w:rsidR="0013032F">
        <w:t xml:space="preserve"> </w:t>
      </w:r>
      <w:r>
        <w:t>this</w:t>
      </w:r>
      <w:r w:rsidR="0013032F">
        <w:t xml:space="preserve"> </w:t>
      </w:r>
      <w:r>
        <w:t>population</w:t>
      </w:r>
      <w:r w:rsidR="0013032F">
        <w:t xml:space="preserve"> </w:t>
      </w:r>
      <w:r>
        <w:t>growth</w:t>
      </w:r>
      <w:r w:rsidR="0013032F">
        <w:t xml:space="preserve"> </w:t>
      </w:r>
      <w:r>
        <w:t>continues,</w:t>
      </w:r>
      <w:r w:rsidR="0013032F">
        <w:t xml:space="preserve"> </w:t>
      </w:r>
      <w:r>
        <w:t>RDV</w:t>
      </w:r>
      <w:r w:rsidR="0013032F">
        <w:t xml:space="preserve"> </w:t>
      </w:r>
      <w:r>
        <w:t>harnesses</w:t>
      </w:r>
      <w:r w:rsidR="0013032F">
        <w:t xml:space="preserve"> </w:t>
      </w:r>
      <w:r>
        <w:t>its</w:t>
      </w:r>
      <w:r w:rsidR="0013032F">
        <w:t xml:space="preserve"> </w:t>
      </w:r>
      <w:r>
        <w:t>enduring</w:t>
      </w:r>
      <w:r w:rsidR="0013032F">
        <w:t xml:space="preserve"> </w:t>
      </w:r>
      <w:r>
        <w:t>relationships</w:t>
      </w:r>
      <w:r w:rsidR="0013032F">
        <w:t xml:space="preserve"> </w:t>
      </w:r>
      <w:r>
        <w:t>with</w:t>
      </w:r>
      <w:r w:rsidR="0013032F">
        <w:t xml:space="preserve"> </w:t>
      </w:r>
      <w:r>
        <w:t>local</w:t>
      </w:r>
      <w:r w:rsidR="0013032F">
        <w:t xml:space="preserve"> </w:t>
      </w:r>
      <w:r>
        <w:t>governments,</w:t>
      </w:r>
      <w:r w:rsidR="0013032F">
        <w:t xml:space="preserve"> </w:t>
      </w:r>
      <w:r>
        <w:t>industries</w:t>
      </w:r>
      <w:r w:rsidR="0013032F">
        <w:t xml:space="preserve"> </w:t>
      </w:r>
      <w:r>
        <w:t>and</w:t>
      </w:r>
      <w:r w:rsidR="0013032F">
        <w:t xml:space="preserve"> </w:t>
      </w:r>
      <w:r>
        <w:t>other</w:t>
      </w:r>
      <w:r w:rsidR="0013032F">
        <w:t xml:space="preserve"> </w:t>
      </w:r>
      <w:r>
        <w:t>stakeholders</w:t>
      </w:r>
      <w:r w:rsidR="0013032F">
        <w:t xml:space="preserve"> </w:t>
      </w:r>
      <w:r>
        <w:t>to</w:t>
      </w:r>
      <w:r w:rsidR="0013032F">
        <w:t xml:space="preserve"> </w:t>
      </w:r>
      <w:r>
        <w:t>support</w:t>
      </w:r>
      <w:r w:rsidR="0013032F">
        <w:t xml:space="preserve"> </w:t>
      </w:r>
      <w:r>
        <w:t>new</w:t>
      </w:r>
      <w:r w:rsidR="0013032F">
        <w:t xml:space="preserve"> </w:t>
      </w:r>
      <w:r>
        <w:t>and</w:t>
      </w:r>
      <w:r w:rsidR="0013032F">
        <w:t xml:space="preserve"> </w:t>
      </w:r>
      <w:r>
        <w:t>ongoing</w:t>
      </w:r>
      <w:r w:rsidR="0013032F">
        <w:t xml:space="preserve"> </w:t>
      </w:r>
      <w:r>
        <w:t>opportunities.</w:t>
      </w:r>
    </w:p>
    <w:p w14:paraId="5D8E56C5" w14:textId="588609A2" w:rsidR="00757772" w:rsidRDefault="00305D3C" w:rsidP="0013032F">
      <w:r>
        <w:t>The</w:t>
      </w:r>
      <w:r w:rsidR="0013032F">
        <w:t xml:space="preserve"> </w:t>
      </w:r>
      <w:r>
        <w:t>9</w:t>
      </w:r>
      <w:r w:rsidR="0013032F">
        <w:t xml:space="preserve"> </w:t>
      </w:r>
      <w:r>
        <w:t>regional</w:t>
      </w:r>
      <w:r w:rsidR="0013032F">
        <w:t xml:space="preserve"> </w:t>
      </w:r>
      <w:r>
        <w:t>partnerships</w:t>
      </w:r>
      <w:r w:rsidR="0013032F">
        <w:t xml:space="preserve"> </w:t>
      </w:r>
      <w:r>
        <w:t>continue</w:t>
      </w:r>
      <w:r w:rsidR="0013032F">
        <w:t xml:space="preserve"> </w:t>
      </w:r>
      <w:r>
        <w:t>to</w:t>
      </w:r>
      <w:r w:rsidR="0013032F">
        <w:t xml:space="preserve"> </w:t>
      </w:r>
      <w:r>
        <w:t>advocate</w:t>
      </w:r>
      <w:r w:rsidR="0013032F">
        <w:t xml:space="preserve"> </w:t>
      </w:r>
      <w:r>
        <w:t>to</w:t>
      </w:r>
      <w:r w:rsidR="0013032F">
        <w:t xml:space="preserve"> </w:t>
      </w:r>
      <w:r>
        <w:t>government</w:t>
      </w:r>
      <w:r w:rsidR="0013032F">
        <w:t xml:space="preserve"> </w:t>
      </w:r>
      <w:r>
        <w:t>on</w:t>
      </w:r>
      <w:r w:rsidR="0013032F">
        <w:t xml:space="preserve"> </w:t>
      </w:r>
      <w:r>
        <w:t>behalf</w:t>
      </w:r>
      <w:r w:rsidR="0013032F">
        <w:t xml:space="preserve"> </w:t>
      </w:r>
      <w:r>
        <w:t>of</w:t>
      </w:r>
      <w:r w:rsidR="0013032F">
        <w:t xml:space="preserve"> </w:t>
      </w:r>
      <w:r>
        <w:t>local</w:t>
      </w:r>
      <w:r w:rsidR="0013032F">
        <w:t xml:space="preserve"> </w:t>
      </w:r>
      <w:r>
        <w:t>communities</w:t>
      </w:r>
      <w:r w:rsidR="0013032F">
        <w:t xml:space="preserve"> </w:t>
      </w:r>
      <w:r>
        <w:t>on</w:t>
      </w:r>
      <w:r w:rsidR="0013032F">
        <w:t xml:space="preserve"> </w:t>
      </w:r>
      <w:r>
        <w:t>the</w:t>
      </w:r>
      <w:r w:rsidR="0013032F">
        <w:t xml:space="preserve"> </w:t>
      </w:r>
      <w:r>
        <w:t>matters</w:t>
      </w:r>
      <w:r w:rsidR="0013032F">
        <w:t xml:space="preserve"> </w:t>
      </w:r>
      <w:r>
        <w:t>important</w:t>
      </w:r>
      <w:r w:rsidR="0013032F">
        <w:t xml:space="preserve"> </w:t>
      </w:r>
      <w:r>
        <w:t>to</w:t>
      </w:r>
      <w:r w:rsidR="0013032F">
        <w:t xml:space="preserve"> </w:t>
      </w:r>
      <w:r>
        <w:t>regional</w:t>
      </w:r>
      <w:r w:rsidR="0013032F">
        <w:t xml:space="preserve"> </w:t>
      </w:r>
      <w:r>
        <w:t>communities.</w:t>
      </w:r>
      <w:r w:rsidR="0013032F">
        <w:t xml:space="preserve"> </w:t>
      </w:r>
      <w:r>
        <w:t>Last</w:t>
      </w:r>
      <w:r w:rsidR="0013032F">
        <w:t xml:space="preserve"> </w:t>
      </w:r>
      <w:r>
        <w:t>year,</w:t>
      </w:r>
      <w:r w:rsidR="0013032F">
        <w:t xml:space="preserve"> </w:t>
      </w:r>
      <w:r>
        <w:t>multiple</w:t>
      </w:r>
      <w:r w:rsidR="0013032F">
        <w:t xml:space="preserve"> </w:t>
      </w:r>
      <w:r>
        <w:t>partnerships</w:t>
      </w:r>
      <w:r w:rsidR="0013032F">
        <w:t xml:space="preserve"> </w:t>
      </w:r>
      <w:r>
        <w:t>identified</w:t>
      </w:r>
      <w:r w:rsidR="0013032F">
        <w:t xml:space="preserve"> </w:t>
      </w:r>
      <w:r>
        <w:t>a</w:t>
      </w:r>
      <w:r w:rsidR="0013032F">
        <w:t xml:space="preserve"> </w:t>
      </w:r>
      <w:r>
        <w:t>need</w:t>
      </w:r>
      <w:r w:rsidR="0013032F">
        <w:t xml:space="preserve"> </w:t>
      </w:r>
      <w:r>
        <w:t>to</w:t>
      </w:r>
      <w:r w:rsidR="0013032F">
        <w:t xml:space="preserve"> </w:t>
      </w:r>
      <w:r>
        <w:t>improve</w:t>
      </w:r>
      <w:r w:rsidR="0013032F">
        <w:t xml:space="preserve"> </w:t>
      </w:r>
      <w:r>
        <w:t>the</w:t>
      </w:r>
      <w:r w:rsidR="0013032F">
        <w:t xml:space="preserve"> </w:t>
      </w:r>
      <w:r>
        <w:t>supply</w:t>
      </w:r>
      <w:r w:rsidR="0013032F">
        <w:t xml:space="preserve"> </w:t>
      </w:r>
      <w:r>
        <w:t>of</w:t>
      </w:r>
      <w:r w:rsidR="0013032F">
        <w:t xml:space="preserve"> </w:t>
      </w:r>
      <w:r>
        <w:t>affordable</w:t>
      </w:r>
      <w:r w:rsidR="0013032F">
        <w:t xml:space="preserve"> </w:t>
      </w:r>
      <w:r>
        <w:t>and</w:t>
      </w:r>
      <w:r w:rsidR="0013032F">
        <w:t xml:space="preserve"> </w:t>
      </w:r>
      <w:r>
        <w:t>appropriate</w:t>
      </w:r>
      <w:r w:rsidR="0013032F">
        <w:t xml:space="preserve"> </w:t>
      </w:r>
      <w:r>
        <w:t>accommodation.</w:t>
      </w:r>
      <w:r w:rsidR="0013032F">
        <w:t xml:space="preserve"> </w:t>
      </w:r>
      <w:r>
        <w:t>Priorities</w:t>
      </w:r>
      <w:r w:rsidR="0013032F">
        <w:t xml:space="preserve"> </w:t>
      </w:r>
      <w:r>
        <w:t>ranged</w:t>
      </w:r>
      <w:r w:rsidR="0013032F">
        <w:t xml:space="preserve"> </w:t>
      </w:r>
      <w:r>
        <w:t>from</w:t>
      </w:r>
      <w:r w:rsidR="0013032F">
        <w:t xml:space="preserve"> </w:t>
      </w:r>
      <w:r>
        <w:t>suitable</w:t>
      </w:r>
      <w:r w:rsidR="0013032F">
        <w:t xml:space="preserve"> </w:t>
      </w:r>
      <w:r>
        <w:t>housing</w:t>
      </w:r>
      <w:r w:rsidR="0013032F">
        <w:t xml:space="preserve"> </w:t>
      </w:r>
      <w:r>
        <w:t>to</w:t>
      </w:r>
      <w:r w:rsidR="0013032F">
        <w:t xml:space="preserve"> </w:t>
      </w:r>
      <w:r>
        <w:t>attract</w:t>
      </w:r>
      <w:r w:rsidR="0013032F">
        <w:t xml:space="preserve"> </w:t>
      </w:r>
      <w:r>
        <w:t>and</w:t>
      </w:r>
      <w:r w:rsidR="0013032F">
        <w:t xml:space="preserve"> </w:t>
      </w:r>
      <w:r>
        <w:t>retain</w:t>
      </w:r>
      <w:r w:rsidR="0013032F">
        <w:t xml:space="preserve"> </w:t>
      </w:r>
      <w:r>
        <w:t>key</w:t>
      </w:r>
      <w:r w:rsidR="0013032F">
        <w:t xml:space="preserve"> </w:t>
      </w:r>
      <w:r>
        <w:t>workers</w:t>
      </w:r>
      <w:r w:rsidR="0013032F">
        <w:t xml:space="preserve"> </w:t>
      </w:r>
      <w:r>
        <w:t>through</w:t>
      </w:r>
      <w:r w:rsidR="0013032F">
        <w:t xml:space="preserve"> </w:t>
      </w:r>
      <w:r>
        <w:t>to</w:t>
      </w:r>
      <w:r w:rsidR="0013032F">
        <w:t xml:space="preserve"> </w:t>
      </w:r>
      <w:r>
        <w:t>addressing</w:t>
      </w:r>
      <w:r w:rsidR="0013032F">
        <w:t xml:space="preserve"> </w:t>
      </w:r>
      <w:r>
        <w:t>youth</w:t>
      </w:r>
      <w:r w:rsidR="0013032F">
        <w:t xml:space="preserve"> </w:t>
      </w:r>
      <w:r>
        <w:t>homelessness.</w:t>
      </w:r>
    </w:p>
    <w:p w14:paraId="38A3B023" w14:textId="116D8345" w:rsidR="00757772" w:rsidRDefault="00305D3C" w:rsidP="0013032F">
      <w:r>
        <w:t>Over</w:t>
      </w:r>
      <w:r w:rsidR="0013032F">
        <w:t xml:space="preserve"> </w:t>
      </w:r>
      <w:r>
        <w:t>the</w:t>
      </w:r>
      <w:r w:rsidR="0013032F">
        <w:t xml:space="preserve"> </w:t>
      </w:r>
      <w:r>
        <w:t>2022–23</w:t>
      </w:r>
      <w:r w:rsidR="0013032F">
        <w:t xml:space="preserve"> </w:t>
      </w:r>
      <w:r>
        <w:t>year,</w:t>
      </w:r>
      <w:r w:rsidR="0013032F">
        <w:t xml:space="preserve"> </w:t>
      </w:r>
      <w:r>
        <w:t>the</w:t>
      </w:r>
      <w:r w:rsidR="0013032F">
        <w:t xml:space="preserve"> </w:t>
      </w:r>
      <w:r>
        <w:t>Victorian</w:t>
      </w:r>
      <w:r w:rsidR="0013032F">
        <w:t xml:space="preserve"> </w:t>
      </w:r>
      <w:r>
        <w:t>economy</w:t>
      </w:r>
      <w:r w:rsidR="0013032F">
        <w:t xml:space="preserve"> </w:t>
      </w:r>
      <w:r>
        <w:t>experienced</w:t>
      </w:r>
      <w:r w:rsidR="0013032F">
        <w:t xml:space="preserve"> </w:t>
      </w:r>
      <w:r>
        <w:t>pressures</w:t>
      </w:r>
      <w:r w:rsidR="0013032F">
        <w:t xml:space="preserve"> </w:t>
      </w:r>
      <w:r>
        <w:t>that</w:t>
      </w:r>
      <w:r w:rsidR="0013032F">
        <w:t xml:space="preserve"> </w:t>
      </w:r>
      <w:r>
        <w:t>have</w:t>
      </w:r>
      <w:r w:rsidR="0013032F">
        <w:t xml:space="preserve"> </w:t>
      </w:r>
      <w:r>
        <w:t>not</w:t>
      </w:r>
      <w:r w:rsidR="0013032F">
        <w:t xml:space="preserve"> </w:t>
      </w:r>
      <w:r>
        <w:t>been</w:t>
      </w:r>
      <w:r w:rsidR="0013032F">
        <w:t xml:space="preserve"> </w:t>
      </w:r>
      <w:r>
        <w:t>a</w:t>
      </w:r>
      <w:r w:rsidR="0013032F">
        <w:t xml:space="preserve"> </w:t>
      </w:r>
      <w:r>
        <w:t>major</w:t>
      </w:r>
      <w:r w:rsidR="0013032F">
        <w:t xml:space="preserve"> </w:t>
      </w:r>
      <w:r>
        <w:t>concern</w:t>
      </w:r>
      <w:r w:rsidR="0013032F">
        <w:t xml:space="preserve"> </w:t>
      </w:r>
      <w:r>
        <w:t>for</w:t>
      </w:r>
      <w:r w:rsidR="0013032F">
        <w:t xml:space="preserve"> </w:t>
      </w:r>
      <w:r>
        <w:t>well</w:t>
      </w:r>
      <w:r w:rsidR="0013032F">
        <w:t xml:space="preserve"> </w:t>
      </w:r>
      <w:r>
        <w:t>over</w:t>
      </w:r>
      <w:r w:rsidR="0013032F">
        <w:t xml:space="preserve"> </w:t>
      </w:r>
      <w:r>
        <w:t>a</w:t>
      </w:r>
      <w:r w:rsidR="0013032F">
        <w:t xml:space="preserve"> </w:t>
      </w:r>
      <w:r>
        <w:t>decade</w:t>
      </w:r>
      <w:r w:rsidR="0013032F">
        <w:t xml:space="preserve"> </w:t>
      </w:r>
      <w:r>
        <w:t>–</w:t>
      </w:r>
      <w:r w:rsidR="0013032F">
        <w:t xml:space="preserve"> </w:t>
      </w:r>
      <w:r>
        <w:t>increasing</w:t>
      </w:r>
      <w:r w:rsidR="0013032F">
        <w:t xml:space="preserve"> </w:t>
      </w:r>
      <w:r>
        <w:t>interest</w:t>
      </w:r>
      <w:r w:rsidR="0013032F">
        <w:t xml:space="preserve"> </w:t>
      </w:r>
      <w:r>
        <w:t>rates,</w:t>
      </w:r>
      <w:r w:rsidR="0013032F">
        <w:t xml:space="preserve"> </w:t>
      </w:r>
      <w:r>
        <w:t>high</w:t>
      </w:r>
      <w:r w:rsidR="0013032F">
        <w:t xml:space="preserve"> </w:t>
      </w:r>
      <w:r>
        <w:t>inflation</w:t>
      </w:r>
      <w:r w:rsidR="0013032F">
        <w:t xml:space="preserve"> </w:t>
      </w:r>
      <w:r>
        <w:t>and</w:t>
      </w:r>
      <w:r w:rsidR="0013032F">
        <w:t xml:space="preserve"> </w:t>
      </w:r>
      <w:r>
        <w:t>significant</w:t>
      </w:r>
      <w:r w:rsidR="0013032F">
        <w:t xml:space="preserve"> </w:t>
      </w:r>
      <w:r>
        <w:t>cost</w:t>
      </w:r>
      <w:r w:rsidR="0013032F">
        <w:t xml:space="preserve"> </w:t>
      </w:r>
      <w:r>
        <w:t>of</w:t>
      </w:r>
      <w:r w:rsidR="0013032F">
        <w:t xml:space="preserve"> </w:t>
      </w:r>
      <w:r>
        <w:t>living</w:t>
      </w:r>
      <w:r w:rsidR="0013032F">
        <w:t xml:space="preserve"> </w:t>
      </w:r>
      <w:r>
        <w:t>pressures</w:t>
      </w:r>
      <w:r w:rsidR="0013032F">
        <w:t xml:space="preserve"> </w:t>
      </w:r>
      <w:r>
        <w:t>–</w:t>
      </w:r>
      <w:r w:rsidR="0013032F">
        <w:t xml:space="preserve"> </w:t>
      </w:r>
      <w:r>
        <w:t>while</w:t>
      </w:r>
      <w:r w:rsidR="0013032F">
        <w:t xml:space="preserve"> </w:t>
      </w:r>
      <w:r>
        <w:t>continuing</w:t>
      </w:r>
      <w:r w:rsidR="0013032F">
        <w:t xml:space="preserve"> </w:t>
      </w:r>
      <w:r>
        <w:t>to</w:t>
      </w:r>
      <w:r w:rsidR="0013032F">
        <w:t xml:space="preserve"> </w:t>
      </w:r>
      <w:r>
        <w:t>navigate</w:t>
      </w:r>
      <w:r w:rsidR="0013032F">
        <w:t xml:space="preserve"> </w:t>
      </w:r>
      <w:r>
        <w:t>both</w:t>
      </w:r>
      <w:r w:rsidR="0013032F">
        <w:t xml:space="preserve"> </w:t>
      </w:r>
      <w:r>
        <w:t>social</w:t>
      </w:r>
      <w:r w:rsidR="0013032F">
        <w:t xml:space="preserve"> </w:t>
      </w:r>
      <w:r>
        <w:t>and</w:t>
      </w:r>
      <w:r w:rsidR="0013032F">
        <w:t xml:space="preserve"> </w:t>
      </w:r>
      <w:r>
        <w:t>economic</w:t>
      </w:r>
      <w:r w:rsidR="0013032F">
        <w:t xml:space="preserve"> </w:t>
      </w:r>
      <w:r>
        <w:t>impacts</w:t>
      </w:r>
      <w:r w:rsidR="0013032F">
        <w:t xml:space="preserve"> </w:t>
      </w:r>
      <w:r>
        <w:t>of</w:t>
      </w:r>
      <w:r w:rsidR="0013032F">
        <w:t xml:space="preserve"> </w:t>
      </w:r>
      <w:r>
        <w:t>the</w:t>
      </w:r>
      <w:r w:rsidR="0013032F">
        <w:t xml:space="preserve"> </w:t>
      </w:r>
      <w:r>
        <w:t>COVID-19</w:t>
      </w:r>
      <w:r w:rsidR="0013032F">
        <w:t xml:space="preserve"> </w:t>
      </w:r>
      <w:r>
        <w:t>pandemic</w:t>
      </w:r>
      <w:r w:rsidR="0013032F">
        <w:t xml:space="preserve"> </w:t>
      </w:r>
      <w:r>
        <w:t>and</w:t>
      </w:r>
      <w:r w:rsidR="0013032F">
        <w:t xml:space="preserve"> </w:t>
      </w:r>
      <w:r>
        <w:t>mitigating</w:t>
      </w:r>
      <w:r w:rsidR="0013032F">
        <w:t xml:space="preserve"> </w:t>
      </w:r>
      <w:r>
        <w:t>human-driven</w:t>
      </w:r>
      <w:r w:rsidR="0013032F">
        <w:t xml:space="preserve"> </w:t>
      </w:r>
      <w:r>
        <w:t>causes</w:t>
      </w:r>
      <w:r w:rsidR="0013032F">
        <w:t xml:space="preserve"> </w:t>
      </w:r>
      <w:r>
        <w:t>of</w:t>
      </w:r>
      <w:r w:rsidR="0013032F">
        <w:t xml:space="preserve"> </w:t>
      </w:r>
      <w:r>
        <w:t>climate</w:t>
      </w:r>
      <w:r w:rsidR="0013032F">
        <w:t xml:space="preserve"> </w:t>
      </w:r>
      <w:r>
        <w:t>change.</w:t>
      </w:r>
      <w:r w:rsidR="0013032F">
        <w:t xml:space="preserve"> </w:t>
      </w:r>
      <w:r>
        <w:t>Despite</w:t>
      </w:r>
      <w:r w:rsidR="0013032F">
        <w:t xml:space="preserve"> </w:t>
      </w:r>
      <w:r>
        <w:t>the</w:t>
      </w:r>
      <w:r w:rsidR="0013032F">
        <w:t xml:space="preserve"> </w:t>
      </w:r>
      <w:r>
        <w:t>significant</w:t>
      </w:r>
      <w:r w:rsidR="0013032F">
        <w:t xml:space="preserve"> </w:t>
      </w:r>
      <w:r>
        <w:t>economic</w:t>
      </w:r>
      <w:r w:rsidR="0013032F">
        <w:t xml:space="preserve"> </w:t>
      </w:r>
      <w:r>
        <w:t>and</w:t>
      </w:r>
      <w:r w:rsidR="0013032F">
        <w:t xml:space="preserve"> </w:t>
      </w:r>
      <w:r>
        <w:t>social</w:t>
      </w:r>
      <w:r w:rsidR="0013032F">
        <w:t xml:space="preserve"> </w:t>
      </w:r>
      <w:r>
        <w:t>impacts</w:t>
      </w:r>
      <w:r w:rsidR="0013032F">
        <w:t xml:space="preserve"> </w:t>
      </w:r>
      <w:r>
        <w:t>of</w:t>
      </w:r>
      <w:r w:rsidR="0013032F">
        <w:t xml:space="preserve"> </w:t>
      </w:r>
      <w:r>
        <w:t>the</w:t>
      </w:r>
      <w:r w:rsidR="0013032F">
        <w:t xml:space="preserve"> </w:t>
      </w:r>
      <w:r>
        <w:t>COVID-19</w:t>
      </w:r>
      <w:r w:rsidR="0013032F">
        <w:t xml:space="preserve"> </w:t>
      </w:r>
      <w:r>
        <w:t>pandemic,</w:t>
      </w:r>
      <w:r w:rsidR="0013032F">
        <w:t xml:space="preserve"> </w:t>
      </w:r>
      <w:r>
        <w:t>regional</w:t>
      </w:r>
      <w:r w:rsidR="0013032F">
        <w:t xml:space="preserve"> </w:t>
      </w:r>
      <w:r>
        <w:t>Victoria</w:t>
      </w:r>
      <w:r w:rsidR="0013032F">
        <w:t xml:space="preserve"> </w:t>
      </w:r>
      <w:r>
        <w:t>has</w:t>
      </w:r>
      <w:r w:rsidR="0013032F">
        <w:t xml:space="preserve"> </w:t>
      </w:r>
      <w:r>
        <w:t>rebounded</w:t>
      </w:r>
      <w:r w:rsidR="0013032F">
        <w:t xml:space="preserve"> </w:t>
      </w:r>
      <w:r>
        <w:t>strongly</w:t>
      </w:r>
      <w:r w:rsidR="0013032F">
        <w:t xml:space="preserve"> </w:t>
      </w:r>
      <w:r>
        <w:t>with</w:t>
      </w:r>
      <w:r w:rsidR="0013032F">
        <w:t xml:space="preserve"> </w:t>
      </w:r>
      <w:r>
        <w:t>employment</w:t>
      </w:r>
      <w:r w:rsidR="0013032F">
        <w:t xml:space="preserve"> </w:t>
      </w:r>
      <w:r>
        <w:t>exceeding</w:t>
      </w:r>
      <w:r w:rsidR="0013032F">
        <w:t xml:space="preserve"> </w:t>
      </w:r>
      <w:r>
        <w:t>pre</w:t>
      </w:r>
      <w:r>
        <w:noBreakHyphen/>
        <w:t>pandemic</w:t>
      </w:r>
      <w:r w:rsidR="0013032F">
        <w:t xml:space="preserve"> </w:t>
      </w:r>
      <w:r>
        <w:t>levels,</w:t>
      </w:r>
      <w:r w:rsidR="0013032F">
        <w:t xml:space="preserve"> </w:t>
      </w:r>
      <w:r>
        <w:t>unemployment</w:t>
      </w:r>
      <w:r w:rsidR="0013032F">
        <w:t xml:space="preserve"> </w:t>
      </w:r>
      <w:r>
        <w:t>at</w:t>
      </w:r>
      <w:r w:rsidR="0013032F">
        <w:t xml:space="preserve"> </w:t>
      </w:r>
      <w:r>
        <w:t>a</w:t>
      </w:r>
      <w:r w:rsidR="0013032F">
        <w:t xml:space="preserve"> </w:t>
      </w:r>
      <w:r>
        <w:t>record</w:t>
      </w:r>
      <w:r w:rsidR="0013032F">
        <w:t xml:space="preserve"> </w:t>
      </w:r>
      <w:r>
        <w:t>low</w:t>
      </w:r>
      <w:r w:rsidR="0013032F">
        <w:t xml:space="preserve"> </w:t>
      </w:r>
      <w:r>
        <w:t>and</w:t>
      </w:r>
      <w:r w:rsidR="0013032F">
        <w:t xml:space="preserve"> </w:t>
      </w:r>
      <w:r>
        <w:t>our</w:t>
      </w:r>
      <w:r w:rsidR="0013032F">
        <w:t xml:space="preserve"> </w:t>
      </w:r>
      <w:r>
        <w:t>regional</w:t>
      </w:r>
      <w:r w:rsidR="0013032F">
        <w:t xml:space="preserve"> </w:t>
      </w:r>
      <w:r>
        <w:t>economy</w:t>
      </w:r>
      <w:r w:rsidR="0013032F">
        <w:t xml:space="preserve"> </w:t>
      </w:r>
      <w:r>
        <w:t>is</w:t>
      </w:r>
      <w:r w:rsidR="0013032F">
        <w:t xml:space="preserve"> </w:t>
      </w:r>
      <w:r>
        <w:t>worth</w:t>
      </w:r>
      <w:r w:rsidR="0013032F">
        <w:t xml:space="preserve"> </w:t>
      </w:r>
      <w:r>
        <w:t>almost</w:t>
      </w:r>
      <w:r w:rsidR="0013032F">
        <w:t xml:space="preserve"> </w:t>
      </w:r>
      <w:r>
        <w:t>$100</w:t>
      </w:r>
      <w:r w:rsidR="0013032F">
        <w:t xml:space="preserve"> </w:t>
      </w:r>
      <w:r>
        <w:t>billion,</w:t>
      </w:r>
      <w:r w:rsidR="0013032F">
        <w:t xml:space="preserve"> </w:t>
      </w:r>
      <w:r>
        <w:t>growing</w:t>
      </w:r>
      <w:r w:rsidR="0013032F">
        <w:t xml:space="preserve"> </w:t>
      </w:r>
      <w:r>
        <w:t>$2.2</w:t>
      </w:r>
      <w:r w:rsidR="0013032F">
        <w:t xml:space="preserve"> </w:t>
      </w:r>
      <w:r>
        <w:t>billion</w:t>
      </w:r>
      <w:r w:rsidR="0013032F">
        <w:t xml:space="preserve"> </w:t>
      </w:r>
      <w:r>
        <w:t>each</w:t>
      </w:r>
      <w:r w:rsidR="0013032F">
        <w:t xml:space="preserve"> </w:t>
      </w:r>
      <w:r>
        <w:t>year</w:t>
      </w:r>
      <w:r w:rsidR="0013032F">
        <w:t xml:space="preserve"> </w:t>
      </w:r>
      <w:r>
        <w:t>since</w:t>
      </w:r>
      <w:r w:rsidR="0013032F">
        <w:t xml:space="preserve"> </w:t>
      </w:r>
      <w:r>
        <w:t>2015.</w:t>
      </w:r>
      <w:r w:rsidR="0013032F">
        <w:t xml:space="preserve"> </w:t>
      </w:r>
    </w:p>
    <w:p w14:paraId="7AA9101E" w14:textId="0974E101" w:rsidR="00757772" w:rsidRDefault="00305D3C" w:rsidP="0013032F">
      <w:r>
        <w:t>RDV</w:t>
      </w:r>
      <w:r w:rsidR="0013032F">
        <w:t xml:space="preserve"> </w:t>
      </w:r>
      <w:r>
        <w:t>plays</w:t>
      </w:r>
      <w:r w:rsidR="0013032F">
        <w:t xml:space="preserve"> </w:t>
      </w:r>
      <w:r>
        <w:t>a</w:t>
      </w:r>
      <w:r w:rsidR="0013032F">
        <w:t xml:space="preserve"> </w:t>
      </w:r>
      <w:r>
        <w:t>key</w:t>
      </w:r>
      <w:r w:rsidR="0013032F">
        <w:t xml:space="preserve"> </w:t>
      </w:r>
      <w:r>
        <w:t>role</w:t>
      </w:r>
      <w:r w:rsidR="0013032F">
        <w:t xml:space="preserve"> </w:t>
      </w:r>
      <w:r>
        <w:t>in</w:t>
      </w:r>
      <w:r w:rsidR="0013032F">
        <w:t xml:space="preserve"> </w:t>
      </w:r>
      <w:r>
        <w:t>suppor</w:t>
      </w:r>
      <w:r>
        <w:t>ting</w:t>
      </w:r>
      <w:r w:rsidR="0013032F">
        <w:t xml:space="preserve"> </w:t>
      </w:r>
      <w:r>
        <w:t>the</w:t>
      </w:r>
      <w:r w:rsidR="0013032F">
        <w:t xml:space="preserve"> </w:t>
      </w:r>
      <w:r>
        <w:t>response</w:t>
      </w:r>
      <w:r w:rsidR="0013032F">
        <w:t xml:space="preserve"> </w:t>
      </w:r>
      <w:r>
        <w:t>of</w:t>
      </w:r>
      <w:r w:rsidR="0013032F">
        <w:t xml:space="preserve"> </w:t>
      </w:r>
      <w:r>
        <w:t>regional</w:t>
      </w:r>
      <w:r w:rsidR="0013032F">
        <w:t xml:space="preserve"> </w:t>
      </w:r>
      <w:r>
        <w:t>communities</w:t>
      </w:r>
      <w:r w:rsidR="0013032F">
        <w:t xml:space="preserve"> </w:t>
      </w:r>
      <w:r>
        <w:t>to</w:t>
      </w:r>
      <w:r w:rsidR="0013032F">
        <w:t xml:space="preserve"> </w:t>
      </w:r>
      <w:r>
        <w:t>these</w:t>
      </w:r>
      <w:r w:rsidR="0013032F">
        <w:t xml:space="preserve"> </w:t>
      </w:r>
      <w:r>
        <w:t>pressures</w:t>
      </w:r>
      <w:r w:rsidR="0013032F">
        <w:t xml:space="preserve"> </w:t>
      </w:r>
      <w:r>
        <w:t>through</w:t>
      </w:r>
      <w:r w:rsidR="0013032F">
        <w:t xml:space="preserve"> </w:t>
      </w:r>
      <w:r>
        <w:t>facilitating</w:t>
      </w:r>
      <w:r w:rsidR="0013032F">
        <w:t xml:space="preserve"> </w:t>
      </w:r>
      <w:r>
        <w:t>investment</w:t>
      </w:r>
      <w:r w:rsidR="0013032F">
        <w:t xml:space="preserve"> </w:t>
      </w:r>
      <w:r>
        <w:t>in</w:t>
      </w:r>
      <w:r w:rsidR="0013032F">
        <w:t xml:space="preserve"> </w:t>
      </w:r>
      <w:r>
        <w:t>the</w:t>
      </w:r>
      <w:r w:rsidR="0013032F">
        <w:t xml:space="preserve"> </w:t>
      </w:r>
      <w:r>
        <w:t>regions,</w:t>
      </w:r>
      <w:r w:rsidR="0013032F">
        <w:t xml:space="preserve"> </w:t>
      </w:r>
      <w:r>
        <w:t>working</w:t>
      </w:r>
      <w:r w:rsidR="0013032F">
        <w:t xml:space="preserve"> </w:t>
      </w:r>
      <w:r>
        <w:t>locally</w:t>
      </w:r>
      <w:r w:rsidR="0013032F">
        <w:t xml:space="preserve"> </w:t>
      </w:r>
      <w:r>
        <w:t>with</w:t>
      </w:r>
      <w:r w:rsidR="0013032F">
        <w:t xml:space="preserve"> </w:t>
      </w:r>
      <w:r>
        <w:t>different</w:t>
      </w:r>
      <w:r w:rsidR="0013032F">
        <w:t xml:space="preserve"> </w:t>
      </w:r>
      <w:r>
        <w:t>sectors</w:t>
      </w:r>
      <w:r w:rsidR="0013032F">
        <w:t xml:space="preserve"> </w:t>
      </w:r>
      <w:r>
        <w:t>and</w:t>
      </w:r>
      <w:r w:rsidR="0013032F">
        <w:t xml:space="preserve"> </w:t>
      </w:r>
      <w:r>
        <w:t>leading</w:t>
      </w:r>
      <w:r w:rsidR="0013032F">
        <w:t xml:space="preserve"> </w:t>
      </w:r>
      <w:r>
        <w:t>government</w:t>
      </w:r>
      <w:r w:rsidR="0013032F">
        <w:t xml:space="preserve"> </w:t>
      </w:r>
      <w:r>
        <w:t>response</w:t>
      </w:r>
      <w:r w:rsidR="0013032F">
        <w:t xml:space="preserve"> </w:t>
      </w:r>
      <w:r>
        <w:t>to</w:t>
      </w:r>
      <w:r w:rsidR="0013032F">
        <w:t xml:space="preserve"> </w:t>
      </w:r>
      <w:r>
        <w:t>industry</w:t>
      </w:r>
      <w:r w:rsidR="0013032F">
        <w:t xml:space="preserve"> </w:t>
      </w:r>
      <w:r>
        <w:t>transition.</w:t>
      </w:r>
      <w:r w:rsidR="0013032F">
        <w:t xml:space="preserve"> </w:t>
      </w:r>
      <w:r>
        <w:t>Through</w:t>
      </w:r>
      <w:r w:rsidR="0013032F">
        <w:t xml:space="preserve"> </w:t>
      </w:r>
      <w:r>
        <w:t>the</w:t>
      </w:r>
      <w:r w:rsidR="0013032F">
        <w:t xml:space="preserve"> </w:t>
      </w:r>
      <w:r>
        <w:t>Regional</w:t>
      </w:r>
      <w:r w:rsidR="0013032F">
        <w:t xml:space="preserve"> </w:t>
      </w:r>
      <w:r>
        <w:t>Jobs</w:t>
      </w:r>
      <w:r w:rsidR="0013032F">
        <w:t xml:space="preserve"> </w:t>
      </w:r>
      <w:r>
        <w:t>and</w:t>
      </w:r>
      <w:r w:rsidR="0013032F">
        <w:t xml:space="preserve"> </w:t>
      </w:r>
      <w:r>
        <w:t>Infrastructure</w:t>
      </w:r>
      <w:r w:rsidR="0013032F">
        <w:t xml:space="preserve"> </w:t>
      </w:r>
      <w:r>
        <w:t>Fund,</w:t>
      </w:r>
      <w:r w:rsidR="0013032F">
        <w:t xml:space="preserve"> </w:t>
      </w:r>
      <w:r>
        <w:t>68</w:t>
      </w:r>
      <w:r w:rsidR="0013032F">
        <w:t xml:space="preserve"> </w:t>
      </w:r>
      <w:r>
        <w:t>grants</w:t>
      </w:r>
      <w:r w:rsidR="0013032F">
        <w:t xml:space="preserve"> </w:t>
      </w:r>
      <w:r>
        <w:t>totalling</w:t>
      </w:r>
      <w:r w:rsidR="0013032F">
        <w:t xml:space="preserve"> </w:t>
      </w:r>
      <w:r>
        <w:t>$35.78</w:t>
      </w:r>
      <w:r w:rsidR="0013032F">
        <w:t xml:space="preserve"> </w:t>
      </w:r>
      <w:r>
        <w:t>million</w:t>
      </w:r>
      <w:r w:rsidR="0013032F">
        <w:t xml:space="preserve"> </w:t>
      </w:r>
      <w:r>
        <w:t>were</w:t>
      </w:r>
      <w:r w:rsidR="0013032F">
        <w:t xml:space="preserve"> </w:t>
      </w:r>
      <w:r>
        <w:t>approved</w:t>
      </w:r>
      <w:r w:rsidR="0013032F">
        <w:t xml:space="preserve"> </w:t>
      </w:r>
      <w:r>
        <w:t>in</w:t>
      </w:r>
      <w:r w:rsidR="0013032F">
        <w:t xml:space="preserve"> </w:t>
      </w:r>
      <w:r>
        <w:t>2022–23.</w:t>
      </w:r>
    </w:p>
    <w:p w14:paraId="42DC5432" w14:textId="1FB811C2" w:rsidR="00757772" w:rsidRDefault="00305D3C" w:rsidP="0013032F">
      <w:r>
        <w:t>The</w:t>
      </w:r>
      <w:r w:rsidR="0013032F">
        <w:t xml:space="preserve"> </w:t>
      </w:r>
      <w:r>
        <w:t>Geelong</w:t>
      </w:r>
      <w:r w:rsidR="0013032F">
        <w:t xml:space="preserve"> </w:t>
      </w:r>
      <w:r>
        <w:t>City</w:t>
      </w:r>
      <w:r w:rsidR="0013032F">
        <w:t xml:space="preserve"> </w:t>
      </w:r>
      <w:r>
        <w:t>Deal</w:t>
      </w:r>
      <w:r w:rsidR="0013032F">
        <w:t xml:space="preserve"> </w:t>
      </w:r>
      <w:r>
        <w:t>is</w:t>
      </w:r>
      <w:r w:rsidR="0013032F">
        <w:t xml:space="preserve"> </w:t>
      </w:r>
      <w:r>
        <w:t>in</w:t>
      </w:r>
      <w:r w:rsidR="0013032F">
        <w:t xml:space="preserve"> </w:t>
      </w:r>
      <w:r>
        <w:t>its</w:t>
      </w:r>
      <w:r w:rsidR="0013032F">
        <w:t xml:space="preserve"> </w:t>
      </w:r>
      <w:r>
        <w:t>fourth</w:t>
      </w:r>
      <w:r w:rsidR="0013032F">
        <w:t xml:space="preserve"> </w:t>
      </w:r>
      <w:r>
        <w:t>year</w:t>
      </w:r>
      <w:r w:rsidR="0013032F">
        <w:t xml:space="preserve"> </w:t>
      </w:r>
      <w:r>
        <w:t>of</w:t>
      </w:r>
      <w:r w:rsidR="0013032F">
        <w:t xml:space="preserve"> </w:t>
      </w:r>
      <w:r>
        <w:t>delivery,</w:t>
      </w:r>
      <w:r w:rsidR="0013032F">
        <w:t xml:space="preserve"> </w:t>
      </w:r>
      <w:r>
        <w:t>with</w:t>
      </w:r>
      <w:r w:rsidR="0013032F">
        <w:t xml:space="preserve"> </w:t>
      </w:r>
      <w:r>
        <w:t>11</w:t>
      </w:r>
      <w:r w:rsidR="0013032F">
        <w:t xml:space="preserve"> </w:t>
      </w:r>
      <w:r>
        <w:t>of</w:t>
      </w:r>
      <w:r w:rsidR="0013032F">
        <w:t xml:space="preserve"> </w:t>
      </w:r>
      <w:r>
        <w:t>26</w:t>
      </w:r>
      <w:r w:rsidR="0013032F">
        <w:t xml:space="preserve"> </w:t>
      </w:r>
      <w:r>
        <w:t>projects</w:t>
      </w:r>
      <w:r w:rsidR="0013032F">
        <w:t xml:space="preserve"> </w:t>
      </w:r>
      <w:r>
        <w:t>now</w:t>
      </w:r>
      <w:r w:rsidR="0013032F">
        <w:t xml:space="preserve"> </w:t>
      </w:r>
      <w:r>
        <w:t>complete</w:t>
      </w:r>
      <w:r w:rsidR="0013032F">
        <w:t xml:space="preserve"> </w:t>
      </w:r>
      <w:r>
        <w:t>and</w:t>
      </w:r>
      <w:r w:rsidR="0013032F">
        <w:t xml:space="preserve"> </w:t>
      </w:r>
      <w:r>
        <w:t>its</w:t>
      </w:r>
      <w:r w:rsidR="0013032F">
        <w:t xml:space="preserve"> </w:t>
      </w:r>
      <w:r>
        <w:t>flagship</w:t>
      </w:r>
      <w:r w:rsidR="0013032F">
        <w:t xml:space="preserve"> </w:t>
      </w:r>
      <w:r>
        <w:t>project,</w:t>
      </w:r>
      <w:r w:rsidR="0013032F">
        <w:t xml:space="preserve"> </w:t>
      </w:r>
      <w:r>
        <w:t>the</w:t>
      </w:r>
      <w:r w:rsidR="0013032F">
        <w:t xml:space="preserve"> </w:t>
      </w:r>
      <w:r>
        <w:t>$294</w:t>
      </w:r>
      <w:r w:rsidR="0013032F">
        <w:t xml:space="preserve"> </w:t>
      </w:r>
      <w:r>
        <w:t>million</w:t>
      </w:r>
      <w:r w:rsidR="0013032F">
        <w:t xml:space="preserve"> </w:t>
      </w:r>
      <w:r>
        <w:t>Geelong</w:t>
      </w:r>
      <w:r w:rsidR="0013032F">
        <w:t xml:space="preserve"> </w:t>
      </w:r>
      <w:r>
        <w:t>Convention</w:t>
      </w:r>
      <w:r w:rsidR="0013032F">
        <w:t xml:space="preserve"> </w:t>
      </w:r>
      <w:r>
        <w:t>and</w:t>
      </w:r>
      <w:r w:rsidR="0013032F">
        <w:t xml:space="preserve"> </w:t>
      </w:r>
      <w:r>
        <w:t>Exhibition</w:t>
      </w:r>
      <w:r w:rsidR="0013032F">
        <w:t xml:space="preserve"> </w:t>
      </w:r>
      <w:r>
        <w:t>Centre</w:t>
      </w:r>
      <w:r w:rsidR="0013032F">
        <w:t xml:space="preserve"> </w:t>
      </w:r>
      <w:r>
        <w:t>Precinct</w:t>
      </w:r>
      <w:r w:rsidR="0013032F">
        <w:t xml:space="preserve"> </w:t>
      </w:r>
      <w:r>
        <w:t>Development</w:t>
      </w:r>
      <w:r w:rsidR="0013032F">
        <w:t xml:space="preserve"> </w:t>
      </w:r>
      <w:r>
        <w:t>on</w:t>
      </w:r>
      <w:r w:rsidR="0013032F">
        <w:t xml:space="preserve"> </w:t>
      </w:r>
      <w:r>
        <w:t>track</w:t>
      </w:r>
      <w:r w:rsidR="0013032F">
        <w:t xml:space="preserve"> </w:t>
      </w:r>
      <w:r>
        <w:t>for</w:t>
      </w:r>
      <w:r w:rsidR="0013032F">
        <w:t xml:space="preserve"> </w:t>
      </w:r>
      <w:r>
        <w:t>completion</w:t>
      </w:r>
      <w:r w:rsidR="0013032F">
        <w:t xml:space="preserve"> </w:t>
      </w:r>
      <w:r>
        <w:t>in</w:t>
      </w:r>
      <w:r w:rsidR="0013032F">
        <w:t xml:space="preserve"> </w:t>
      </w:r>
      <w:r>
        <w:t>2026.</w:t>
      </w:r>
    </w:p>
    <w:p w14:paraId="1996E167" w14:textId="581D7876" w:rsidR="00757772" w:rsidRDefault="00305D3C" w:rsidP="0013032F">
      <w:r>
        <w:t>In</w:t>
      </w:r>
      <w:r w:rsidR="0013032F">
        <w:t xml:space="preserve"> </w:t>
      </w:r>
      <w:r>
        <w:t>2022–23,</w:t>
      </w:r>
      <w:r w:rsidR="0013032F">
        <w:t xml:space="preserve"> </w:t>
      </w:r>
      <w:r>
        <w:t>RDV</w:t>
      </w:r>
      <w:r w:rsidR="0013032F">
        <w:t xml:space="preserve"> </w:t>
      </w:r>
      <w:r>
        <w:t>also</w:t>
      </w:r>
      <w:r w:rsidR="0013032F">
        <w:t xml:space="preserve"> </w:t>
      </w:r>
      <w:r>
        <w:t>played</w:t>
      </w:r>
      <w:r w:rsidR="0013032F">
        <w:t xml:space="preserve"> </w:t>
      </w:r>
      <w:r>
        <w:t>a</w:t>
      </w:r>
      <w:r w:rsidR="0013032F">
        <w:t xml:space="preserve"> </w:t>
      </w:r>
      <w:r>
        <w:t>key</w:t>
      </w:r>
      <w:r w:rsidR="0013032F">
        <w:t xml:space="preserve"> </w:t>
      </w:r>
      <w:r>
        <w:t>role</w:t>
      </w:r>
      <w:r w:rsidR="0013032F">
        <w:t xml:space="preserve"> </w:t>
      </w:r>
      <w:r>
        <w:t>in</w:t>
      </w:r>
      <w:r w:rsidR="0013032F">
        <w:t xml:space="preserve"> </w:t>
      </w:r>
      <w:r>
        <w:t>the</w:t>
      </w:r>
      <w:r w:rsidR="0013032F">
        <w:t xml:space="preserve"> </w:t>
      </w:r>
      <w:r>
        <w:t>Victorian</w:t>
      </w:r>
      <w:r w:rsidR="0013032F">
        <w:t xml:space="preserve"> </w:t>
      </w:r>
      <w:r>
        <w:t>Government’s</w:t>
      </w:r>
      <w:r w:rsidR="0013032F">
        <w:t xml:space="preserve"> </w:t>
      </w:r>
      <w:r>
        <w:t>response</w:t>
      </w:r>
      <w:r w:rsidR="0013032F">
        <w:t xml:space="preserve"> </w:t>
      </w:r>
      <w:r>
        <w:t>to</w:t>
      </w:r>
      <w:r w:rsidR="0013032F">
        <w:t xml:space="preserve"> </w:t>
      </w:r>
      <w:r>
        <w:t>the</w:t>
      </w:r>
      <w:r w:rsidR="0013032F">
        <w:t xml:space="preserve"> </w:t>
      </w:r>
      <w:r>
        <w:t>October</w:t>
      </w:r>
      <w:r w:rsidR="0013032F">
        <w:t xml:space="preserve"> </w:t>
      </w:r>
      <w:r>
        <w:t>2022</w:t>
      </w:r>
      <w:r w:rsidR="0013032F">
        <w:t xml:space="preserve"> </w:t>
      </w:r>
      <w:r>
        <w:t>floods.</w:t>
      </w:r>
      <w:r w:rsidR="0013032F">
        <w:t xml:space="preserve"> </w:t>
      </w:r>
      <w:r>
        <w:t>Recovery</w:t>
      </w:r>
      <w:r w:rsidR="0013032F">
        <w:t xml:space="preserve"> </w:t>
      </w:r>
      <w:r>
        <w:t>projects</w:t>
      </w:r>
      <w:r w:rsidR="0013032F">
        <w:t xml:space="preserve"> </w:t>
      </w:r>
      <w:r>
        <w:t>ensured</w:t>
      </w:r>
      <w:r w:rsidR="0013032F">
        <w:t xml:space="preserve"> </w:t>
      </w:r>
      <w:r>
        <w:t>support</w:t>
      </w:r>
      <w:r w:rsidR="0013032F">
        <w:t xml:space="preserve"> </w:t>
      </w:r>
      <w:r>
        <w:t>was</w:t>
      </w:r>
      <w:r w:rsidR="0013032F">
        <w:t xml:space="preserve"> </w:t>
      </w:r>
      <w:r>
        <w:t>available</w:t>
      </w:r>
      <w:r w:rsidR="0013032F">
        <w:t xml:space="preserve"> </w:t>
      </w:r>
      <w:r>
        <w:t>to</w:t>
      </w:r>
      <w:r w:rsidR="0013032F">
        <w:t xml:space="preserve"> </w:t>
      </w:r>
      <w:r>
        <w:t>aid</w:t>
      </w:r>
      <w:r w:rsidR="0013032F">
        <w:t xml:space="preserve"> </w:t>
      </w:r>
      <w:r>
        <w:t>the</w:t>
      </w:r>
      <w:r w:rsidR="0013032F">
        <w:t xml:space="preserve"> </w:t>
      </w:r>
      <w:r>
        <w:t>economic</w:t>
      </w:r>
      <w:r w:rsidR="0013032F">
        <w:t xml:space="preserve"> </w:t>
      </w:r>
      <w:r>
        <w:t>recovery</w:t>
      </w:r>
      <w:r w:rsidR="0013032F">
        <w:t xml:space="preserve"> </w:t>
      </w:r>
      <w:r>
        <w:t>of</w:t>
      </w:r>
      <w:r w:rsidR="0013032F">
        <w:t xml:space="preserve"> </w:t>
      </w:r>
      <w:r>
        <w:t>regional</w:t>
      </w:r>
      <w:r w:rsidR="0013032F">
        <w:t xml:space="preserve"> </w:t>
      </w:r>
      <w:r>
        <w:t>businesses</w:t>
      </w:r>
      <w:r w:rsidR="0013032F">
        <w:t xml:space="preserve"> </w:t>
      </w:r>
      <w:r>
        <w:t>and</w:t>
      </w:r>
      <w:r w:rsidR="0013032F">
        <w:t xml:space="preserve"> </w:t>
      </w:r>
      <w:r>
        <w:t>communities.</w:t>
      </w:r>
      <w:r w:rsidR="0013032F">
        <w:t xml:space="preserve"> </w:t>
      </w:r>
      <w:r>
        <w:t>These</w:t>
      </w:r>
      <w:r w:rsidR="0013032F">
        <w:t xml:space="preserve"> </w:t>
      </w:r>
      <w:r>
        <w:t>included</w:t>
      </w:r>
      <w:r w:rsidR="0013032F">
        <w:t xml:space="preserve"> </w:t>
      </w:r>
      <w:r>
        <w:t>extra</w:t>
      </w:r>
      <w:r w:rsidR="0013032F">
        <w:t xml:space="preserve"> </w:t>
      </w:r>
      <w:r>
        <w:t>support</w:t>
      </w:r>
      <w:r w:rsidR="0013032F">
        <w:t xml:space="preserve"> </w:t>
      </w:r>
      <w:r>
        <w:t>for</w:t>
      </w:r>
      <w:r w:rsidR="0013032F">
        <w:t xml:space="preserve"> </w:t>
      </w:r>
      <w:r>
        <w:t>the</w:t>
      </w:r>
      <w:r w:rsidR="0013032F">
        <w:t xml:space="preserve"> </w:t>
      </w:r>
      <w:r>
        <w:t>hardest-hit</w:t>
      </w:r>
      <w:r w:rsidR="0013032F">
        <w:t xml:space="preserve"> </w:t>
      </w:r>
      <w:r>
        <w:t>towns,</w:t>
      </w:r>
      <w:r w:rsidR="0013032F">
        <w:t xml:space="preserve"> </w:t>
      </w:r>
      <w:r>
        <w:t>ensuring</w:t>
      </w:r>
      <w:r w:rsidR="0013032F">
        <w:t xml:space="preserve"> </w:t>
      </w:r>
      <w:r>
        <w:t>the</w:t>
      </w:r>
      <w:r w:rsidR="0013032F">
        <w:t xml:space="preserve"> </w:t>
      </w:r>
      <w:r>
        <w:t>supply</w:t>
      </w:r>
      <w:r w:rsidR="0013032F">
        <w:t xml:space="preserve"> </w:t>
      </w:r>
      <w:r>
        <w:t>of</w:t>
      </w:r>
      <w:r w:rsidR="0013032F">
        <w:t xml:space="preserve"> </w:t>
      </w:r>
      <w:r>
        <w:t>essential</w:t>
      </w:r>
      <w:r w:rsidR="0013032F">
        <w:t xml:space="preserve"> </w:t>
      </w:r>
      <w:r>
        <w:t>goods</w:t>
      </w:r>
      <w:r w:rsidR="0013032F">
        <w:t xml:space="preserve"> </w:t>
      </w:r>
      <w:r>
        <w:t>and</w:t>
      </w:r>
      <w:r w:rsidR="0013032F">
        <w:t xml:space="preserve"> </w:t>
      </w:r>
      <w:r>
        <w:t>support</w:t>
      </w:r>
      <w:r w:rsidR="0013032F">
        <w:t xml:space="preserve"> </w:t>
      </w:r>
      <w:r>
        <w:t>for</w:t>
      </w:r>
      <w:r w:rsidR="0013032F">
        <w:t xml:space="preserve"> </w:t>
      </w:r>
      <w:r>
        <w:t>business</w:t>
      </w:r>
      <w:r w:rsidR="0013032F">
        <w:t xml:space="preserve"> </w:t>
      </w:r>
      <w:r>
        <w:t>viability</w:t>
      </w:r>
      <w:r w:rsidR="0013032F">
        <w:t xml:space="preserve"> </w:t>
      </w:r>
      <w:r>
        <w:t>and</w:t>
      </w:r>
      <w:r w:rsidR="0013032F">
        <w:t xml:space="preserve"> </w:t>
      </w:r>
      <w:r>
        <w:t>recovery.</w:t>
      </w:r>
    </w:p>
    <w:p w14:paraId="4C51DAB9" w14:textId="0C4AA170" w:rsidR="00757772" w:rsidRDefault="00305D3C" w:rsidP="0013032F">
      <w:r>
        <w:t>The</w:t>
      </w:r>
      <w:r w:rsidR="0013032F">
        <w:t xml:space="preserve"> </w:t>
      </w:r>
      <w:r>
        <w:t>Regional</w:t>
      </w:r>
      <w:r w:rsidR="0013032F">
        <w:t xml:space="preserve"> </w:t>
      </w:r>
      <w:r>
        <w:t>Economic</w:t>
      </w:r>
      <w:r w:rsidR="0013032F">
        <w:t xml:space="preserve"> </w:t>
      </w:r>
      <w:r>
        <w:t>Development</w:t>
      </w:r>
      <w:r w:rsidR="0013032F">
        <w:t xml:space="preserve"> </w:t>
      </w:r>
      <w:r>
        <w:t>Strategies</w:t>
      </w:r>
      <w:r w:rsidR="0013032F">
        <w:t xml:space="preserve"> </w:t>
      </w:r>
      <w:r>
        <w:t>(REDS)</w:t>
      </w:r>
      <w:r w:rsidR="0013032F">
        <w:t xml:space="preserve"> </w:t>
      </w:r>
      <w:r>
        <w:t>have</w:t>
      </w:r>
      <w:r w:rsidR="0013032F">
        <w:t xml:space="preserve"> </w:t>
      </w:r>
      <w:r>
        <w:t>proven</w:t>
      </w:r>
      <w:r w:rsidR="0013032F">
        <w:t xml:space="preserve"> </w:t>
      </w:r>
      <w:r>
        <w:t>to</w:t>
      </w:r>
      <w:r w:rsidR="0013032F">
        <w:t xml:space="preserve"> </w:t>
      </w:r>
      <w:r>
        <w:t>be</w:t>
      </w:r>
      <w:r w:rsidR="0013032F">
        <w:t xml:space="preserve"> </w:t>
      </w:r>
      <w:r>
        <w:t>a</w:t>
      </w:r>
      <w:r w:rsidR="0013032F">
        <w:t xml:space="preserve"> </w:t>
      </w:r>
      <w:r>
        <w:t>pivotal</w:t>
      </w:r>
      <w:r w:rsidR="0013032F">
        <w:t xml:space="preserve"> </w:t>
      </w:r>
      <w:r>
        <w:t>tool</w:t>
      </w:r>
      <w:r w:rsidR="0013032F">
        <w:t xml:space="preserve"> </w:t>
      </w:r>
      <w:r>
        <w:t>for</w:t>
      </w:r>
      <w:r w:rsidR="0013032F">
        <w:t xml:space="preserve"> </w:t>
      </w:r>
      <w:r>
        <w:t>engaging</w:t>
      </w:r>
      <w:r w:rsidR="0013032F">
        <w:t xml:space="preserve"> </w:t>
      </w:r>
      <w:r>
        <w:t>with</w:t>
      </w:r>
      <w:r w:rsidR="0013032F">
        <w:t xml:space="preserve"> </w:t>
      </w:r>
      <w:r>
        <w:t>regional</w:t>
      </w:r>
      <w:r w:rsidR="0013032F">
        <w:t xml:space="preserve"> </w:t>
      </w:r>
      <w:r>
        <w:t>stakeholders</w:t>
      </w:r>
      <w:r w:rsidR="0013032F">
        <w:t xml:space="preserve"> </w:t>
      </w:r>
      <w:r>
        <w:t>and</w:t>
      </w:r>
      <w:r w:rsidR="0013032F">
        <w:t xml:space="preserve"> </w:t>
      </w:r>
      <w:r>
        <w:t>how</w:t>
      </w:r>
      <w:r w:rsidR="0013032F">
        <w:t xml:space="preserve"> </w:t>
      </w:r>
      <w:r>
        <w:t>we</w:t>
      </w:r>
      <w:r w:rsidR="0013032F">
        <w:t xml:space="preserve"> </w:t>
      </w:r>
      <w:r>
        <w:t>work</w:t>
      </w:r>
      <w:r w:rsidR="0013032F">
        <w:t xml:space="preserve"> </w:t>
      </w:r>
      <w:r>
        <w:t>across</w:t>
      </w:r>
      <w:r w:rsidR="0013032F">
        <w:t xml:space="preserve"> </w:t>
      </w:r>
      <w:r>
        <w:t>government</w:t>
      </w:r>
      <w:r w:rsidR="0013032F">
        <w:t xml:space="preserve"> </w:t>
      </w:r>
      <w:r>
        <w:t>to</w:t>
      </w:r>
      <w:r w:rsidR="0013032F">
        <w:t xml:space="preserve"> </w:t>
      </w:r>
      <w:r>
        <w:t>support</w:t>
      </w:r>
      <w:r w:rsidR="0013032F">
        <w:t xml:space="preserve"> </w:t>
      </w:r>
      <w:r>
        <w:t>regional</w:t>
      </w:r>
      <w:r w:rsidR="0013032F">
        <w:t xml:space="preserve"> </w:t>
      </w:r>
      <w:r>
        <w:t>prosperity.</w:t>
      </w:r>
      <w:r w:rsidR="0013032F">
        <w:t xml:space="preserve"> </w:t>
      </w:r>
      <w:r>
        <w:t>The</w:t>
      </w:r>
      <w:r w:rsidR="0013032F">
        <w:t xml:space="preserve"> </w:t>
      </w:r>
      <w:r>
        <w:t>REDS</w:t>
      </w:r>
      <w:r w:rsidR="0013032F">
        <w:t xml:space="preserve"> </w:t>
      </w:r>
      <w:r>
        <w:t>were</w:t>
      </w:r>
      <w:r w:rsidR="0013032F">
        <w:t xml:space="preserve"> </w:t>
      </w:r>
      <w:r>
        <w:t>developed</w:t>
      </w:r>
      <w:r w:rsidR="0013032F">
        <w:t xml:space="preserve"> </w:t>
      </w:r>
      <w:r>
        <w:t>to</w:t>
      </w:r>
      <w:r w:rsidR="0013032F">
        <w:t xml:space="preserve"> </w:t>
      </w:r>
      <w:r>
        <w:t>enable</w:t>
      </w:r>
      <w:r w:rsidR="0013032F">
        <w:t xml:space="preserve"> </w:t>
      </w:r>
      <w:r>
        <w:t>regional</w:t>
      </w:r>
      <w:r w:rsidR="0013032F">
        <w:t xml:space="preserve"> </w:t>
      </w:r>
      <w:r>
        <w:t>Victoria</w:t>
      </w:r>
      <w:r w:rsidR="0013032F">
        <w:t xml:space="preserve"> </w:t>
      </w:r>
      <w:r>
        <w:t>to</w:t>
      </w:r>
      <w:r w:rsidR="0013032F">
        <w:t xml:space="preserve"> </w:t>
      </w:r>
      <w:r>
        <w:t>leverage</w:t>
      </w:r>
      <w:r w:rsidR="0013032F">
        <w:t xml:space="preserve"> </w:t>
      </w:r>
      <w:r>
        <w:t>strategic</w:t>
      </w:r>
      <w:r w:rsidR="0013032F">
        <w:t xml:space="preserve"> </w:t>
      </w:r>
      <w:r>
        <w:t>strengths</w:t>
      </w:r>
      <w:r w:rsidR="0013032F">
        <w:t xml:space="preserve"> </w:t>
      </w:r>
      <w:r>
        <w:t>and</w:t>
      </w:r>
      <w:r w:rsidR="0013032F">
        <w:t xml:space="preserve"> </w:t>
      </w:r>
      <w:r>
        <w:t>comparative</w:t>
      </w:r>
      <w:r w:rsidR="0013032F">
        <w:t xml:space="preserve"> </w:t>
      </w:r>
      <w:r>
        <w:t>advantages,</w:t>
      </w:r>
      <w:r w:rsidR="0013032F">
        <w:t xml:space="preserve"> </w:t>
      </w:r>
      <w:r>
        <w:t>and</w:t>
      </w:r>
      <w:r w:rsidR="0013032F">
        <w:t xml:space="preserve"> </w:t>
      </w:r>
      <w:r>
        <w:t>to</w:t>
      </w:r>
      <w:r w:rsidR="0013032F">
        <w:t xml:space="preserve"> </w:t>
      </w:r>
      <w:r>
        <w:t>drive</w:t>
      </w:r>
      <w:r w:rsidR="0013032F">
        <w:t xml:space="preserve"> </w:t>
      </w:r>
      <w:r>
        <w:t>sustainable</w:t>
      </w:r>
      <w:r w:rsidR="0013032F">
        <w:t xml:space="preserve"> </w:t>
      </w:r>
      <w:r>
        <w:t>growth</w:t>
      </w:r>
      <w:r w:rsidR="0013032F">
        <w:t xml:space="preserve"> </w:t>
      </w:r>
      <w:r>
        <w:t>and</w:t>
      </w:r>
      <w:r w:rsidR="0013032F">
        <w:t xml:space="preserve"> </w:t>
      </w:r>
      <w:r>
        <w:t>long-</w:t>
      </w:r>
      <w:r>
        <w:lastRenderedPageBreak/>
        <w:t>term</w:t>
      </w:r>
      <w:r w:rsidR="0013032F">
        <w:t xml:space="preserve"> </w:t>
      </w:r>
      <w:r>
        <w:t>economic</w:t>
      </w:r>
      <w:r w:rsidR="0013032F">
        <w:t xml:space="preserve"> </w:t>
      </w:r>
      <w:r>
        <w:t>development.</w:t>
      </w:r>
      <w:r w:rsidR="0013032F">
        <w:t xml:space="preserve"> </w:t>
      </w:r>
      <w:r>
        <w:t>The</w:t>
      </w:r>
      <w:r w:rsidR="0013032F">
        <w:t xml:space="preserve"> </w:t>
      </w:r>
      <w:r>
        <w:t>REDS</w:t>
      </w:r>
      <w:r w:rsidR="0013032F">
        <w:t xml:space="preserve"> </w:t>
      </w:r>
      <w:r>
        <w:t>continue</w:t>
      </w:r>
      <w:r w:rsidR="0013032F">
        <w:t xml:space="preserve"> </w:t>
      </w:r>
      <w:r>
        <w:t>to</w:t>
      </w:r>
      <w:r w:rsidR="0013032F">
        <w:t xml:space="preserve"> </w:t>
      </w:r>
      <w:r>
        <w:t>inform</w:t>
      </w:r>
      <w:r w:rsidR="0013032F">
        <w:t xml:space="preserve"> </w:t>
      </w:r>
      <w:r>
        <w:t>the</w:t>
      </w:r>
      <w:r w:rsidR="0013032F">
        <w:t xml:space="preserve"> </w:t>
      </w:r>
      <w:r>
        <w:t>delivery</w:t>
      </w:r>
      <w:r w:rsidR="0013032F">
        <w:t xml:space="preserve"> </w:t>
      </w:r>
      <w:r>
        <w:t>of</w:t>
      </w:r>
      <w:r w:rsidR="0013032F">
        <w:t xml:space="preserve"> </w:t>
      </w:r>
      <w:r>
        <w:t>key</w:t>
      </w:r>
      <w:r w:rsidR="0013032F">
        <w:t xml:space="preserve"> </w:t>
      </w:r>
      <w:r>
        <w:t>Victorian</w:t>
      </w:r>
      <w:r w:rsidR="0013032F">
        <w:t xml:space="preserve"> </w:t>
      </w:r>
      <w:r>
        <w:t>Government</w:t>
      </w:r>
      <w:r w:rsidR="0013032F">
        <w:t xml:space="preserve"> </w:t>
      </w:r>
      <w:r>
        <w:t>commitments</w:t>
      </w:r>
      <w:r w:rsidR="0013032F">
        <w:t xml:space="preserve"> </w:t>
      </w:r>
      <w:r>
        <w:t>in</w:t>
      </w:r>
      <w:r w:rsidR="0013032F">
        <w:t xml:space="preserve"> </w:t>
      </w:r>
      <w:r>
        <w:t>net</w:t>
      </w:r>
      <w:r w:rsidR="0013032F">
        <w:t xml:space="preserve"> </w:t>
      </w:r>
      <w:r>
        <w:t>zero</w:t>
      </w:r>
      <w:r w:rsidR="0013032F">
        <w:t xml:space="preserve"> </w:t>
      </w:r>
      <w:r>
        <w:t>transition</w:t>
      </w:r>
      <w:r w:rsidR="0013032F">
        <w:t xml:space="preserve"> </w:t>
      </w:r>
      <w:r>
        <w:t>and</w:t>
      </w:r>
      <w:r w:rsidR="0013032F">
        <w:t xml:space="preserve"> </w:t>
      </w:r>
      <w:r>
        <w:t>housing,</w:t>
      </w:r>
      <w:r w:rsidR="0013032F">
        <w:t xml:space="preserve"> </w:t>
      </w:r>
      <w:r>
        <w:t>underpin</w:t>
      </w:r>
      <w:r w:rsidR="0013032F">
        <w:t xml:space="preserve"> </w:t>
      </w:r>
      <w:r>
        <w:t>emerging</w:t>
      </w:r>
      <w:r w:rsidR="0013032F">
        <w:t xml:space="preserve"> </w:t>
      </w:r>
      <w:r>
        <w:t>initiatives</w:t>
      </w:r>
      <w:r w:rsidR="0013032F">
        <w:t xml:space="preserve"> </w:t>
      </w:r>
      <w:r>
        <w:t>in</w:t>
      </w:r>
      <w:r w:rsidR="0013032F">
        <w:t xml:space="preserve"> </w:t>
      </w:r>
      <w:r>
        <w:t>regional</w:t>
      </w:r>
      <w:r w:rsidR="0013032F">
        <w:t xml:space="preserve"> </w:t>
      </w:r>
      <w:r>
        <w:t>food</w:t>
      </w:r>
      <w:r w:rsidR="0013032F">
        <w:t xml:space="preserve"> </w:t>
      </w:r>
      <w:r>
        <w:t>and</w:t>
      </w:r>
      <w:r w:rsidR="0013032F">
        <w:t xml:space="preserve"> </w:t>
      </w:r>
      <w:r>
        <w:t>fibre</w:t>
      </w:r>
      <w:r w:rsidR="0013032F">
        <w:t xml:space="preserve"> </w:t>
      </w:r>
      <w:r>
        <w:t>sector</w:t>
      </w:r>
      <w:r w:rsidR="0013032F">
        <w:t xml:space="preserve"> </w:t>
      </w:r>
      <w:r>
        <w:t>value-adding,</w:t>
      </w:r>
      <w:r w:rsidR="0013032F">
        <w:t xml:space="preserve"> </w:t>
      </w:r>
      <w:r>
        <w:t>strengthened</w:t>
      </w:r>
      <w:r w:rsidR="0013032F">
        <w:t xml:space="preserve"> </w:t>
      </w:r>
      <w:r>
        <w:t>regional</w:t>
      </w:r>
      <w:r w:rsidR="0013032F">
        <w:t xml:space="preserve"> </w:t>
      </w:r>
      <w:r>
        <w:t>innovation</w:t>
      </w:r>
      <w:r w:rsidR="0013032F">
        <w:t xml:space="preserve"> </w:t>
      </w:r>
      <w:r>
        <w:t>ecosystems</w:t>
      </w:r>
      <w:r w:rsidR="0013032F">
        <w:t xml:space="preserve"> </w:t>
      </w:r>
      <w:r>
        <w:t>and</w:t>
      </w:r>
      <w:r w:rsidR="0013032F">
        <w:t xml:space="preserve"> </w:t>
      </w:r>
      <w:r>
        <w:t>the</w:t>
      </w:r>
      <w:r w:rsidR="0013032F">
        <w:t xml:space="preserve"> </w:t>
      </w:r>
      <w:r>
        <w:t>factors</w:t>
      </w:r>
      <w:r w:rsidR="0013032F">
        <w:t xml:space="preserve"> </w:t>
      </w:r>
      <w:r>
        <w:t>that</w:t>
      </w:r>
      <w:r w:rsidR="0013032F">
        <w:t xml:space="preserve"> </w:t>
      </w:r>
      <w:r>
        <w:t>impact</w:t>
      </w:r>
      <w:r w:rsidR="0013032F">
        <w:t xml:space="preserve"> </w:t>
      </w:r>
      <w:r>
        <w:t>workforce</w:t>
      </w:r>
      <w:r w:rsidR="0013032F">
        <w:t xml:space="preserve"> </w:t>
      </w:r>
      <w:r>
        <w:t>and</w:t>
      </w:r>
      <w:r w:rsidR="0013032F">
        <w:t xml:space="preserve"> </w:t>
      </w:r>
      <w:r>
        <w:t>skills</w:t>
      </w:r>
      <w:r w:rsidR="0013032F">
        <w:t xml:space="preserve"> </w:t>
      </w:r>
      <w:r>
        <w:t>challenges.</w:t>
      </w:r>
    </w:p>
    <w:p w14:paraId="7B40CEC9" w14:textId="3D03641A" w:rsidR="00757772" w:rsidRDefault="00305D3C" w:rsidP="0013032F">
      <w:r>
        <w:t>In</w:t>
      </w:r>
      <w:r w:rsidR="0013032F">
        <w:t xml:space="preserve"> </w:t>
      </w:r>
      <w:r>
        <w:t>2022–23</w:t>
      </w:r>
      <w:r w:rsidR="0013032F">
        <w:t xml:space="preserve"> </w:t>
      </w:r>
      <w:r>
        <w:t>RDV</w:t>
      </w:r>
      <w:r w:rsidR="0013032F">
        <w:t xml:space="preserve"> </w:t>
      </w:r>
      <w:r>
        <w:t>continued</w:t>
      </w:r>
      <w:r w:rsidR="0013032F">
        <w:t xml:space="preserve"> </w:t>
      </w:r>
      <w:r>
        <w:t>to</w:t>
      </w:r>
      <w:r w:rsidR="0013032F">
        <w:t xml:space="preserve"> </w:t>
      </w:r>
      <w:r>
        <w:t>deliver</w:t>
      </w:r>
      <w:r w:rsidR="0013032F">
        <w:t xml:space="preserve"> </w:t>
      </w:r>
      <w:r>
        <w:t>on</w:t>
      </w:r>
      <w:r w:rsidR="0013032F">
        <w:t xml:space="preserve"> </w:t>
      </w:r>
      <w:r>
        <w:t>the</w:t>
      </w:r>
      <w:r w:rsidR="0013032F">
        <w:t xml:space="preserve"> </w:t>
      </w:r>
      <w:r>
        <w:t>innovative</w:t>
      </w:r>
      <w:r w:rsidR="0013032F">
        <w:t xml:space="preserve"> </w:t>
      </w:r>
      <w:r>
        <w:t>Regional</w:t>
      </w:r>
      <w:r w:rsidR="0013032F">
        <w:t xml:space="preserve"> </w:t>
      </w:r>
      <w:r>
        <w:t>Workforce</w:t>
      </w:r>
      <w:r w:rsidR="0013032F">
        <w:t xml:space="preserve"> </w:t>
      </w:r>
      <w:r>
        <w:t>Pilot</w:t>
      </w:r>
      <w:r w:rsidR="0013032F">
        <w:t xml:space="preserve"> </w:t>
      </w:r>
      <w:r>
        <w:t>Program,</w:t>
      </w:r>
      <w:r w:rsidR="0013032F">
        <w:t xml:space="preserve"> </w:t>
      </w:r>
      <w:r>
        <w:t>tackling</w:t>
      </w:r>
      <w:r w:rsidR="0013032F">
        <w:t xml:space="preserve"> </w:t>
      </w:r>
      <w:r>
        <w:t>specific</w:t>
      </w:r>
      <w:r w:rsidR="0013032F">
        <w:t xml:space="preserve"> </w:t>
      </w:r>
      <w:r>
        <w:t>barriers</w:t>
      </w:r>
      <w:r w:rsidR="0013032F">
        <w:t xml:space="preserve"> </w:t>
      </w:r>
      <w:r>
        <w:t>to</w:t>
      </w:r>
      <w:r w:rsidR="0013032F">
        <w:t xml:space="preserve"> </w:t>
      </w:r>
      <w:r>
        <w:t>workforce</w:t>
      </w:r>
      <w:r w:rsidR="0013032F">
        <w:t xml:space="preserve"> </w:t>
      </w:r>
      <w:r>
        <w:t>attraction</w:t>
      </w:r>
      <w:r w:rsidR="0013032F">
        <w:t xml:space="preserve"> </w:t>
      </w:r>
      <w:r>
        <w:t>and</w:t>
      </w:r>
      <w:r w:rsidR="0013032F">
        <w:t xml:space="preserve"> </w:t>
      </w:r>
      <w:r>
        <w:t>unlocking</w:t>
      </w:r>
      <w:r w:rsidR="0013032F">
        <w:t xml:space="preserve"> </w:t>
      </w:r>
      <w:r>
        <w:t>fit-for-purpose</w:t>
      </w:r>
      <w:r w:rsidR="0013032F">
        <w:t xml:space="preserve"> </w:t>
      </w:r>
      <w:r>
        <w:t>solutions</w:t>
      </w:r>
      <w:r w:rsidR="0013032F">
        <w:t xml:space="preserve"> </w:t>
      </w:r>
      <w:r>
        <w:t>such</w:t>
      </w:r>
      <w:r w:rsidR="0013032F">
        <w:t xml:space="preserve"> </w:t>
      </w:r>
      <w:r>
        <w:t>as</w:t>
      </w:r>
      <w:r w:rsidR="0013032F">
        <w:t xml:space="preserve"> </w:t>
      </w:r>
      <w:r>
        <w:t>unlocking</w:t>
      </w:r>
      <w:r w:rsidR="0013032F">
        <w:t xml:space="preserve"> </w:t>
      </w:r>
      <w:r>
        <w:t>land</w:t>
      </w:r>
      <w:r w:rsidR="0013032F">
        <w:t xml:space="preserve"> </w:t>
      </w:r>
      <w:r>
        <w:t>for</w:t>
      </w:r>
      <w:r w:rsidR="0013032F">
        <w:t xml:space="preserve"> </w:t>
      </w:r>
      <w:r>
        <w:t>housing,</w:t>
      </w:r>
      <w:r w:rsidR="0013032F">
        <w:t xml:space="preserve"> </w:t>
      </w:r>
      <w:r>
        <w:t>facilitating</w:t>
      </w:r>
      <w:r w:rsidR="0013032F">
        <w:t xml:space="preserve"> </w:t>
      </w:r>
      <w:r>
        <w:t>worker</w:t>
      </w:r>
      <w:r w:rsidR="0013032F">
        <w:t xml:space="preserve"> </w:t>
      </w:r>
      <w:r>
        <w:t>transport</w:t>
      </w:r>
      <w:r w:rsidR="0013032F">
        <w:t xml:space="preserve"> </w:t>
      </w:r>
      <w:r>
        <w:t>solutions</w:t>
      </w:r>
      <w:r w:rsidR="0013032F">
        <w:t xml:space="preserve"> </w:t>
      </w:r>
      <w:r>
        <w:t>and</w:t>
      </w:r>
      <w:r w:rsidR="0013032F">
        <w:t xml:space="preserve"> </w:t>
      </w:r>
      <w:r>
        <w:t>supporting</w:t>
      </w:r>
      <w:r w:rsidR="0013032F">
        <w:t xml:space="preserve"> </w:t>
      </w:r>
      <w:r>
        <w:t>migrant</w:t>
      </w:r>
      <w:r w:rsidR="0013032F">
        <w:t xml:space="preserve"> </w:t>
      </w:r>
      <w:r>
        <w:t>resettlement</w:t>
      </w:r>
      <w:r w:rsidR="0013032F">
        <w:t xml:space="preserve"> </w:t>
      </w:r>
      <w:r>
        <w:t>programs.</w:t>
      </w:r>
      <w:r w:rsidR="0013032F">
        <w:t xml:space="preserve"> </w:t>
      </w:r>
      <w:r>
        <w:t>This</w:t>
      </w:r>
      <w:r w:rsidR="0013032F">
        <w:t xml:space="preserve"> </w:t>
      </w:r>
      <w:r>
        <w:t>place-based</w:t>
      </w:r>
      <w:r w:rsidR="0013032F">
        <w:t xml:space="preserve"> </w:t>
      </w:r>
      <w:r>
        <w:t>program</w:t>
      </w:r>
      <w:r w:rsidR="0013032F">
        <w:t xml:space="preserve"> </w:t>
      </w:r>
      <w:r>
        <w:t>reaffirmed</w:t>
      </w:r>
      <w:r w:rsidR="0013032F">
        <w:t xml:space="preserve"> </w:t>
      </w:r>
      <w:r>
        <w:t>the</w:t>
      </w:r>
      <w:r w:rsidR="0013032F">
        <w:t xml:space="preserve"> </w:t>
      </w:r>
      <w:r>
        <w:t>challenge</w:t>
      </w:r>
      <w:r w:rsidR="0013032F">
        <w:t xml:space="preserve"> </w:t>
      </w:r>
      <w:r>
        <w:t>of</w:t>
      </w:r>
      <w:r w:rsidR="0013032F">
        <w:t xml:space="preserve"> </w:t>
      </w:r>
      <w:r>
        <w:t>housing</w:t>
      </w:r>
      <w:r w:rsidR="0013032F">
        <w:t xml:space="preserve"> </w:t>
      </w:r>
      <w:r>
        <w:t>workers</w:t>
      </w:r>
      <w:r w:rsidR="0013032F">
        <w:t xml:space="preserve"> </w:t>
      </w:r>
      <w:r>
        <w:t>as</w:t>
      </w:r>
      <w:r w:rsidR="0013032F">
        <w:t xml:space="preserve"> </w:t>
      </w:r>
      <w:r>
        <w:t>a</w:t>
      </w:r>
      <w:r w:rsidR="0013032F">
        <w:t xml:space="preserve"> </w:t>
      </w:r>
      <w:r>
        <w:t>key</w:t>
      </w:r>
      <w:r w:rsidR="0013032F">
        <w:t xml:space="preserve"> </w:t>
      </w:r>
      <w:r>
        <w:t>barri</w:t>
      </w:r>
      <w:r>
        <w:t>er</w:t>
      </w:r>
      <w:r w:rsidR="0013032F">
        <w:t xml:space="preserve"> </w:t>
      </w:r>
      <w:r>
        <w:t>faced</w:t>
      </w:r>
      <w:r w:rsidR="0013032F">
        <w:t xml:space="preserve"> </w:t>
      </w:r>
      <w:r>
        <w:t>by</w:t>
      </w:r>
      <w:r w:rsidR="0013032F">
        <w:t xml:space="preserve"> </w:t>
      </w:r>
      <w:r>
        <w:t>our</w:t>
      </w:r>
      <w:r w:rsidR="0013032F">
        <w:t xml:space="preserve"> </w:t>
      </w:r>
      <w:r>
        <w:t>regional</w:t>
      </w:r>
      <w:r w:rsidR="0013032F">
        <w:t xml:space="preserve"> </w:t>
      </w:r>
      <w:r>
        <w:t>economies</w:t>
      </w:r>
      <w:r w:rsidR="0013032F">
        <w:t xml:space="preserve"> </w:t>
      </w:r>
      <w:r>
        <w:t>and</w:t>
      </w:r>
      <w:r w:rsidR="0013032F">
        <w:t xml:space="preserve"> </w:t>
      </w:r>
      <w:r>
        <w:t>has</w:t>
      </w:r>
      <w:r w:rsidR="0013032F">
        <w:t xml:space="preserve"> </w:t>
      </w:r>
      <w:r>
        <w:t>provided</w:t>
      </w:r>
      <w:r w:rsidR="0013032F">
        <w:t xml:space="preserve"> </w:t>
      </w:r>
      <w:r>
        <w:t>valuable</w:t>
      </w:r>
      <w:r w:rsidR="0013032F">
        <w:t xml:space="preserve"> </w:t>
      </w:r>
      <w:r>
        <w:t>insights</w:t>
      </w:r>
      <w:r w:rsidR="0013032F">
        <w:t xml:space="preserve"> </w:t>
      </w:r>
      <w:r>
        <w:t>into</w:t>
      </w:r>
      <w:r w:rsidR="0013032F">
        <w:t xml:space="preserve"> </w:t>
      </w:r>
      <w:r>
        <w:t>supporting</w:t>
      </w:r>
      <w:r w:rsidR="0013032F">
        <w:t xml:space="preserve"> </w:t>
      </w:r>
      <w:r>
        <w:t>worker</w:t>
      </w:r>
      <w:r w:rsidR="0013032F">
        <w:t xml:space="preserve"> </w:t>
      </w:r>
      <w:r>
        <w:t>housing.</w:t>
      </w:r>
    </w:p>
    <w:p w14:paraId="0049DE39" w14:textId="349F453E" w:rsidR="00757772" w:rsidRDefault="00305D3C" w:rsidP="0013032F">
      <w:r>
        <w:t>The</w:t>
      </w:r>
      <w:r w:rsidR="0013032F">
        <w:t xml:space="preserve"> </w:t>
      </w:r>
      <w:r>
        <w:t>Victorian</w:t>
      </w:r>
      <w:r w:rsidR="0013032F">
        <w:t xml:space="preserve"> </w:t>
      </w:r>
      <w:r>
        <w:t>Government’s</w:t>
      </w:r>
      <w:r w:rsidR="0013032F">
        <w:t xml:space="preserve"> </w:t>
      </w:r>
      <w:r>
        <w:t>announcement</w:t>
      </w:r>
      <w:r w:rsidR="0013032F">
        <w:t xml:space="preserve"> </w:t>
      </w:r>
      <w:r>
        <w:t>to</w:t>
      </w:r>
      <w:r w:rsidR="0013032F">
        <w:t xml:space="preserve"> </w:t>
      </w:r>
      <w:r>
        <w:t>bring</w:t>
      </w:r>
      <w:r w:rsidR="0013032F">
        <w:t xml:space="preserve"> </w:t>
      </w:r>
      <w:r>
        <w:t>forward</w:t>
      </w:r>
      <w:r w:rsidR="0013032F">
        <w:t xml:space="preserve"> </w:t>
      </w:r>
      <w:r>
        <w:t>the</w:t>
      </w:r>
      <w:r w:rsidR="0013032F">
        <w:t xml:space="preserve"> </w:t>
      </w:r>
      <w:r>
        <w:t>cessation</w:t>
      </w:r>
      <w:r w:rsidR="0013032F">
        <w:t xml:space="preserve"> </w:t>
      </w:r>
      <w:r>
        <w:t>of</w:t>
      </w:r>
      <w:r w:rsidR="0013032F">
        <w:t xml:space="preserve"> </w:t>
      </w:r>
      <w:r>
        <w:t>native</w:t>
      </w:r>
      <w:r w:rsidR="0013032F">
        <w:t xml:space="preserve"> </w:t>
      </w:r>
      <w:r>
        <w:t>timber</w:t>
      </w:r>
      <w:r w:rsidR="0013032F">
        <w:t xml:space="preserve"> </w:t>
      </w:r>
      <w:r>
        <w:t>harvesting</w:t>
      </w:r>
      <w:r w:rsidR="0013032F">
        <w:t xml:space="preserve"> </w:t>
      </w:r>
      <w:r>
        <w:t>in</w:t>
      </w:r>
      <w:r w:rsidR="0013032F">
        <w:t xml:space="preserve"> </w:t>
      </w:r>
      <w:r>
        <w:t>state</w:t>
      </w:r>
      <w:r w:rsidR="0013032F">
        <w:t xml:space="preserve"> </w:t>
      </w:r>
      <w:r>
        <w:t>forests</w:t>
      </w:r>
      <w:r w:rsidR="0013032F">
        <w:t xml:space="preserve"> </w:t>
      </w:r>
      <w:r>
        <w:t>to</w:t>
      </w:r>
      <w:r w:rsidR="0013032F">
        <w:t xml:space="preserve"> </w:t>
      </w:r>
      <w:r>
        <w:t>2024</w:t>
      </w:r>
      <w:r w:rsidR="0013032F">
        <w:t xml:space="preserve"> </w:t>
      </w:r>
      <w:r>
        <w:t>has</w:t>
      </w:r>
      <w:r w:rsidR="0013032F">
        <w:t xml:space="preserve"> </w:t>
      </w:r>
      <w:r>
        <w:t>significant</w:t>
      </w:r>
      <w:r w:rsidR="0013032F">
        <w:t xml:space="preserve"> </w:t>
      </w:r>
      <w:r>
        <w:t>impacts</w:t>
      </w:r>
      <w:r w:rsidR="0013032F">
        <w:t xml:space="preserve"> </w:t>
      </w:r>
      <w:r>
        <w:t>for</w:t>
      </w:r>
      <w:r w:rsidR="0013032F">
        <w:t xml:space="preserve"> </w:t>
      </w:r>
      <w:r>
        <w:t>the</w:t>
      </w:r>
      <w:r w:rsidR="0013032F">
        <w:t xml:space="preserve"> </w:t>
      </w:r>
      <w:r>
        <w:t>local</w:t>
      </w:r>
      <w:r w:rsidR="0013032F">
        <w:t xml:space="preserve"> </w:t>
      </w:r>
      <w:r>
        <w:t>communities</w:t>
      </w:r>
      <w:r w:rsidR="0013032F">
        <w:t xml:space="preserve"> </w:t>
      </w:r>
      <w:r>
        <w:t>that</w:t>
      </w:r>
      <w:r w:rsidR="0013032F">
        <w:t xml:space="preserve"> </w:t>
      </w:r>
      <w:r>
        <w:t>have</w:t>
      </w:r>
      <w:r w:rsidR="0013032F">
        <w:t xml:space="preserve"> </w:t>
      </w:r>
      <w:r>
        <w:t>relied</w:t>
      </w:r>
      <w:r w:rsidR="0013032F">
        <w:t xml:space="preserve"> </w:t>
      </w:r>
      <w:r>
        <w:t>on</w:t>
      </w:r>
      <w:r w:rsidR="0013032F">
        <w:t xml:space="preserve"> </w:t>
      </w:r>
      <w:r>
        <w:t>this</w:t>
      </w:r>
      <w:r w:rsidR="0013032F">
        <w:t xml:space="preserve"> </w:t>
      </w:r>
      <w:r>
        <w:t>industry.</w:t>
      </w:r>
      <w:r w:rsidR="0013032F">
        <w:t xml:space="preserve"> </w:t>
      </w:r>
      <w:r>
        <w:t>RDV</w:t>
      </w:r>
      <w:r w:rsidR="0013032F">
        <w:t xml:space="preserve"> </w:t>
      </w:r>
      <w:r>
        <w:t>has</w:t>
      </w:r>
      <w:r w:rsidR="0013032F">
        <w:t xml:space="preserve"> </w:t>
      </w:r>
      <w:r>
        <w:t>played</w:t>
      </w:r>
      <w:r w:rsidR="0013032F">
        <w:t xml:space="preserve"> </w:t>
      </w:r>
      <w:r>
        <w:t>a</w:t>
      </w:r>
      <w:r w:rsidR="0013032F">
        <w:t xml:space="preserve"> </w:t>
      </w:r>
      <w:r>
        <w:t>key</w:t>
      </w:r>
      <w:r w:rsidR="0013032F">
        <w:t xml:space="preserve"> </w:t>
      </w:r>
      <w:r>
        <w:t>role</w:t>
      </w:r>
      <w:r w:rsidR="0013032F">
        <w:t xml:space="preserve"> </w:t>
      </w:r>
      <w:r>
        <w:t>in</w:t>
      </w:r>
      <w:r w:rsidR="0013032F">
        <w:t xml:space="preserve"> </w:t>
      </w:r>
      <w:r>
        <w:t>coordinating</w:t>
      </w:r>
      <w:r w:rsidR="0013032F">
        <w:t xml:space="preserve"> </w:t>
      </w:r>
      <w:r>
        <w:t>transition</w:t>
      </w:r>
      <w:r w:rsidR="0013032F">
        <w:t xml:space="preserve"> </w:t>
      </w:r>
      <w:r>
        <w:t>support</w:t>
      </w:r>
      <w:r w:rsidR="0013032F">
        <w:t xml:space="preserve"> </w:t>
      </w:r>
      <w:r>
        <w:t>for</w:t>
      </w:r>
      <w:r w:rsidR="0013032F">
        <w:t xml:space="preserve"> </w:t>
      </w:r>
      <w:r>
        <w:t>impacted</w:t>
      </w:r>
      <w:r w:rsidR="0013032F">
        <w:t xml:space="preserve"> </w:t>
      </w:r>
      <w:r>
        <w:t>communities,</w:t>
      </w:r>
      <w:r w:rsidR="0013032F">
        <w:t xml:space="preserve"> </w:t>
      </w:r>
      <w:r>
        <w:t>creating</w:t>
      </w:r>
      <w:r w:rsidR="0013032F">
        <w:t xml:space="preserve"> </w:t>
      </w:r>
      <w:r>
        <w:t>connections</w:t>
      </w:r>
      <w:r w:rsidR="0013032F">
        <w:t xml:space="preserve"> </w:t>
      </w:r>
      <w:r>
        <w:t>into</w:t>
      </w:r>
      <w:r w:rsidR="0013032F">
        <w:t xml:space="preserve"> </w:t>
      </w:r>
      <w:r>
        <w:t>government</w:t>
      </w:r>
      <w:r w:rsidR="0013032F">
        <w:t xml:space="preserve"> </w:t>
      </w:r>
      <w:r>
        <w:t>and,</w:t>
      </w:r>
      <w:r w:rsidR="0013032F">
        <w:t xml:space="preserve"> </w:t>
      </w:r>
      <w:r>
        <w:t>with</w:t>
      </w:r>
      <w:r w:rsidR="0013032F">
        <w:t xml:space="preserve"> </w:t>
      </w:r>
      <w:r>
        <w:t>other</w:t>
      </w:r>
      <w:r w:rsidR="0013032F">
        <w:t xml:space="preserve"> </w:t>
      </w:r>
      <w:r>
        <w:t>key</w:t>
      </w:r>
      <w:r w:rsidR="0013032F">
        <w:t xml:space="preserve"> </w:t>
      </w:r>
      <w:r>
        <w:t>stakeholders,</w:t>
      </w:r>
      <w:r w:rsidR="0013032F">
        <w:t xml:space="preserve"> </w:t>
      </w:r>
      <w:r>
        <w:t>assisting</w:t>
      </w:r>
      <w:r w:rsidR="0013032F">
        <w:t xml:space="preserve"> </w:t>
      </w:r>
      <w:r>
        <w:t>with</w:t>
      </w:r>
      <w:r w:rsidR="0013032F">
        <w:t xml:space="preserve"> </w:t>
      </w:r>
      <w:r>
        <w:t>access</w:t>
      </w:r>
      <w:r w:rsidR="0013032F">
        <w:t xml:space="preserve"> </w:t>
      </w:r>
      <w:r>
        <w:t>to</w:t>
      </w:r>
      <w:r w:rsidR="0013032F">
        <w:t xml:space="preserve"> </w:t>
      </w:r>
      <w:r>
        <w:t>program</w:t>
      </w:r>
      <w:r w:rsidR="0013032F">
        <w:t xml:space="preserve"> </w:t>
      </w:r>
      <w:r>
        <w:t>support</w:t>
      </w:r>
      <w:r w:rsidR="0013032F">
        <w:t xml:space="preserve"> </w:t>
      </w:r>
      <w:r>
        <w:t>and</w:t>
      </w:r>
      <w:r w:rsidR="0013032F">
        <w:t xml:space="preserve"> </w:t>
      </w:r>
      <w:r>
        <w:t>grant</w:t>
      </w:r>
      <w:r w:rsidR="0013032F">
        <w:t xml:space="preserve"> </w:t>
      </w:r>
      <w:r>
        <w:t>funding</w:t>
      </w:r>
      <w:r w:rsidR="0013032F">
        <w:t xml:space="preserve"> </w:t>
      </w:r>
      <w:r>
        <w:t>and</w:t>
      </w:r>
      <w:r w:rsidR="0013032F">
        <w:t xml:space="preserve"> </w:t>
      </w:r>
      <w:r>
        <w:t>providing</w:t>
      </w:r>
      <w:r w:rsidR="0013032F">
        <w:t xml:space="preserve"> </w:t>
      </w:r>
      <w:r>
        <w:t>key</w:t>
      </w:r>
      <w:r w:rsidR="0013032F">
        <w:t xml:space="preserve"> </w:t>
      </w:r>
      <w:r>
        <w:t>regional</w:t>
      </w:r>
      <w:r w:rsidR="0013032F">
        <w:t xml:space="preserve"> </w:t>
      </w:r>
      <w:r>
        <w:t>advocacy</w:t>
      </w:r>
      <w:r w:rsidR="0013032F">
        <w:t xml:space="preserve"> </w:t>
      </w:r>
      <w:r>
        <w:t>for</w:t>
      </w:r>
      <w:r w:rsidR="0013032F">
        <w:t xml:space="preserve"> </w:t>
      </w:r>
      <w:r>
        <w:t>challenges</w:t>
      </w:r>
      <w:r w:rsidR="0013032F">
        <w:t xml:space="preserve"> </w:t>
      </w:r>
      <w:r>
        <w:t>and</w:t>
      </w:r>
      <w:r w:rsidR="0013032F">
        <w:t xml:space="preserve"> </w:t>
      </w:r>
      <w:r>
        <w:t>opportunities.</w:t>
      </w:r>
    </w:p>
    <w:p w14:paraId="2CDEE515" w14:textId="1EE2437D" w:rsidR="00757772" w:rsidRDefault="00305D3C" w:rsidP="0013032F">
      <w:r>
        <w:t>Our</w:t>
      </w:r>
      <w:r w:rsidR="0013032F">
        <w:t xml:space="preserve"> </w:t>
      </w:r>
      <w:r>
        <w:t>regions</w:t>
      </w:r>
      <w:r w:rsidR="0013032F">
        <w:t xml:space="preserve"> </w:t>
      </w:r>
      <w:r>
        <w:t>include</w:t>
      </w:r>
      <w:r w:rsidR="0013032F">
        <w:t xml:space="preserve"> </w:t>
      </w:r>
      <w:r>
        <w:t>cross</w:t>
      </w:r>
      <w:r w:rsidR="0013032F">
        <w:t xml:space="preserve"> </w:t>
      </w:r>
      <w:r>
        <w:t>border</w:t>
      </w:r>
      <w:r w:rsidR="0013032F">
        <w:t xml:space="preserve"> </w:t>
      </w:r>
      <w:r>
        <w:t>communities.</w:t>
      </w:r>
      <w:r w:rsidR="0013032F">
        <w:t xml:space="preserve"> </w:t>
      </w:r>
      <w:r>
        <w:t>Throughout</w:t>
      </w:r>
      <w:r w:rsidR="0013032F">
        <w:t xml:space="preserve"> </w:t>
      </w:r>
      <w:r>
        <w:t>2022–23,</w:t>
      </w:r>
      <w:r w:rsidR="0013032F">
        <w:t xml:space="preserve"> </w:t>
      </w:r>
      <w:r>
        <w:t>Victoria’s</w:t>
      </w:r>
      <w:r w:rsidR="0013032F">
        <w:t xml:space="preserve"> </w:t>
      </w:r>
      <w:r>
        <w:t>Cross</w:t>
      </w:r>
      <w:r w:rsidR="0013032F">
        <w:t xml:space="preserve"> </w:t>
      </w:r>
      <w:r>
        <w:t>Border</w:t>
      </w:r>
      <w:r w:rsidR="0013032F">
        <w:t xml:space="preserve"> </w:t>
      </w:r>
      <w:r>
        <w:t>Commissioner</w:t>
      </w:r>
      <w:r w:rsidR="0013032F">
        <w:t xml:space="preserve"> </w:t>
      </w:r>
      <w:r>
        <w:t>supported</w:t>
      </w:r>
      <w:r w:rsidR="0013032F">
        <w:t xml:space="preserve"> </w:t>
      </w:r>
      <w:r>
        <w:t>border</w:t>
      </w:r>
      <w:r w:rsidR="0013032F">
        <w:t xml:space="preserve"> </w:t>
      </w:r>
      <w:r>
        <w:t>communities</w:t>
      </w:r>
      <w:r w:rsidR="0013032F">
        <w:t xml:space="preserve"> </w:t>
      </w:r>
      <w:r>
        <w:t>by</w:t>
      </w:r>
      <w:r w:rsidR="0013032F">
        <w:t xml:space="preserve"> </w:t>
      </w:r>
      <w:r>
        <w:t>advocating</w:t>
      </w:r>
      <w:r w:rsidR="0013032F">
        <w:t xml:space="preserve"> </w:t>
      </w:r>
      <w:r>
        <w:t>across</w:t>
      </w:r>
      <w:r w:rsidR="0013032F">
        <w:t xml:space="preserve"> </w:t>
      </w:r>
      <w:r>
        <w:t>governm</w:t>
      </w:r>
      <w:r>
        <w:t>ent</w:t>
      </w:r>
      <w:r w:rsidR="0013032F">
        <w:t xml:space="preserve"> </w:t>
      </w:r>
      <w:r>
        <w:t>on</w:t>
      </w:r>
      <w:r w:rsidR="0013032F">
        <w:t xml:space="preserve"> </w:t>
      </w:r>
      <w:r>
        <w:t>their</w:t>
      </w:r>
      <w:r w:rsidR="0013032F">
        <w:t xml:space="preserve"> </w:t>
      </w:r>
      <w:r>
        <w:t>behalf.</w:t>
      </w:r>
      <w:r w:rsidR="0013032F">
        <w:t xml:space="preserve"> </w:t>
      </w:r>
      <w:r>
        <w:t>An</w:t>
      </w:r>
      <w:r w:rsidR="0013032F">
        <w:t xml:space="preserve"> </w:t>
      </w:r>
      <w:r>
        <w:t>example</w:t>
      </w:r>
      <w:r w:rsidR="0013032F">
        <w:t xml:space="preserve"> </w:t>
      </w:r>
      <w:r>
        <w:t>of</w:t>
      </w:r>
      <w:r w:rsidR="0013032F">
        <w:t xml:space="preserve"> </w:t>
      </w:r>
      <w:r>
        <w:t>this</w:t>
      </w:r>
      <w:r w:rsidR="0013032F">
        <w:t xml:space="preserve"> </w:t>
      </w:r>
      <w:r>
        <w:t>work</w:t>
      </w:r>
      <w:r w:rsidR="0013032F">
        <w:t xml:space="preserve"> </w:t>
      </w:r>
      <w:r>
        <w:t>was</w:t>
      </w:r>
      <w:r w:rsidR="0013032F">
        <w:t xml:space="preserve"> </w:t>
      </w:r>
      <w:r>
        <w:t>partnering</w:t>
      </w:r>
      <w:r w:rsidR="0013032F">
        <w:t xml:space="preserve"> </w:t>
      </w:r>
      <w:r>
        <w:t>with</w:t>
      </w:r>
      <w:r w:rsidR="0013032F">
        <w:t xml:space="preserve"> </w:t>
      </w:r>
      <w:r>
        <w:t>industry</w:t>
      </w:r>
      <w:r w:rsidR="0013032F">
        <w:t xml:space="preserve"> </w:t>
      </w:r>
      <w:r>
        <w:t>stakeholders</w:t>
      </w:r>
      <w:r w:rsidR="0013032F">
        <w:t xml:space="preserve"> </w:t>
      </w:r>
      <w:r>
        <w:t>to</w:t>
      </w:r>
      <w:r w:rsidR="0013032F">
        <w:t xml:space="preserve"> </w:t>
      </w:r>
      <w:r>
        <w:t>successfully</w:t>
      </w:r>
      <w:r w:rsidR="0013032F">
        <w:t xml:space="preserve"> </w:t>
      </w:r>
      <w:r>
        <w:t>advocate</w:t>
      </w:r>
      <w:r w:rsidR="0013032F">
        <w:t xml:space="preserve"> </w:t>
      </w:r>
      <w:r>
        <w:t>for</w:t>
      </w:r>
      <w:r w:rsidR="0013032F">
        <w:t xml:space="preserve"> </w:t>
      </w:r>
      <w:r>
        <w:t>extending</w:t>
      </w:r>
      <w:r w:rsidR="0013032F">
        <w:t xml:space="preserve"> </w:t>
      </w:r>
      <w:r>
        <w:t>Victoria’s</w:t>
      </w:r>
      <w:r w:rsidR="0013032F">
        <w:t xml:space="preserve"> </w:t>
      </w:r>
      <w:r>
        <w:t>apprentice</w:t>
      </w:r>
      <w:r w:rsidR="0013032F">
        <w:t xml:space="preserve"> </w:t>
      </w:r>
      <w:r>
        <w:t>registration</w:t>
      </w:r>
      <w:r w:rsidR="0013032F">
        <w:t xml:space="preserve"> </w:t>
      </w:r>
      <w:r>
        <w:t>discount</w:t>
      </w:r>
      <w:r w:rsidR="0013032F">
        <w:t xml:space="preserve"> </w:t>
      </w:r>
      <w:r>
        <w:t>scheme</w:t>
      </w:r>
      <w:r w:rsidR="0013032F">
        <w:t xml:space="preserve"> </w:t>
      </w:r>
      <w:r>
        <w:t>to</w:t>
      </w:r>
      <w:r w:rsidR="0013032F">
        <w:t xml:space="preserve"> </w:t>
      </w:r>
      <w:r>
        <w:t>cover</w:t>
      </w:r>
      <w:r w:rsidR="0013032F">
        <w:t xml:space="preserve"> </w:t>
      </w:r>
      <w:r>
        <w:t>Victorian</w:t>
      </w:r>
      <w:r w:rsidR="0013032F">
        <w:t xml:space="preserve"> </w:t>
      </w:r>
      <w:r>
        <w:t>residents</w:t>
      </w:r>
      <w:r w:rsidR="0013032F">
        <w:t xml:space="preserve"> </w:t>
      </w:r>
      <w:r>
        <w:t>who</w:t>
      </w:r>
      <w:r w:rsidR="0013032F">
        <w:t xml:space="preserve"> </w:t>
      </w:r>
      <w:r>
        <w:t>work</w:t>
      </w:r>
      <w:r w:rsidR="0013032F">
        <w:t xml:space="preserve"> </w:t>
      </w:r>
      <w:r>
        <w:t>across</w:t>
      </w:r>
      <w:r w:rsidR="0013032F">
        <w:t xml:space="preserve"> </w:t>
      </w:r>
      <w:r>
        <w:t>the</w:t>
      </w:r>
      <w:r w:rsidR="0013032F">
        <w:t xml:space="preserve"> </w:t>
      </w:r>
      <w:r>
        <w:t>border.</w:t>
      </w:r>
    </w:p>
    <w:p w14:paraId="7E072F31" w14:textId="0F1F85B7" w:rsidR="00757772" w:rsidRDefault="00305D3C" w:rsidP="0013032F">
      <w:r>
        <w:t>In</w:t>
      </w:r>
      <w:r w:rsidR="0013032F">
        <w:t xml:space="preserve"> </w:t>
      </w:r>
      <w:r>
        <w:t>closing,</w:t>
      </w:r>
      <w:r w:rsidR="0013032F">
        <w:t xml:space="preserve"> </w:t>
      </w:r>
      <w:r>
        <w:t>I</w:t>
      </w:r>
      <w:r w:rsidR="0013032F">
        <w:t xml:space="preserve"> </w:t>
      </w:r>
      <w:r>
        <w:t>want</w:t>
      </w:r>
      <w:r w:rsidR="0013032F">
        <w:t xml:space="preserve"> </w:t>
      </w:r>
      <w:r>
        <w:t>to</w:t>
      </w:r>
      <w:r w:rsidR="0013032F">
        <w:t xml:space="preserve"> </w:t>
      </w:r>
      <w:r>
        <w:t>acknowledge</w:t>
      </w:r>
      <w:r w:rsidR="0013032F">
        <w:t xml:space="preserve"> </w:t>
      </w:r>
      <w:r>
        <w:t>the</w:t>
      </w:r>
      <w:r w:rsidR="0013032F">
        <w:t xml:space="preserve"> </w:t>
      </w:r>
      <w:r>
        <w:t>work</w:t>
      </w:r>
      <w:r w:rsidR="0013032F">
        <w:t xml:space="preserve"> </w:t>
      </w:r>
      <w:r>
        <w:t>and</w:t>
      </w:r>
      <w:r w:rsidR="0013032F">
        <w:t xml:space="preserve"> </w:t>
      </w:r>
      <w:r>
        <w:t>dedication</w:t>
      </w:r>
      <w:r w:rsidR="0013032F">
        <w:t xml:space="preserve"> </w:t>
      </w:r>
      <w:r>
        <w:t>of</w:t>
      </w:r>
      <w:r w:rsidR="0013032F">
        <w:t xml:space="preserve"> </w:t>
      </w:r>
      <w:r>
        <w:t>RDV</w:t>
      </w:r>
      <w:r w:rsidR="0013032F">
        <w:t xml:space="preserve"> </w:t>
      </w:r>
      <w:r>
        <w:t>staff.</w:t>
      </w:r>
      <w:r w:rsidR="0013032F">
        <w:t xml:space="preserve"> </w:t>
      </w:r>
      <w:r>
        <w:t>The</w:t>
      </w:r>
      <w:r w:rsidR="0013032F">
        <w:t xml:space="preserve"> </w:t>
      </w:r>
      <w:r>
        <w:t>knowledge,</w:t>
      </w:r>
      <w:r w:rsidR="0013032F">
        <w:t xml:space="preserve"> </w:t>
      </w:r>
      <w:r>
        <w:t>skills</w:t>
      </w:r>
      <w:r w:rsidR="0013032F">
        <w:t xml:space="preserve"> </w:t>
      </w:r>
      <w:r>
        <w:t>and</w:t>
      </w:r>
      <w:r w:rsidR="0013032F">
        <w:t xml:space="preserve"> </w:t>
      </w:r>
      <w:r>
        <w:t>passion</w:t>
      </w:r>
      <w:r w:rsidR="0013032F">
        <w:t xml:space="preserve"> </w:t>
      </w:r>
      <w:r>
        <w:t>of</w:t>
      </w:r>
      <w:r w:rsidR="0013032F">
        <w:t xml:space="preserve"> </w:t>
      </w:r>
      <w:r>
        <w:t>RDV</w:t>
      </w:r>
      <w:r w:rsidR="0013032F">
        <w:t xml:space="preserve"> </w:t>
      </w:r>
      <w:r>
        <w:t>staff,</w:t>
      </w:r>
      <w:r w:rsidR="0013032F">
        <w:t xml:space="preserve"> </w:t>
      </w:r>
      <w:r>
        <w:t>and</w:t>
      </w:r>
      <w:r w:rsidR="0013032F">
        <w:t xml:space="preserve"> </w:t>
      </w:r>
      <w:r>
        <w:t>their</w:t>
      </w:r>
      <w:r w:rsidR="0013032F">
        <w:t xml:space="preserve"> </w:t>
      </w:r>
      <w:r>
        <w:t>deep</w:t>
      </w:r>
      <w:r w:rsidR="0013032F">
        <w:t xml:space="preserve"> </w:t>
      </w:r>
      <w:r>
        <w:t>connections</w:t>
      </w:r>
      <w:r w:rsidR="0013032F">
        <w:t xml:space="preserve"> </w:t>
      </w:r>
      <w:r>
        <w:t>to</w:t>
      </w:r>
      <w:r w:rsidR="0013032F">
        <w:t xml:space="preserve"> </w:t>
      </w:r>
      <w:r>
        <w:t>the</w:t>
      </w:r>
      <w:r w:rsidR="0013032F">
        <w:t xml:space="preserve"> </w:t>
      </w:r>
      <w:r>
        <w:t>communities</w:t>
      </w:r>
      <w:r w:rsidR="0013032F">
        <w:t xml:space="preserve"> </w:t>
      </w:r>
      <w:r>
        <w:t>in</w:t>
      </w:r>
      <w:r w:rsidR="0013032F">
        <w:t xml:space="preserve"> </w:t>
      </w:r>
      <w:r>
        <w:t>which</w:t>
      </w:r>
      <w:r w:rsidR="0013032F">
        <w:t xml:space="preserve"> </w:t>
      </w:r>
      <w:r>
        <w:t>they</w:t>
      </w:r>
      <w:r w:rsidR="0013032F">
        <w:t xml:space="preserve"> </w:t>
      </w:r>
      <w:r>
        <w:t>live</w:t>
      </w:r>
      <w:r w:rsidR="0013032F">
        <w:t xml:space="preserve"> </w:t>
      </w:r>
      <w:r>
        <w:t>and</w:t>
      </w:r>
      <w:r w:rsidR="0013032F">
        <w:t xml:space="preserve"> </w:t>
      </w:r>
      <w:r>
        <w:t>work,</w:t>
      </w:r>
      <w:r w:rsidR="0013032F">
        <w:t xml:space="preserve"> </w:t>
      </w:r>
      <w:r>
        <w:t>are</w:t>
      </w:r>
      <w:r w:rsidR="0013032F">
        <w:t xml:space="preserve"> </w:t>
      </w:r>
      <w:r>
        <w:t>central</w:t>
      </w:r>
      <w:r w:rsidR="0013032F">
        <w:t xml:space="preserve"> </w:t>
      </w:r>
      <w:r>
        <w:t>to</w:t>
      </w:r>
      <w:r w:rsidR="0013032F">
        <w:t xml:space="preserve"> </w:t>
      </w:r>
      <w:r>
        <w:t>all</w:t>
      </w:r>
      <w:r w:rsidR="0013032F">
        <w:t xml:space="preserve"> </w:t>
      </w:r>
      <w:r>
        <w:t>that</w:t>
      </w:r>
      <w:r w:rsidR="0013032F">
        <w:t xml:space="preserve"> </w:t>
      </w:r>
      <w:r>
        <w:t>RDV</w:t>
      </w:r>
      <w:r w:rsidR="0013032F">
        <w:t xml:space="preserve"> </w:t>
      </w:r>
      <w:r>
        <w:t>delivers</w:t>
      </w:r>
      <w:r w:rsidR="0013032F">
        <w:t xml:space="preserve"> </w:t>
      </w:r>
      <w:r>
        <w:t>for</w:t>
      </w:r>
      <w:r w:rsidR="0013032F">
        <w:t xml:space="preserve"> </w:t>
      </w:r>
      <w:r>
        <w:t>regional</w:t>
      </w:r>
      <w:r w:rsidR="0013032F">
        <w:t xml:space="preserve"> </w:t>
      </w:r>
      <w:r>
        <w:t>Victorians.</w:t>
      </w:r>
    </w:p>
    <w:p w14:paraId="49451232" w14:textId="38307950" w:rsidR="00757772" w:rsidRPr="0013032F" w:rsidRDefault="00305D3C" w:rsidP="0013032F">
      <w:r w:rsidRPr="0013032F">
        <w:rPr>
          <w:b/>
          <w:bCs/>
        </w:rPr>
        <w:t>Beth</w:t>
      </w:r>
      <w:r w:rsidR="0013032F" w:rsidRPr="0013032F">
        <w:rPr>
          <w:b/>
          <w:bCs/>
        </w:rPr>
        <w:t xml:space="preserve"> </w:t>
      </w:r>
      <w:r w:rsidRPr="0013032F">
        <w:rPr>
          <w:b/>
          <w:bCs/>
        </w:rPr>
        <w:t>Jones</w:t>
      </w:r>
      <w:r w:rsidRPr="0013032F">
        <w:rPr>
          <w:b/>
          <w:bCs/>
        </w:rPr>
        <w:br/>
      </w:r>
      <w:r w:rsidRPr="0013032F">
        <w:t>Chief</w:t>
      </w:r>
      <w:r w:rsidR="0013032F" w:rsidRPr="0013032F">
        <w:t xml:space="preserve"> </w:t>
      </w:r>
      <w:r w:rsidRPr="0013032F">
        <w:t>Executive</w:t>
      </w:r>
      <w:r w:rsidR="0013032F" w:rsidRPr="0013032F">
        <w:t xml:space="preserve"> </w:t>
      </w:r>
      <w:r w:rsidRPr="0013032F">
        <w:br/>
        <w:t>Regional</w:t>
      </w:r>
      <w:r w:rsidR="0013032F" w:rsidRPr="0013032F">
        <w:t xml:space="preserve"> </w:t>
      </w:r>
      <w:r w:rsidRPr="0013032F">
        <w:t>Development</w:t>
      </w:r>
      <w:r w:rsidR="0013032F" w:rsidRPr="0013032F">
        <w:t xml:space="preserve"> </w:t>
      </w:r>
      <w:r w:rsidRPr="0013032F">
        <w:t>Victoria</w:t>
      </w:r>
    </w:p>
    <w:p w14:paraId="79D7E572" w14:textId="3EC16F21" w:rsidR="00757772" w:rsidRDefault="00305D3C" w:rsidP="0013032F">
      <w:pPr>
        <w:pStyle w:val="Heading1"/>
      </w:pPr>
      <w:bookmarkStart w:id="1" w:name="_Toc149566549"/>
      <w:r>
        <w:lastRenderedPageBreak/>
        <w:t>RDV</w:t>
      </w:r>
      <w:r w:rsidR="0013032F">
        <w:t xml:space="preserve"> </w:t>
      </w:r>
      <w:r>
        <w:t>Executive</w:t>
      </w:r>
      <w:r w:rsidR="0013032F">
        <w:t xml:space="preserve"> </w:t>
      </w:r>
      <w:r>
        <w:t>team</w:t>
      </w:r>
      <w:bookmarkEnd w:id="1"/>
    </w:p>
    <w:p w14:paraId="6A8A4C15" w14:textId="27358D48" w:rsidR="00757772" w:rsidRPr="0013032F" w:rsidRDefault="00305D3C" w:rsidP="0013032F">
      <w:r w:rsidRPr="0013032F">
        <w:t>Beth</w:t>
      </w:r>
      <w:r w:rsidR="0013032F" w:rsidRPr="0013032F">
        <w:t xml:space="preserve"> </w:t>
      </w:r>
      <w:r w:rsidRPr="0013032F">
        <w:t>Jones</w:t>
      </w:r>
      <w:r w:rsidRPr="0013032F">
        <w:br/>
        <w:t>Chief</w:t>
      </w:r>
      <w:r w:rsidR="0013032F" w:rsidRPr="0013032F">
        <w:t xml:space="preserve"> </w:t>
      </w:r>
      <w:r w:rsidRPr="0013032F">
        <w:t>Executive</w:t>
      </w:r>
    </w:p>
    <w:p w14:paraId="5695C3A1" w14:textId="5E1102E5" w:rsidR="00757772" w:rsidRPr="0013032F" w:rsidRDefault="00305D3C" w:rsidP="0013032F">
      <w:r w:rsidRPr="0013032F">
        <w:t>Anthony</w:t>
      </w:r>
      <w:r w:rsidR="0013032F" w:rsidRPr="0013032F">
        <w:t xml:space="preserve"> </w:t>
      </w:r>
      <w:proofErr w:type="spellStart"/>
      <w:r w:rsidRPr="0013032F">
        <w:t>Schinck</w:t>
      </w:r>
      <w:proofErr w:type="spellEnd"/>
      <w:r w:rsidRPr="0013032F">
        <w:br/>
        <w:t>Executive</w:t>
      </w:r>
      <w:r w:rsidR="0013032F" w:rsidRPr="0013032F">
        <w:t xml:space="preserve"> </w:t>
      </w:r>
      <w:r w:rsidRPr="0013032F">
        <w:t>Director,</w:t>
      </w:r>
      <w:r w:rsidR="0013032F" w:rsidRPr="0013032F">
        <w:t xml:space="preserve"> </w:t>
      </w:r>
      <w:r w:rsidRPr="0013032F">
        <w:br/>
        <w:t>Regions</w:t>
      </w:r>
    </w:p>
    <w:p w14:paraId="7F08EB7C" w14:textId="391A8617" w:rsidR="00757772" w:rsidRPr="0013032F" w:rsidRDefault="00305D3C" w:rsidP="0013032F">
      <w:r w:rsidRPr="0013032F">
        <w:t>Brett</w:t>
      </w:r>
      <w:r w:rsidR="0013032F" w:rsidRPr="0013032F">
        <w:t xml:space="preserve"> </w:t>
      </w:r>
      <w:r w:rsidRPr="0013032F">
        <w:t>Ince</w:t>
      </w:r>
      <w:r w:rsidRPr="0013032F">
        <w:br/>
        <w:t>Regional</w:t>
      </w:r>
      <w:r w:rsidR="0013032F" w:rsidRPr="0013032F">
        <w:t xml:space="preserve"> </w:t>
      </w:r>
      <w:r w:rsidRPr="0013032F">
        <w:t>Director,</w:t>
      </w:r>
      <w:r w:rsidR="0013032F" w:rsidRPr="0013032F">
        <w:t xml:space="preserve"> </w:t>
      </w:r>
      <w:r w:rsidRPr="0013032F">
        <w:br/>
        <w:t>Barwon</w:t>
      </w:r>
      <w:r w:rsidR="0013032F" w:rsidRPr="0013032F">
        <w:t xml:space="preserve"> </w:t>
      </w:r>
      <w:r w:rsidRPr="0013032F">
        <w:t>South</w:t>
      </w:r>
      <w:r w:rsidR="0013032F" w:rsidRPr="0013032F">
        <w:t xml:space="preserve"> </w:t>
      </w:r>
      <w:r w:rsidRPr="0013032F">
        <w:t>West</w:t>
      </w:r>
      <w:r w:rsidR="0013032F" w:rsidRPr="0013032F">
        <w:t xml:space="preserve"> </w:t>
      </w:r>
    </w:p>
    <w:p w14:paraId="4DC87173" w14:textId="0BBC4CBB" w:rsidR="00757772" w:rsidRPr="0013032F" w:rsidRDefault="00305D3C" w:rsidP="0013032F">
      <w:r w:rsidRPr="0013032F">
        <w:t>Jeremy</w:t>
      </w:r>
      <w:r w:rsidR="0013032F" w:rsidRPr="0013032F">
        <w:t xml:space="preserve"> </w:t>
      </w:r>
      <w:r w:rsidRPr="0013032F">
        <w:t>Levine</w:t>
      </w:r>
      <w:r w:rsidRPr="0013032F">
        <w:br/>
        <w:t>Executive</w:t>
      </w:r>
      <w:r w:rsidR="0013032F" w:rsidRPr="0013032F">
        <w:t xml:space="preserve"> </w:t>
      </w:r>
      <w:r w:rsidRPr="0013032F">
        <w:t>Director,</w:t>
      </w:r>
      <w:r w:rsidR="0013032F" w:rsidRPr="0013032F">
        <w:t xml:space="preserve"> </w:t>
      </w:r>
      <w:r w:rsidRPr="0013032F">
        <w:br/>
        <w:t>Rural</w:t>
      </w:r>
      <w:r w:rsidR="0013032F" w:rsidRPr="0013032F">
        <w:t xml:space="preserve"> </w:t>
      </w:r>
      <w:r w:rsidRPr="0013032F">
        <w:t>and</w:t>
      </w:r>
      <w:r w:rsidR="0013032F" w:rsidRPr="0013032F">
        <w:t xml:space="preserve"> </w:t>
      </w:r>
      <w:r w:rsidRPr="0013032F">
        <w:t>Regional</w:t>
      </w:r>
      <w:r w:rsidR="0013032F" w:rsidRPr="0013032F">
        <w:t xml:space="preserve"> </w:t>
      </w:r>
      <w:r w:rsidRPr="0013032F">
        <w:t>Policy</w:t>
      </w:r>
      <w:r w:rsidR="0013032F" w:rsidRPr="0013032F">
        <w:t xml:space="preserve"> </w:t>
      </w:r>
      <w:r w:rsidRPr="0013032F">
        <w:br/>
        <w:t>and</w:t>
      </w:r>
      <w:r w:rsidR="0013032F" w:rsidRPr="0013032F">
        <w:t xml:space="preserve"> </w:t>
      </w:r>
      <w:r w:rsidRPr="0013032F">
        <w:t>Strategy</w:t>
      </w:r>
    </w:p>
    <w:p w14:paraId="1DB518F4" w14:textId="42BCC87E" w:rsidR="00757772" w:rsidRPr="0013032F" w:rsidRDefault="00305D3C" w:rsidP="0013032F">
      <w:r w:rsidRPr="0013032F">
        <w:t>Leanne</w:t>
      </w:r>
      <w:r w:rsidR="0013032F" w:rsidRPr="0013032F">
        <w:t xml:space="preserve"> </w:t>
      </w:r>
      <w:r w:rsidRPr="0013032F">
        <w:t>Rosewall</w:t>
      </w:r>
      <w:r w:rsidRPr="0013032F">
        <w:br/>
        <w:t>Regional</w:t>
      </w:r>
      <w:r w:rsidR="0013032F" w:rsidRPr="0013032F">
        <w:t xml:space="preserve"> </w:t>
      </w:r>
      <w:r w:rsidRPr="0013032F">
        <w:t>Director,</w:t>
      </w:r>
      <w:r w:rsidR="0013032F" w:rsidRPr="0013032F">
        <w:t xml:space="preserve"> </w:t>
      </w:r>
      <w:r w:rsidRPr="0013032F">
        <w:br/>
        <w:t>Loddon</w:t>
      </w:r>
      <w:r w:rsidR="0013032F" w:rsidRPr="0013032F">
        <w:t xml:space="preserve"> </w:t>
      </w:r>
      <w:r w:rsidRPr="0013032F">
        <w:t>Mallee</w:t>
      </w:r>
    </w:p>
    <w:p w14:paraId="478B09C1" w14:textId="22FAD971" w:rsidR="00757772" w:rsidRPr="0013032F" w:rsidRDefault="00305D3C" w:rsidP="0013032F">
      <w:r w:rsidRPr="0013032F">
        <w:t>Matt</w:t>
      </w:r>
      <w:r w:rsidR="0013032F" w:rsidRPr="0013032F">
        <w:t xml:space="preserve"> </w:t>
      </w:r>
      <w:r w:rsidRPr="0013032F">
        <w:t>Nelson</w:t>
      </w:r>
      <w:r w:rsidRPr="0013032F">
        <w:br/>
        <w:t>Regional</w:t>
      </w:r>
      <w:r w:rsidR="0013032F" w:rsidRPr="0013032F">
        <w:t xml:space="preserve"> </w:t>
      </w:r>
      <w:r w:rsidRPr="0013032F">
        <w:t>Director,</w:t>
      </w:r>
      <w:r w:rsidR="0013032F" w:rsidRPr="0013032F">
        <w:t xml:space="preserve"> </w:t>
      </w:r>
      <w:r w:rsidRPr="0013032F">
        <w:br/>
        <w:t>Hume</w:t>
      </w:r>
    </w:p>
    <w:p w14:paraId="3C020509" w14:textId="2B4F285B" w:rsidR="00757772" w:rsidRPr="0013032F" w:rsidRDefault="00305D3C" w:rsidP="0013032F">
      <w:r w:rsidRPr="0013032F">
        <w:t>Sara</w:t>
      </w:r>
      <w:r w:rsidR="0013032F" w:rsidRPr="0013032F">
        <w:t xml:space="preserve"> </w:t>
      </w:r>
      <w:r w:rsidRPr="0013032F">
        <w:t>Rhodes</w:t>
      </w:r>
      <w:r w:rsidRPr="0013032F">
        <w:noBreakHyphen/>
        <w:t>Ward</w:t>
      </w:r>
      <w:r w:rsidRPr="0013032F">
        <w:br/>
        <w:t>Regional</w:t>
      </w:r>
      <w:r w:rsidR="0013032F" w:rsidRPr="0013032F">
        <w:t xml:space="preserve"> </w:t>
      </w:r>
      <w:r w:rsidRPr="0013032F">
        <w:t>Director,</w:t>
      </w:r>
      <w:r w:rsidR="0013032F" w:rsidRPr="0013032F">
        <w:t xml:space="preserve"> </w:t>
      </w:r>
      <w:r w:rsidRPr="0013032F">
        <w:br/>
        <w:t>Gippsland</w:t>
      </w:r>
    </w:p>
    <w:p w14:paraId="3487EE88" w14:textId="09E5CC6C" w:rsidR="00757772" w:rsidRPr="0013032F" w:rsidRDefault="00305D3C" w:rsidP="0013032F">
      <w:r w:rsidRPr="0013032F">
        <w:t>Sarah</w:t>
      </w:r>
      <w:r w:rsidR="0013032F" w:rsidRPr="0013032F">
        <w:t xml:space="preserve"> </w:t>
      </w:r>
      <w:r w:rsidRPr="0013032F">
        <w:t>Henderson</w:t>
      </w:r>
      <w:r w:rsidRPr="0013032F">
        <w:br/>
        <w:t>Acting</w:t>
      </w:r>
      <w:r w:rsidR="0013032F" w:rsidRPr="0013032F">
        <w:t xml:space="preserve"> </w:t>
      </w:r>
      <w:r w:rsidRPr="0013032F">
        <w:t>Regional</w:t>
      </w:r>
      <w:r w:rsidR="0013032F" w:rsidRPr="0013032F">
        <w:t xml:space="preserve"> </w:t>
      </w:r>
      <w:r w:rsidRPr="0013032F">
        <w:t>Director,</w:t>
      </w:r>
      <w:r w:rsidRPr="0013032F">
        <w:br/>
        <w:t>Grampians</w:t>
      </w:r>
    </w:p>
    <w:p w14:paraId="5DD69D17" w14:textId="36DC6CB1" w:rsidR="00757772" w:rsidRDefault="00305D3C" w:rsidP="0013032F">
      <w:pPr>
        <w:pStyle w:val="Heading1"/>
      </w:pPr>
      <w:bookmarkStart w:id="2" w:name="_Toc149566550"/>
      <w:r>
        <w:lastRenderedPageBreak/>
        <w:t>Regional</w:t>
      </w:r>
      <w:r w:rsidR="0013032F">
        <w:t xml:space="preserve"> </w:t>
      </w:r>
      <w:r>
        <w:t>Victoria</w:t>
      </w:r>
      <w:r w:rsidR="0013032F">
        <w:t xml:space="preserve"> </w:t>
      </w:r>
      <w:r>
        <w:t>–</w:t>
      </w:r>
      <w:r w:rsidR="0013032F">
        <w:t xml:space="preserve"> </w:t>
      </w:r>
      <w:r>
        <w:t>a</w:t>
      </w:r>
      <w:r w:rsidR="0013032F">
        <w:t xml:space="preserve"> </w:t>
      </w:r>
      <w:r>
        <w:t>vital</w:t>
      </w:r>
      <w:r w:rsidR="0013032F">
        <w:t xml:space="preserve"> </w:t>
      </w:r>
      <w:r>
        <w:t>part</w:t>
      </w:r>
      <w:r w:rsidR="0013032F">
        <w:t xml:space="preserve"> </w:t>
      </w:r>
      <w:r>
        <w:t>of</w:t>
      </w:r>
      <w:r w:rsidR="0013032F">
        <w:t xml:space="preserve"> </w:t>
      </w:r>
      <w:r>
        <w:t>our</w:t>
      </w:r>
      <w:r w:rsidR="0013032F">
        <w:t xml:space="preserve"> </w:t>
      </w:r>
      <w:r>
        <w:t>state</w:t>
      </w:r>
      <w:bookmarkEnd w:id="2"/>
    </w:p>
    <w:p w14:paraId="0D55525A" w14:textId="4BF95415" w:rsidR="00757772" w:rsidRDefault="00305D3C" w:rsidP="0013032F">
      <w:r>
        <w:t>Rural</w:t>
      </w:r>
      <w:r w:rsidR="0013032F">
        <w:t xml:space="preserve"> </w:t>
      </w:r>
      <w:r>
        <w:t>and</w:t>
      </w:r>
      <w:r w:rsidR="0013032F">
        <w:t xml:space="preserve"> </w:t>
      </w:r>
      <w:r>
        <w:t>regio</w:t>
      </w:r>
      <w:r>
        <w:t>nal</w:t>
      </w:r>
      <w:r w:rsidR="0013032F">
        <w:t xml:space="preserve"> </w:t>
      </w:r>
      <w:r>
        <w:t>Victoria</w:t>
      </w:r>
      <w:r w:rsidR="0013032F">
        <w:t xml:space="preserve"> </w:t>
      </w:r>
      <w:r>
        <w:t>is</w:t>
      </w:r>
      <w:r w:rsidR="0013032F">
        <w:t xml:space="preserve"> </w:t>
      </w:r>
      <w:r>
        <w:t>home</w:t>
      </w:r>
      <w:r w:rsidR="0013032F">
        <w:t xml:space="preserve"> </w:t>
      </w:r>
      <w:r>
        <w:t>to</w:t>
      </w:r>
      <w:r w:rsidR="0013032F">
        <w:t xml:space="preserve"> </w:t>
      </w:r>
      <w:r>
        <w:t>one</w:t>
      </w:r>
      <w:r w:rsidR="0013032F">
        <w:t xml:space="preserve"> </w:t>
      </w:r>
      <w:r>
        <w:t>in</w:t>
      </w:r>
      <w:r w:rsidR="0013032F">
        <w:t xml:space="preserve"> </w:t>
      </w:r>
      <w:r>
        <w:t>4</w:t>
      </w:r>
      <w:r w:rsidR="0013032F">
        <w:t xml:space="preserve"> </w:t>
      </w:r>
      <w:r>
        <w:t>Victorians.</w:t>
      </w:r>
      <w:r w:rsidR="0013032F">
        <w:t xml:space="preserve"> </w:t>
      </w:r>
      <w:r>
        <w:t>It</w:t>
      </w:r>
      <w:r w:rsidR="0013032F">
        <w:t xml:space="preserve"> </w:t>
      </w:r>
      <w:r>
        <w:t>accounts</w:t>
      </w:r>
      <w:r w:rsidR="0013032F">
        <w:t xml:space="preserve"> </w:t>
      </w:r>
      <w:r>
        <w:t>for</w:t>
      </w:r>
      <w:r w:rsidR="0013032F">
        <w:t xml:space="preserve"> </w:t>
      </w:r>
      <w:r>
        <w:t>864,000</w:t>
      </w:r>
      <w:r w:rsidR="0013032F">
        <w:t xml:space="preserve"> </w:t>
      </w:r>
      <w:r>
        <w:t>jobs</w:t>
      </w:r>
      <w:r w:rsidR="0013032F">
        <w:t xml:space="preserve"> </w:t>
      </w:r>
      <w:r>
        <w:t>and</w:t>
      </w:r>
      <w:r w:rsidR="0013032F">
        <w:t xml:space="preserve"> </w:t>
      </w:r>
      <w:r>
        <w:t>21.9%</w:t>
      </w:r>
      <w:r w:rsidR="0013032F">
        <w:t xml:space="preserve"> </w:t>
      </w:r>
      <w:r>
        <w:t>of</w:t>
      </w:r>
      <w:r w:rsidR="0013032F">
        <w:t xml:space="preserve"> </w:t>
      </w:r>
      <w:r>
        <w:t>the</w:t>
      </w:r>
      <w:r w:rsidR="0013032F">
        <w:t xml:space="preserve"> </w:t>
      </w:r>
      <w:r>
        <w:t>state’s</w:t>
      </w:r>
      <w:r w:rsidR="0013032F">
        <w:t xml:space="preserve"> </w:t>
      </w:r>
      <w:r>
        <w:t>small</w:t>
      </w:r>
      <w:r w:rsidR="0013032F">
        <w:t xml:space="preserve"> </w:t>
      </w:r>
      <w:r>
        <w:t>businesses</w:t>
      </w:r>
      <w:r w:rsidR="0013032F">
        <w:t xml:space="preserve"> </w:t>
      </w:r>
      <w:r>
        <w:t>(defined</w:t>
      </w:r>
      <w:r w:rsidR="0013032F">
        <w:t xml:space="preserve"> </w:t>
      </w:r>
      <w:r>
        <w:t>as</w:t>
      </w:r>
      <w:r w:rsidR="0013032F">
        <w:t xml:space="preserve"> </w:t>
      </w:r>
      <w:r>
        <w:t>employing</w:t>
      </w:r>
      <w:r w:rsidR="0013032F">
        <w:t xml:space="preserve"> </w:t>
      </w:r>
      <w:r>
        <w:t>one–19</w:t>
      </w:r>
      <w:r w:rsidR="0013032F">
        <w:t xml:space="preserve"> </w:t>
      </w:r>
      <w:r>
        <w:t>staff).</w:t>
      </w:r>
      <w:r w:rsidR="0013032F">
        <w:t xml:space="preserve"> </w:t>
      </w:r>
      <w:r>
        <w:t>Victoria</w:t>
      </w:r>
      <w:r w:rsidR="0013032F">
        <w:t xml:space="preserve"> </w:t>
      </w:r>
      <w:r>
        <w:t>has</w:t>
      </w:r>
      <w:r w:rsidR="0013032F">
        <w:t xml:space="preserve"> </w:t>
      </w:r>
      <w:r>
        <w:t>a</w:t>
      </w:r>
      <w:r w:rsidR="0013032F">
        <w:t xml:space="preserve"> </w:t>
      </w:r>
      <w:r>
        <w:t>regional</w:t>
      </w:r>
      <w:r w:rsidR="0013032F">
        <w:t xml:space="preserve"> </w:t>
      </w:r>
      <w:r>
        <w:t>economy</w:t>
      </w:r>
      <w:r w:rsidR="0013032F">
        <w:t xml:space="preserve"> </w:t>
      </w:r>
      <w:r>
        <w:t>that</w:t>
      </w:r>
      <w:r w:rsidR="0013032F">
        <w:t xml:space="preserve"> </w:t>
      </w:r>
      <w:r>
        <w:t>generates</w:t>
      </w:r>
      <w:r w:rsidR="0013032F">
        <w:t xml:space="preserve"> </w:t>
      </w:r>
      <w:r>
        <w:t>over</w:t>
      </w:r>
      <w:r w:rsidR="0013032F">
        <w:t xml:space="preserve"> </w:t>
      </w:r>
      <w:r>
        <w:t>$97</w:t>
      </w:r>
      <w:r w:rsidR="0013032F">
        <w:t xml:space="preserve"> </w:t>
      </w:r>
      <w:r>
        <w:t>billion</w:t>
      </w:r>
      <w:r w:rsidR="0013032F">
        <w:t xml:space="preserve"> </w:t>
      </w:r>
      <w:r>
        <w:t>and</w:t>
      </w:r>
      <w:r w:rsidR="0013032F">
        <w:t xml:space="preserve"> </w:t>
      </w:r>
      <w:r>
        <w:t>accounts</w:t>
      </w:r>
      <w:r w:rsidR="0013032F">
        <w:t xml:space="preserve"> </w:t>
      </w:r>
      <w:r>
        <w:t>for</w:t>
      </w:r>
      <w:r w:rsidR="0013032F">
        <w:t xml:space="preserve"> </w:t>
      </w:r>
      <w:r>
        <w:t>19.5%</w:t>
      </w:r>
      <w:r w:rsidR="0013032F">
        <w:t xml:space="preserve"> </w:t>
      </w:r>
      <w:r>
        <w:t>of</w:t>
      </w:r>
      <w:r w:rsidR="0013032F">
        <w:t xml:space="preserve"> </w:t>
      </w:r>
      <w:r>
        <w:t>Victoria’s</w:t>
      </w:r>
      <w:r w:rsidR="0013032F">
        <w:t xml:space="preserve"> </w:t>
      </w:r>
      <w:r>
        <w:t>total</w:t>
      </w:r>
      <w:r w:rsidR="0013032F">
        <w:t xml:space="preserve"> </w:t>
      </w:r>
      <w:r>
        <w:t>economy.</w:t>
      </w:r>
    </w:p>
    <w:p w14:paraId="1D44F5C1" w14:textId="045EC23D" w:rsidR="00757772" w:rsidRDefault="00305D3C" w:rsidP="0013032F">
      <w:pPr>
        <w:pStyle w:val="Heading1"/>
      </w:pPr>
      <w:bookmarkStart w:id="3" w:name="_Toc149566551"/>
      <w:r>
        <w:lastRenderedPageBreak/>
        <w:t>An</w:t>
      </w:r>
      <w:r w:rsidR="0013032F">
        <w:t xml:space="preserve"> </w:t>
      </w:r>
      <w:r>
        <w:t>overview</w:t>
      </w:r>
      <w:r w:rsidR="0013032F">
        <w:t xml:space="preserve"> </w:t>
      </w:r>
      <w:r>
        <w:t>of</w:t>
      </w:r>
      <w:r w:rsidR="0013032F">
        <w:t xml:space="preserve"> </w:t>
      </w:r>
      <w:r>
        <w:t>Regional</w:t>
      </w:r>
      <w:r w:rsidR="0013032F">
        <w:t xml:space="preserve"> </w:t>
      </w:r>
      <w:r>
        <w:t>Development</w:t>
      </w:r>
      <w:r w:rsidR="0013032F">
        <w:t xml:space="preserve"> </w:t>
      </w:r>
      <w:r>
        <w:t>Victoria</w:t>
      </w:r>
      <w:bookmarkEnd w:id="3"/>
    </w:p>
    <w:p w14:paraId="7994A349" w14:textId="0553B395" w:rsidR="00757772" w:rsidRDefault="00305D3C" w:rsidP="0013032F">
      <w:r>
        <w:t>Regional</w:t>
      </w:r>
      <w:r w:rsidR="0013032F">
        <w:t xml:space="preserve"> </w:t>
      </w:r>
      <w:r>
        <w:t>Development</w:t>
      </w:r>
      <w:r w:rsidR="0013032F">
        <w:t xml:space="preserve"> </w:t>
      </w:r>
      <w:r>
        <w:t>Victoria</w:t>
      </w:r>
      <w:r w:rsidR="0013032F">
        <w:t xml:space="preserve"> </w:t>
      </w:r>
      <w:r>
        <w:t>is</w:t>
      </w:r>
      <w:r w:rsidR="0013032F">
        <w:t xml:space="preserve"> </w:t>
      </w:r>
      <w:r>
        <w:t>the</w:t>
      </w:r>
      <w:r w:rsidR="0013032F">
        <w:t xml:space="preserve"> </w:t>
      </w:r>
      <w:r>
        <w:t>Victorian</w:t>
      </w:r>
      <w:r w:rsidR="0013032F">
        <w:t xml:space="preserve"> </w:t>
      </w:r>
      <w:r>
        <w:t>Government’s</w:t>
      </w:r>
      <w:r w:rsidR="0013032F">
        <w:t xml:space="preserve"> </w:t>
      </w:r>
      <w:r>
        <w:t>lead</w:t>
      </w:r>
      <w:r w:rsidR="0013032F">
        <w:t xml:space="preserve"> </w:t>
      </w:r>
      <w:r>
        <w:t>agency</w:t>
      </w:r>
      <w:r w:rsidR="0013032F">
        <w:t xml:space="preserve"> </w:t>
      </w:r>
      <w:r>
        <w:t>for</w:t>
      </w:r>
      <w:r w:rsidR="0013032F">
        <w:t xml:space="preserve"> </w:t>
      </w:r>
      <w:r>
        <w:t>developing</w:t>
      </w:r>
      <w:r w:rsidR="0013032F">
        <w:t xml:space="preserve"> </w:t>
      </w:r>
      <w:r>
        <w:t>rural</w:t>
      </w:r>
      <w:r w:rsidR="0013032F">
        <w:t xml:space="preserve"> </w:t>
      </w:r>
      <w:r>
        <w:t>and</w:t>
      </w:r>
      <w:r w:rsidR="0013032F">
        <w:t xml:space="preserve"> </w:t>
      </w:r>
      <w:r>
        <w:t>regional</w:t>
      </w:r>
      <w:r w:rsidR="0013032F">
        <w:t xml:space="preserve"> </w:t>
      </w:r>
      <w:r>
        <w:t>Victoria.</w:t>
      </w:r>
    </w:p>
    <w:p w14:paraId="56490DDF" w14:textId="57B6CC18" w:rsidR="00757772" w:rsidRDefault="00305D3C" w:rsidP="0013032F">
      <w:r>
        <w:t>A</w:t>
      </w:r>
      <w:r w:rsidR="0013032F">
        <w:t xml:space="preserve"> </w:t>
      </w:r>
      <w:r>
        <w:t>statutory</w:t>
      </w:r>
      <w:r w:rsidR="0013032F">
        <w:t xml:space="preserve"> </w:t>
      </w:r>
      <w:r>
        <w:t>authority</w:t>
      </w:r>
      <w:r w:rsidR="0013032F">
        <w:t xml:space="preserve"> </w:t>
      </w:r>
      <w:r>
        <w:t>operating</w:t>
      </w:r>
      <w:r w:rsidR="0013032F">
        <w:t xml:space="preserve"> </w:t>
      </w:r>
      <w:r>
        <w:t>within</w:t>
      </w:r>
      <w:r w:rsidR="0013032F">
        <w:t xml:space="preserve"> </w:t>
      </w:r>
      <w:r>
        <w:t>the</w:t>
      </w:r>
      <w:r w:rsidR="0013032F">
        <w:t xml:space="preserve"> </w:t>
      </w:r>
      <w:r>
        <w:t>Department</w:t>
      </w:r>
      <w:r w:rsidR="0013032F">
        <w:t xml:space="preserve"> </w:t>
      </w:r>
      <w:r>
        <w:t>of</w:t>
      </w:r>
      <w:r w:rsidR="0013032F">
        <w:t xml:space="preserve"> </w:t>
      </w:r>
      <w:r>
        <w:t>Jobs,</w:t>
      </w:r>
      <w:r w:rsidR="0013032F">
        <w:t xml:space="preserve"> </w:t>
      </w:r>
      <w:r>
        <w:t>Sk</w:t>
      </w:r>
      <w:r>
        <w:t>ills,</w:t>
      </w:r>
      <w:r w:rsidR="0013032F">
        <w:t xml:space="preserve"> </w:t>
      </w:r>
      <w:r>
        <w:t>Industry</w:t>
      </w:r>
      <w:r w:rsidR="0013032F">
        <w:t xml:space="preserve"> </w:t>
      </w:r>
      <w:r>
        <w:t>and</w:t>
      </w:r>
      <w:r w:rsidR="0013032F">
        <w:t xml:space="preserve"> </w:t>
      </w:r>
      <w:r>
        <w:t>Regions</w:t>
      </w:r>
      <w:r w:rsidR="0013032F">
        <w:t xml:space="preserve"> </w:t>
      </w:r>
      <w:r>
        <w:t>(DJSIR),</w:t>
      </w:r>
      <w:r w:rsidR="0013032F">
        <w:t xml:space="preserve"> </w:t>
      </w:r>
      <w:r>
        <w:t>RDV</w:t>
      </w:r>
      <w:r w:rsidR="0013032F">
        <w:t xml:space="preserve"> </w:t>
      </w:r>
      <w:r>
        <w:t>facilitates</w:t>
      </w:r>
      <w:r w:rsidR="0013032F">
        <w:t xml:space="preserve"> </w:t>
      </w:r>
      <w:r>
        <w:rPr>
          <w:spacing w:val="-2"/>
        </w:rPr>
        <w:t>economic</w:t>
      </w:r>
      <w:r w:rsidR="0013032F">
        <w:rPr>
          <w:spacing w:val="-2"/>
        </w:rPr>
        <w:t xml:space="preserve"> </w:t>
      </w:r>
      <w:r>
        <w:rPr>
          <w:spacing w:val="-2"/>
        </w:rPr>
        <w:t>and</w:t>
      </w:r>
      <w:r w:rsidR="0013032F">
        <w:rPr>
          <w:spacing w:val="-2"/>
        </w:rPr>
        <w:t xml:space="preserve"> </w:t>
      </w:r>
      <w:r>
        <w:rPr>
          <w:spacing w:val="-2"/>
        </w:rPr>
        <w:t>community</w:t>
      </w:r>
      <w:r w:rsidR="0013032F">
        <w:rPr>
          <w:spacing w:val="-2"/>
        </w:rPr>
        <w:t xml:space="preserve"> </w:t>
      </w:r>
      <w:r>
        <w:rPr>
          <w:spacing w:val="-2"/>
        </w:rPr>
        <w:t>development</w:t>
      </w:r>
      <w:r w:rsidR="0013032F">
        <w:rPr>
          <w:spacing w:val="-2"/>
        </w:rPr>
        <w:t xml:space="preserve"> </w:t>
      </w:r>
      <w:r>
        <w:t>in</w:t>
      </w:r>
      <w:r w:rsidR="0013032F">
        <w:t xml:space="preserve"> </w:t>
      </w:r>
      <w:r>
        <w:t>rural</w:t>
      </w:r>
      <w:r w:rsidR="0013032F">
        <w:t xml:space="preserve"> </w:t>
      </w:r>
      <w:r>
        <w:t>and</w:t>
      </w:r>
      <w:r w:rsidR="0013032F">
        <w:t xml:space="preserve"> </w:t>
      </w:r>
      <w:r>
        <w:t>regional</w:t>
      </w:r>
      <w:r w:rsidR="0013032F">
        <w:t xml:space="preserve"> </w:t>
      </w:r>
      <w:r>
        <w:t>Victoria.</w:t>
      </w:r>
    </w:p>
    <w:p w14:paraId="4BA602A5" w14:textId="77777777" w:rsidR="00757772" w:rsidRDefault="00305D3C" w:rsidP="008865EB">
      <w:pPr>
        <w:pStyle w:val="Heading2"/>
      </w:pPr>
      <w:bookmarkStart w:id="4" w:name="_Toc149566552"/>
      <w:r>
        <w:t>Purpose</w:t>
      </w:r>
      <w:bookmarkEnd w:id="4"/>
    </w:p>
    <w:p w14:paraId="3AC05D97" w14:textId="3C73A061" w:rsidR="00757772" w:rsidRPr="008865EB" w:rsidRDefault="00305D3C" w:rsidP="008865EB">
      <w:r w:rsidRPr="008865EB">
        <w:t>RDV</w:t>
      </w:r>
      <w:r w:rsidR="0013032F" w:rsidRPr="008865EB">
        <w:t xml:space="preserve"> </w:t>
      </w:r>
      <w:r w:rsidRPr="008865EB">
        <w:t>works</w:t>
      </w:r>
      <w:r w:rsidR="0013032F" w:rsidRPr="008865EB">
        <w:t xml:space="preserve"> </w:t>
      </w:r>
      <w:r w:rsidRPr="008865EB">
        <w:t>to</w:t>
      </w:r>
      <w:r w:rsidR="0013032F" w:rsidRPr="008865EB">
        <w:t xml:space="preserve"> </w:t>
      </w:r>
      <w:r w:rsidRPr="008865EB">
        <w:t>ensure</w:t>
      </w:r>
      <w:r w:rsidR="0013032F" w:rsidRPr="008865EB">
        <w:t xml:space="preserve"> </w:t>
      </w:r>
      <w:r w:rsidRPr="008865EB">
        <w:t>that</w:t>
      </w:r>
      <w:r w:rsidR="0013032F" w:rsidRPr="008865EB">
        <w:t xml:space="preserve"> </w:t>
      </w:r>
      <w:r w:rsidRPr="008865EB">
        <w:t>communities</w:t>
      </w:r>
      <w:r w:rsidR="0013032F" w:rsidRPr="008865EB">
        <w:t xml:space="preserve"> </w:t>
      </w:r>
      <w:r w:rsidRPr="008865EB">
        <w:t>are</w:t>
      </w:r>
      <w:r w:rsidR="0013032F" w:rsidRPr="008865EB">
        <w:t xml:space="preserve"> </w:t>
      </w:r>
      <w:r w:rsidRPr="008865EB">
        <w:t>vibrant,</w:t>
      </w:r>
      <w:r w:rsidR="0013032F" w:rsidRPr="008865EB">
        <w:t xml:space="preserve"> </w:t>
      </w:r>
      <w:r w:rsidRPr="008865EB">
        <w:t>thriving</w:t>
      </w:r>
      <w:r w:rsidR="0013032F" w:rsidRPr="008865EB">
        <w:t xml:space="preserve"> </w:t>
      </w:r>
      <w:r w:rsidRPr="008865EB">
        <w:t>and</w:t>
      </w:r>
      <w:r w:rsidR="0013032F" w:rsidRPr="008865EB">
        <w:t xml:space="preserve"> </w:t>
      </w:r>
      <w:r w:rsidRPr="008865EB">
        <w:t>inclusive.</w:t>
      </w:r>
      <w:r w:rsidR="0013032F" w:rsidRPr="008865EB">
        <w:t xml:space="preserve"> </w:t>
      </w:r>
      <w:r w:rsidRPr="008865EB">
        <w:t>It</w:t>
      </w:r>
      <w:r w:rsidR="0013032F" w:rsidRPr="008865EB">
        <w:t xml:space="preserve"> </w:t>
      </w:r>
      <w:r w:rsidRPr="008865EB">
        <w:t>does</w:t>
      </w:r>
      <w:r w:rsidR="0013032F" w:rsidRPr="008865EB">
        <w:t xml:space="preserve"> </w:t>
      </w:r>
      <w:r w:rsidRPr="008865EB">
        <w:t>this</w:t>
      </w:r>
      <w:r w:rsidR="0013032F" w:rsidRPr="008865EB">
        <w:t xml:space="preserve"> </w:t>
      </w:r>
      <w:r w:rsidRPr="008865EB">
        <w:t>by</w:t>
      </w:r>
      <w:r w:rsidR="0013032F" w:rsidRPr="008865EB">
        <w:t xml:space="preserve"> </w:t>
      </w:r>
      <w:r w:rsidRPr="008865EB">
        <w:t>creating</w:t>
      </w:r>
      <w:r w:rsidR="0013032F" w:rsidRPr="008865EB">
        <w:t xml:space="preserve"> </w:t>
      </w:r>
      <w:r w:rsidRPr="008865EB">
        <w:t>jobs</w:t>
      </w:r>
      <w:r w:rsidR="0013032F" w:rsidRPr="008865EB">
        <w:t xml:space="preserve"> </w:t>
      </w:r>
      <w:r w:rsidRPr="008865EB">
        <w:t>and</w:t>
      </w:r>
      <w:r w:rsidR="0013032F" w:rsidRPr="008865EB">
        <w:t xml:space="preserve"> </w:t>
      </w:r>
      <w:r w:rsidRPr="008865EB">
        <w:t>enabling</w:t>
      </w:r>
      <w:r w:rsidR="0013032F" w:rsidRPr="008865EB">
        <w:t xml:space="preserve"> </w:t>
      </w:r>
      <w:r w:rsidRPr="008865EB">
        <w:t>vital</w:t>
      </w:r>
      <w:r w:rsidR="0013032F" w:rsidRPr="008865EB">
        <w:t xml:space="preserve"> </w:t>
      </w:r>
      <w:r w:rsidRPr="008865EB">
        <w:t>infrastructure</w:t>
      </w:r>
      <w:r w:rsidR="0013032F" w:rsidRPr="008865EB">
        <w:t xml:space="preserve"> </w:t>
      </w:r>
      <w:r w:rsidRPr="008865EB">
        <w:t>to</w:t>
      </w:r>
      <w:r w:rsidR="0013032F" w:rsidRPr="008865EB">
        <w:t xml:space="preserve"> </w:t>
      </w:r>
      <w:r w:rsidRPr="008865EB">
        <w:t>drive</w:t>
      </w:r>
      <w:r w:rsidR="0013032F" w:rsidRPr="008865EB">
        <w:t xml:space="preserve"> </w:t>
      </w:r>
      <w:r w:rsidRPr="008865EB">
        <w:t>positive</w:t>
      </w:r>
      <w:r w:rsidR="0013032F" w:rsidRPr="008865EB">
        <w:t xml:space="preserve"> </w:t>
      </w:r>
      <w:r w:rsidRPr="008865EB">
        <w:t>outcomes</w:t>
      </w:r>
      <w:r w:rsidR="0013032F" w:rsidRPr="008865EB">
        <w:t xml:space="preserve"> </w:t>
      </w:r>
      <w:r w:rsidRPr="008865EB">
        <w:t>for</w:t>
      </w:r>
      <w:r w:rsidR="0013032F" w:rsidRPr="008865EB">
        <w:t xml:space="preserve"> </w:t>
      </w:r>
      <w:r w:rsidRPr="008865EB">
        <w:t>communities.</w:t>
      </w:r>
      <w:r w:rsidR="0013032F" w:rsidRPr="008865EB">
        <w:t xml:space="preserve"> </w:t>
      </w:r>
    </w:p>
    <w:p w14:paraId="00D3480B" w14:textId="45E80111" w:rsidR="00757772" w:rsidRPr="008865EB" w:rsidRDefault="00305D3C" w:rsidP="008865EB">
      <w:r w:rsidRPr="008865EB">
        <w:t>With</w:t>
      </w:r>
      <w:r w:rsidR="0013032F" w:rsidRPr="008865EB">
        <w:t xml:space="preserve"> </w:t>
      </w:r>
      <w:r w:rsidRPr="008865EB">
        <w:t>a</w:t>
      </w:r>
      <w:r w:rsidR="0013032F" w:rsidRPr="008865EB">
        <w:t xml:space="preserve"> </w:t>
      </w:r>
      <w:r w:rsidRPr="008865EB">
        <w:t>focus</w:t>
      </w:r>
      <w:r w:rsidR="0013032F" w:rsidRPr="008865EB">
        <w:t xml:space="preserve"> </w:t>
      </w:r>
      <w:r w:rsidRPr="008865EB">
        <w:t>on</w:t>
      </w:r>
      <w:r w:rsidR="0013032F" w:rsidRPr="008865EB">
        <w:t xml:space="preserve"> </w:t>
      </w:r>
      <w:r w:rsidRPr="008865EB">
        <w:t>partnerships,</w:t>
      </w:r>
      <w:r w:rsidR="0013032F" w:rsidRPr="008865EB">
        <w:t xml:space="preserve"> </w:t>
      </w:r>
      <w:r w:rsidRPr="008865EB">
        <w:t>RDV</w:t>
      </w:r>
      <w:r w:rsidR="0013032F" w:rsidRPr="008865EB">
        <w:t xml:space="preserve"> </w:t>
      </w:r>
      <w:r w:rsidRPr="008865EB">
        <w:t>leverages</w:t>
      </w:r>
      <w:r w:rsidR="0013032F" w:rsidRPr="008865EB">
        <w:t xml:space="preserve"> </w:t>
      </w:r>
      <w:r w:rsidRPr="008865EB">
        <w:t>the</w:t>
      </w:r>
      <w:r w:rsidR="0013032F" w:rsidRPr="008865EB">
        <w:t xml:space="preserve"> </w:t>
      </w:r>
      <w:r w:rsidRPr="008865EB">
        <w:t>strengths</w:t>
      </w:r>
      <w:r w:rsidR="0013032F" w:rsidRPr="008865EB">
        <w:t xml:space="preserve"> </w:t>
      </w:r>
      <w:r w:rsidRPr="008865EB">
        <w:t>of</w:t>
      </w:r>
      <w:r w:rsidR="0013032F" w:rsidRPr="008865EB">
        <w:t xml:space="preserve"> </w:t>
      </w:r>
      <w:r w:rsidRPr="008865EB">
        <w:t>each</w:t>
      </w:r>
      <w:r w:rsidR="0013032F" w:rsidRPr="008865EB">
        <w:t xml:space="preserve"> </w:t>
      </w:r>
      <w:r w:rsidRPr="008865EB">
        <w:t>region.</w:t>
      </w:r>
      <w:r w:rsidR="0013032F" w:rsidRPr="008865EB">
        <w:t xml:space="preserve"> </w:t>
      </w:r>
      <w:r w:rsidRPr="008865EB">
        <w:t>These</w:t>
      </w:r>
      <w:r w:rsidR="0013032F" w:rsidRPr="008865EB">
        <w:t xml:space="preserve"> </w:t>
      </w:r>
      <w:r w:rsidRPr="008865EB">
        <w:t>partnerships</w:t>
      </w:r>
      <w:r w:rsidR="0013032F" w:rsidRPr="008865EB">
        <w:t xml:space="preserve"> </w:t>
      </w:r>
      <w:r w:rsidRPr="008865EB">
        <w:t>ensure</w:t>
      </w:r>
      <w:r w:rsidR="0013032F" w:rsidRPr="008865EB">
        <w:t xml:space="preserve"> </w:t>
      </w:r>
      <w:r w:rsidRPr="008865EB">
        <w:t>that</w:t>
      </w:r>
      <w:r w:rsidR="0013032F" w:rsidRPr="008865EB">
        <w:t xml:space="preserve"> </w:t>
      </w:r>
      <w:r w:rsidRPr="008865EB">
        <w:t>government</w:t>
      </w:r>
      <w:r w:rsidR="0013032F" w:rsidRPr="008865EB">
        <w:t xml:space="preserve"> </w:t>
      </w:r>
      <w:r w:rsidRPr="008865EB">
        <w:t>investment</w:t>
      </w:r>
      <w:r w:rsidR="0013032F" w:rsidRPr="008865EB">
        <w:t xml:space="preserve"> </w:t>
      </w:r>
      <w:r w:rsidRPr="008865EB">
        <w:t>harnesses</w:t>
      </w:r>
      <w:r w:rsidR="0013032F" w:rsidRPr="008865EB">
        <w:t xml:space="preserve"> </w:t>
      </w:r>
      <w:r w:rsidRPr="008865EB">
        <w:t>local</w:t>
      </w:r>
      <w:r w:rsidR="0013032F" w:rsidRPr="008865EB">
        <w:t xml:space="preserve"> </w:t>
      </w:r>
      <w:r w:rsidRPr="008865EB">
        <w:t>opportunities</w:t>
      </w:r>
      <w:r w:rsidR="0013032F" w:rsidRPr="008865EB">
        <w:t xml:space="preserve"> </w:t>
      </w:r>
      <w:r w:rsidRPr="008865EB">
        <w:t>and</w:t>
      </w:r>
      <w:r w:rsidR="0013032F" w:rsidRPr="008865EB">
        <w:t xml:space="preserve"> </w:t>
      </w:r>
      <w:r w:rsidRPr="008865EB">
        <w:t>addresses</w:t>
      </w:r>
      <w:r w:rsidR="0013032F" w:rsidRPr="008865EB">
        <w:t xml:space="preserve"> </w:t>
      </w:r>
      <w:r w:rsidRPr="008865EB">
        <w:t>local</w:t>
      </w:r>
      <w:r w:rsidR="0013032F" w:rsidRPr="008865EB">
        <w:t xml:space="preserve"> </w:t>
      </w:r>
      <w:r w:rsidRPr="008865EB">
        <w:t>issues.</w:t>
      </w:r>
      <w:r w:rsidR="0013032F" w:rsidRPr="008865EB">
        <w:t xml:space="preserve"> </w:t>
      </w:r>
      <w:r w:rsidRPr="008865EB">
        <w:t>By</w:t>
      </w:r>
      <w:r w:rsidR="0013032F" w:rsidRPr="008865EB">
        <w:t xml:space="preserve"> </w:t>
      </w:r>
      <w:r w:rsidRPr="008865EB">
        <w:t>working</w:t>
      </w:r>
      <w:r w:rsidR="0013032F" w:rsidRPr="008865EB">
        <w:t xml:space="preserve"> </w:t>
      </w:r>
      <w:r w:rsidRPr="008865EB">
        <w:t>with</w:t>
      </w:r>
      <w:r w:rsidR="0013032F" w:rsidRPr="008865EB">
        <w:t xml:space="preserve"> </w:t>
      </w:r>
      <w:r w:rsidRPr="008865EB">
        <w:t>local</w:t>
      </w:r>
      <w:r w:rsidR="0013032F" w:rsidRPr="008865EB">
        <w:t xml:space="preserve"> </w:t>
      </w:r>
      <w:r w:rsidRPr="008865EB">
        <w:t>businesses</w:t>
      </w:r>
      <w:r w:rsidR="0013032F" w:rsidRPr="008865EB">
        <w:t xml:space="preserve"> </w:t>
      </w:r>
      <w:r w:rsidRPr="008865EB">
        <w:t>and</w:t>
      </w:r>
      <w:r w:rsidR="0013032F" w:rsidRPr="008865EB">
        <w:t xml:space="preserve"> </w:t>
      </w:r>
      <w:r w:rsidRPr="008865EB">
        <w:t>communities,</w:t>
      </w:r>
      <w:r w:rsidR="0013032F" w:rsidRPr="008865EB">
        <w:t xml:space="preserve"> </w:t>
      </w:r>
      <w:r w:rsidRPr="008865EB">
        <w:t>RDV</w:t>
      </w:r>
      <w:r w:rsidR="0013032F" w:rsidRPr="008865EB">
        <w:t xml:space="preserve"> </w:t>
      </w:r>
      <w:r w:rsidRPr="008865EB">
        <w:t>has</w:t>
      </w:r>
      <w:r w:rsidR="0013032F" w:rsidRPr="008865EB">
        <w:t xml:space="preserve"> </w:t>
      </w:r>
      <w:r w:rsidRPr="008865EB">
        <w:t>a</w:t>
      </w:r>
      <w:r w:rsidR="0013032F" w:rsidRPr="008865EB">
        <w:t xml:space="preserve"> </w:t>
      </w:r>
      <w:r w:rsidRPr="008865EB">
        <w:t>comprehensive</w:t>
      </w:r>
      <w:r w:rsidR="0013032F" w:rsidRPr="008865EB">
        <w:t xml:space="preserve"> </w:t>
      </w:r>
      <w:r w:rsidRPr="008865EB">
        <w:t>understanding</w:t>
      </w:r>
      <w:r w:rsidR="0013032F" w:rsidRPr="008865EB">
        <w:t xml:space="preserve"> </w:t>
      </w:r>
      <w:r w:rsidRPr="008865EB">
        <w:t>of</w:t>
      </w:r>
      <w:r w:rsidR="0013032F" w:rsidRPr="008865EB">
        <w:t xml:space="preserve"> </w:t>
      </w:r>
      <w:r w:rsidRPr="008865EB">
        <w:t>the</w:t>
      </w:r>
      <w:r w:rsidR="0013032F" w:rsidRPr="008865EB">
        <w:t xml:space="preserve"> </w:t>
      </w:r>
      <w:r w:rsidRPr="008865EB">
        <w:t>issues</w:t>
      </w:r>
      <w:r w:rsidR="0013032F" w:rsidRPr="008865EB">
        <w:t xml:space="preserve"> </w:t>
      </w:r>
      <w:r w:rsidRPr="008865EB">
        <w:t>most</w:t>
      </w:r>
      <w:r w:rsidR="0013032F" w:rsidRPr="008865EB">
        <w:t xml:space="preserve"> </w:t>
      </w:r>
      <w:r w:rsidRPr="008865EB">
        <w:t>important</w:t>
      </w:r>
      <w:r w:rsidR="0013032F" w:rsidRPr="008865EB">
        <w:t xml:space="preserve"> </w:t>
      </w:r>
      <w:r w:rsidRPr="008865EB">
        <w:t>to</w:t>
      </w:r>
      <w:r w:rsidR="0013032F" w:rsidRPr="008865EB">
        <w:t xml:space="preserve"> </w:t>
      </w:r>
      <w:r w:rsidRPr="008865EB">
        <w:t>rural</w:t>
      </w:r>
      <w:r w:rsidR="0013032F" w:rsidRPr="008865EB">
        <w:t xml:space="preserve"> </w:t>
      </w:r>
      <w:r w:rsidRPr="008865EB">
        <w:t>and</w:t>
      </w:r>
      <w:r w:rsidR="0013032F" w:rsidRPr="008865EB">
        <w:t xml:space="preserve"> </w:t>
      </w:r>
      <w:r w:rsidRPr="008865EB">
        <w:t>regional</w:t>
      </w:r>
      <w:r w:rsidR="0013032F" w:rsidRPr="008865EB">
        <w:t xml:space="preserve"> </w:t>
      </w:r>
      <w:r w:rsidRPr="008865EB">
        <w:t>Victorians.</w:t>
      </w:r>
      <w:r w:rsidR="0013032F" w:rsidRPr="008865EB">
        <w:t xml:space="preserve"> </w:t>
      </w:r>
    </w:p>
    <w:p w14:paraId="447F8DD6" w14:textId="66C0AB9B" w:rsidR="00757772" w:rsidRPr="008865EB" w:rsidRDefault="00305D3C" w:rsidP="008865EB">
      <w:r w:rsidRPr="008865EB">
        <w:t>RDV</w:t>
      </w:r>
      <w:r w:rsidR="0013032F" w:rsidRPr="008865EB">
        <w:t xml:space="preserve"> </w:t>
      </w:r>
      <w:r w:rsidRPr="008865EB">
        <w:t>plays</w:t>
      </w:r>
      <w:r w:rsidR="0013032F" w:rsidRPr="008865EB">
        <w:t xml:space="preserve"> </w:t>
      </w:r>
      <w:r w:rsidRPr="008865EB">
        <w:t>an</w:t>
      </w:r>
      <w:r w:rsidR="0013032F" w:rsidRPr="008865EB">
        <w:t xml:space="preserve"> </w:t>
      </w:r>
      <w:r w:rsidRPr="008865EB">
        <w:t>important</w:t>
      </w:r>
      <w:r w:rsidR="0013032F" w:rsidRPr="008865EB">
        <w:t xml:space="preserve"> </w:t>
      </w:r>
      <w:r w:rsidRPr="008865EB">
        <w:t>role</w:t>
      </w:r>
      <w:r w:rsidR="0013032F" w:rsidRPr="008865EB">
        <w:t xml:space="preserve"> </w:t>
      </w:r>
      <w:r w:rsidRPr="008865EB">
        <w:t>in</w:t>
      </w:r>
      <w:r w:rsidR="0013032F" w:rsidRPr="008865EB">
        <w:t xml:space="preserve"> </w:t>
      </w:r>
      <w:r w:rsidRPr="008865EB">
        <w:t>uniting</w:t>
      </w:r>
      <w:r w:rsidR="0013032F" w:rsidRPr="008865EB">
        <w:t xml:space="preserve"> </w:t>
      </w:r>
      <w:r w:rsidRPr="008865EB">
        <w:t>the</w:t>
      </w:r>
      <w:r w:rsidR="0013032F" w:rsidRPr="008865EB">
        <w:t xml:space="preserve"> </w:t>
      </w:r>
      <w:r w:rsidRPr="008865EB">
        <w:t>government</w:t>
      </w:r>
      <w:r w:rsidR="0013032F" w:rsidRPr="008865EB">
        <w:t xml:space="preserve"> </w:t>
      </w:r>
      <w:r w:rsidRPr="008865EB">
        <w:t>in</w:t>
      </w:r>
      <w:r w:rsidR="0013032F" w:rsidRPr="008865EB">
        <w:t xml:space="preserve"> </w:t>
      </w:r>
      <w:r w:rsidRPr="008865EB">
        <w:t>rural</w:t>
      </w:r>
      <w:r w:rsidR="0013032F" w:rsidRPr="008865EB">
        <w:t xml:space="preserve"> </w:t>
      </w:r>
      <w:r w:rsidRPr="008865EB">
        <w:t>and</w:t>
      </w:r>
      <w:r w:rsidR="0013032F" w:rsidRPr="008865EB">
        <w:t xml:space="preserve"> </w:t>
      </w:r>
      <w:r w:rsidRPr="008865EB">
        <w:t>regional</w:t>
      </w:r>
      <w:r w:rsidR="0013032F" w:rsidRPr="008865EB">
        <w:t xml:space="preserve"> </w:t>
      </w:r>
      <w:r w:rsidRPr="008865EB">
        <w:t>Victoria.</w:t>
      </w:r>
      <w:r w:rsidR="0013032F" w:rsidRPr="008865EB">
        <w:t xml:space="preserve"> </w:t>
      </w:r>
      <w:r w:rsidRPr="008865EB">
        <w:t>It</w:t>
      </w:r>
      <w:r w:rsidR="0013032F" w:rsidRPr="008865EB">
        <w:t xml:space="preserve"> </w:t>
      </w:r>
      <w:r w:rsidRPr="008865EB">
        <w:t>works</w:t>
      </w:r>
      <w:r w:rsidR="0013032F" w:rsidRPr="008865EB">
        <w:t xml:space="preserve"> </w:t>
      </w:r>
      <w:r w:rsidRPr="008865EB">
        <w:t>with</w:t>
      </w:r>
      <w:r w:rsidR="0013032F" w:rsidRPr="008865EB">
        <w:t xml:space="preserve"> </w:t>
      </w:r>
      <w:r w:rsidRPr="008865EB">
        <w:t>all</w:t>
      </w:r>
      <w:r w:rsidR="0013032F" w:rsidRPr="008865EB">
        <w:t xml:space="preserve"> </w:t>
      </w:r>
      <w:r w:rsidRPr="008865EB">
        <w:t>lev</w:t>
      </w:r>
      <w:r w:rsidRPr="008865EB">
        <w:t>els</w:t>
      </w:r>
      <w:r w:rsidR="0013032F" w:rsidRPr="008865EB">
        <w:t xml:space="preserve"> </w:t>
      </w:r>
      <w:r w:rsidRPr="008865EB">
        <w:t>of</w:t>
      </w:r>
      <w:r w:rsidR="0013032F" w:rsidRPr="008865EB">
        <w:t xml:space="preserve"> </w:t>
      </w:r>
      <w:r w:rsidRPr="008865EB">
        <w:t>government,</w:t>
      </w:r>
      <w:r w:rsidR="0013032F" w:rsidRPr="008865EB">
        <w:t xml:space="preserve"> </w:t>
      </w:r>
      <w:r w:rsidRPr="008865EB">
        <w:t>across</w:t>
      </w:r>
      <w:r w:rsidR="0013032F" w:rsidRPr="008865EB">
        <w:t xml:space="preserve"> </w:t>
      </w:r>
      <w:r w:rsidRPr="008865EB">
        <w:t>different</w:t>
      </w:r>
      <w:r w:rsidR="0013032F" w:rsidRPr="008865EB">
        <w:t xml:space="preserve"> </w:t>
      </w:r>
      <w:r w:rsidRPr="008865EB">
        <w:t>departments,</w:t>
      </w:r>
      <w:r w:rsidR="0013032F" w:rsidRPr="008865EB">
        <w:t xml:space="preserve"> </w:t>
      </w:r>
      <w:r w:rsidRPr="008865EB">
        <w:t>businesses</w:t>
      </w:r>
      <w:r w:rsidR="0013032F" w:rsidRPr="008865EB">
        <w:t xml:space="preserve"> </w:t>
      </w:r>
      <w:r w:rsidRPr="008865EB">
        <w:t>and</w:t>
      </w:r>
      <w:r w:rsidR="0013032F" w:rsidRPr="008865EB">
        <w:t xml:space="preserve"> </w:t>
      </w:r>
      <w:r w:rsidRPr="008865EB">
        <w:t>local</w:t>
      </w:r>
      <w:r w:rsidR="0013032F" w:rsidRPr="008865EB">
        <w:t xml:space="preserve"> </w:t>
      </w:r>
      <w:r w:rsidRPr="008865EB">
        <w:t>communities.</w:t>
      </w:r>
      <w:r w:rsidR="0013032F" w:rsidRPr="008865EB">
        <w:t xml:space="preserve"> </w:t>
      </w:r>
      <w:r w:rsidRPr="008865EB">
        <w:t>RDV</w:t>
      </w:r>
      <w:r w:rsidR="0013032F" w:rsidRPr="008865EB">
        <w:t xml:space="preserve"> </w:t>
      </w:r>
      <w:r w:rsidRPr="008865EB">
        <w:t>uses</w:t>
      </w:r>
      <w:r w:rsidR="0013032F" w:rsidRPr="008865EB">
        <w:t xml:space="preserve"> </w:t>
      </w:r>
      <w:r w:rsidRPr="008865EB">
        <w:t>local</w:t>
      </w:r>
      <w:r w:rsidR="0013032F" w:rsidRPr="008865EB">
        <w:t xml:space="preserve"> </w:t>
      </w:r>
      <w:r w:rsidRPr="008865EB">
        <w:t>insights,</w:t>
      </w:r>
      <w:r w:rsidR="0013032F" w:rsidRPr="008865EB">
        <w:t xml:space="preserve"> </w:t>
      </w:r>
      <w:r w:rsidRPr="008865EB">
        <w:t>ideas</w:t>
      </w:r>
      <w:r w:rsidR="0013032F" w:rsidRPr="008865EB">
        <w:t xml:space="preserve"> </w:t>
      </w:r>
      <w:r w:rsidRPr="008865EB">
        <w:t>and</w:t>
      </w:r>
      <w:r w:rsidR="0013032F" w:rsidRPr="008865EB">
        <w:t xml:space="preserve"> </w:t>
      </w:r>
      <w:r w:rsidRPr="008865EB">
        <w:t>experiences</w:t>
      </w:r>
      <w:r w:rsidR="0013032F" w:rsidRPr="008865EB">
        <w:t xml:space="preserve"> </w:t>
      </w:r>
      <w:r w:rsidRPr="008865EB">
        <w:t>to</w:t>
      </w:r>
      <w:r w:rsidR="0013032F" w:rsidRPr="008865EB">
        <w:t xml:space="preserve"> </w:t>
      </w:r>
      <w:r w:rsidRPr="008865EB">
        <w:t>enable</w:t>
      </w:r>
      <w:r w:rsidR="0013032F" w:rsidRPr="008865EB">
        <w:t xml:space="preserve"> </w:t>
      </w:r>
      <w:r w:rsidRPr="008865EB">
        <w:t>outcomes</w:t>
      </w:r>
      <w:r w:rsidR="0013032F" w:rsidRPr="008865EB">
        <w:t xml:space="preserve"> </w:t>
      </w:r>
      <w:r w:rsidRPr="008865EB">
        <w:t>for</w:t>
      </w:r>
      <w:r w:rsidR="0013032F" w:rsidRPr="008865EB">
        <w:t xml:space="preserve"> </w:t>
      </w:r>
      <w:r w:rsidRPr="008865EB">
        <w:t>regional</w:t>
      </w:r>
      <w:r w:rsidR="0013032F" w:rsidRPr="008865EB">
        <w:t xml:space="preserve"> </w:t>
      </w:r>
      <w:r w:rsidRPr="008865EB">
        <w:t>communities</w:t>
      </w:r>
      <w:r w:rsidR="0013032F" w:rsidRPr="008865EB">
        <w:t xml:space="preserve"> </w:t>
      </w:r>
      <w:r w:rsidRPr="008865EB">
        <w:t>through</w:t>
      </w:r>
      <w:r w:rsidR="0013032F" w:rsidRPr="008865EB">
        <w:t xml:space="preserve"> </w:t>
      </w:r>
      <w:r w:rsidRPr="008865EB">
        <w:t>a</w:t>
      </w:r>
      <w:r w:rsidR="0013032F" w:rsidRPr="008865EB">
        <w:t xml:space="preserve"> </w:t>
      </w:r>
      <w:r w:rsidRPr="008865EB">
        <w:t>coordinated,</w:t>
      </w:r>
      <w:r w:rsidR="0013032F" w:rsidRPr="008865EB">
        <w:t xml:space="preserve"> </w:t>
      </w:r>
      <w:r w:rsidRPr="008865EB">
        <w:t>whole</w:t>
      </w:r>
      <w:r w:rsidRPr="008865EB">
        <w:noBreakHyphen/>
        <w:t>of</w:t>
      </w:r>
      <w:r w:rsidRPr="008865EB">
        <w:noBreakHyphen/>
        <w:t>government</w:t>
      </w:r>
      <w:r w:rsidR="0013032F" w:rsidRPr="008865EB">
        <w:t xml:space="preserve"> </w:t>
      </w:r>
      <w:r w:rsidRPr="008865EB">
        <w:t>approach.</w:t>
      </w:r>
      <w:r w:rsidR="0013032F" w:rsidRPr="008865EB">
        <w:t xml:space="preserve"> </w:t>
      </w:r>
      <w:r w:rsidRPr="008865EB">
        <w:t>This</w:t>
      </w:r>
      <w:r w:rsidR="0013032F" w:rsidRPr="008865EB">
        <w:t xml:space="preserve"> </w:t>
      </w:r>
      <w:r w:rsidRPr="008865EB">
        <w:t>collaboration</w:t>
      </w:r>
      <w:r w:rsidR="0013032F" w:rsidRPr="008865EB">
        <w:t xml:space="preserve"> </w:t>
      </w:r>
      <w:r w:rsidRPr="008865EB">
        <w:t>helps</w:t>
      </w:r>
      <w:r w:rsidR="0013032F" w:rsidRPr="008865EB">
        <w:t xml:space="preserve"> </w:t>
      </w:r>
      <w:r w:rsidRPr="008865EB">
        <w:t>RDV</w:t>
      </w:r>
      <w:r w:rsidR="0013032F" w:rsidRPr="008865EB">
        <w:t xml:space="preserve"> </w:t>
      </w:r>
      <w:r w:rsidRPr="008865EB">
        <w:t>ensure</w:t>
      </w:r>
      <w:r w:rsidR="0013032F" w:rsidRPr="008865EB">
        <w:t xml:space="preserve"> </w:t>
      </w:r>
      <w:r w:rsidRPr="008865EB">
        <w:t>that</w:t>
      </w:r>
      <w:r w:rsidR="0013032F" w:rsidRPr="008865EB">
        <w:t xml:space="preserve"> </w:t>
      </w:r>
      <w:r w:rsidRPr="008865EB">
        <w:t>rural</w:t>
      </w:r>
      <w:r w:rsidR="0013032F" w:rsidRPr="008865EB">
        <w:t xml:space="preserve"> </w:t>
      </w:r>
      <w:r w:rsidRPr="008865EB">
        <w:t>and</w:t>
      </w:r>
      <w:r w:rsidR="0013032F" w:rsidRPr="008865EB">
        <w:t xml:space="preserve"> </w:t>
      </w:r>
      <w:r w:rsidRPr="008865EB">
        <w:t>regional</w:t>
      </w:r>
      <w:r w:rsidR="0013032F" w:rsidRPr="008865EB">
        <w:t xml:space="preserve"> </w:t>
      </w:r>
      <w:r w:rsidRPr="008865EB">
        <w:t>Victoria</w:t>
      </w:r>
      <w:r w:rsidR="0013032F" w:rsidRPr="008865EB">
        <w:t xml:space="preserve"> </w:t>
      </w:r>
      <w:r w:rsidRPr="008865EB">
        <w:t>continues</w:t>
      </w:r>
      <w:r w:rsidR="0013032F" w:rsidRPr="008865EB">
        <w:t xml:space="preserve"> </w:t>
      </w:r>
      <w:r w:rsidRPr="008865EB">
        <w:t>to</w:t>
      </w:r>
      <w:r w:rsidR="0013032F" w:rsidRPr="008865EB">
        <w:t xml:space="preserve"> </w:t>
      </w:r>
      <w:r w:rsidRPr="008865EB">
        <w:t>prosper</w:t>
      </w:r>
      <w:r w:rsidR="0013032F" w:rsidRPr="008865EB">
        <w:t xml:space="preserve"> </w:t>
      </w:r>
      <w:r w:rsidRPr="008865EB">
        <w:t>and</w:t>
      </w:r>
      <w:r w:rsidR="0013032F" w:rsidRPr="008865EB">
        <w:t xml:space="preserve"> </w:t>
      </w:r>
      <w:r w:rsidRPr="008865EB">
        <w:t>be</w:t>
      </w:r>
      <w:r w:rsidR="0013032F" w:rsidRPr="008865EB">
        <w:t xml:space="preserve"> </w:t>
      </w:r>
      <w:r w:rsidRPr="008865EB">
        <w:t>a</w:t>
      </w:r>
      <w:r w:rsidR="0013032F" w:rsidRPr="008865EB">
        <w:t xml:space="preserve"> </w:t>
      </w:r>
      <w:r w:rsidRPr="008865EB">
        <w:t>great</w:t>
      </w:r>
      <w:r w:rsidR="0013032F" w:rsidRPr="008865EB">
        <w:t xml:space="preserve"> </w:t>
      </w:r>
      <w:r w:rsidRPr="008865EB">
        <w:t>place</w:t>
      </w:r>
      <w:r w:rsidR="0013032F" w:rsidRPr="008865EB">
        <w:t xml:space="preserve"> </w:t>
      </w:r>
      <w:r w:rsidRPr="008865EB">
        <w:t>to</w:t>
      </w:r>
      <w:r w:rsidR="0013032F" w:rsidRPr="008865EB">
        <w:t xml:space="preserve"> </w:t>
      </w:r>
      <w:r w:rsidRPr="008865EB">
        <w:t>live,</w:t>
      </w:r>
      <w:r w:rsidR="0013032F" w:rsidRPr="008865EB">
        <w:t xml:space="preserve"> </w:t>
      </w:r>
      <w:r w:rsidRPr="008865EB">
        <w:t>work</w:t>
      </w:r>
      <w:r w:rsidR="0013032F" w:rsidRPr="008865EB">
        <w:t xml:space="preserve"> </w:t>
      </w:r>
      <w:r w:rsidRPr="008865EB">
        <w:t>and</w:t>
      </w:r>
      <w:r w:rsidR="0013032F" w:rsidRPr="008865EB">
        <w:t xml:space="preserve"> </w:t>
      </w:r>
      <w:r w:rsidRPr="008865EB">
        <w:t>invest.</w:t>
      </w:r>
    </w:p>
    <w:p w14:paraId="6C711B4A" w14:textId="310E72F1" w:rsidR="00757772" w:rsidRPr="008865EB" w:rsidRDefault="00305D3C" w:rsidP="008865EB">
      <w:r w:rsidRPr="008865EB">
        <w:t>RDV</w:t>
      </w:r>
      <w:r w:rsidR="0013032F" w:rsidRPr="008865EB">
        <w:t xml:space="preserve"> </w:t>
      </w:r>
      <w:r w:rsidRPr="008865EB">
        <w:t>provides</w:t>
      </w:r>
      <w:r w:rsidR="0013032F" w:rsidRPr="008865EB">
        <w:t xml:space="preserve"> </w:t>
      </w:r>
      <w:r w:rsidRPr="008865EB">
        <w:t>timely</w:t>
      </w:r>
      <w:r w:rsidR="0013032F" w:rsidRPr="008865EB">
        <w:t xml:space="preserve"> </w:t>
      </w:r>
      <w:r w:rsidRPr="008865EB">
        <w:t>advice,</w:t>
      </w:r>
      <w:r w:rsidR="0013032F" w:rsidRPr="008865EB">
        <w:t xml:space="preserve"> </w:t>
      </w:r>
      <w:r w:rsidRPr="008865EB">
        <w:t>facilitates</w:t>
      </w:r>
      <w:r w:rsidR="0013032F" w:rsidRPr="008865EB">
        <w:t xml:space="preserve"> </w:t>
      </w:r>
      <w:r w:rsidRPr="008865EB">
        <w:t>local</w:t>
      </w:r>
      <w:r w:rsidR="0013032F" w:rsidRPr="008865EB">
        <w:t xml:space="preserve"> </w:t>
      </w:r>
      <w:r w:rsidRPr="008865EB">
        <w:t>solutions</w:t>
      </w:r>
      <w:r w:rsidR="0013032F" w:rsidRPr="008865EB">
        <w:t xml:space="preserve"> </w:t>
      </w:r>
      <w:r w:rsidRPr="008865EB">
        <w:t>and</w:t>
      </w:r>
      <w:r w:rsidR="0013032F" w:rsidRPr="008865EB">
        <w:t xml:space="preserve"> </w:t>
      </w:r>
      <w:r w:rsidRPr="008865EB">
        <w:t>supports</w:t>
      </w:r>
      <w:r w:rsidR="0013032F" w:rsidRPr="008865EB">
        <w:t xml:space="preserve"> </w:t>
      </w:r>
      <w:r w:rsidRPr="008865EB">
        <w:t>long</w:t>
      </w:r>
      <w:r w:rsidRPr="008865EB">
        <w:noBreakHyphen/>
        <w:t>term,</w:t>
      </w:r>
      <w:r w:rsidR="0013032F" w:rsidRPr="008865EB">
        <w:t xml:space="preserve"> </w:t>
      </w:r>
      <w:r w:rsidRPr="008865EB">
        <w:t>sustainable</w:t>
      </w:r>
      <w:r w:rsidR="0013032F" w:rsidRPr="008865EB">
        <w:t xml:space="preserve"> </w:t>
      </w:r>
      <w:r w:rsidRPr="008865EB">
        <w:t>recovery.</w:t>
      </w:r>
      <w:r w:rsidR="0013032F" w:rsidRPr="008865EB">
        <w:t xml:space="preserve"> </w:t>
      </w:r>
      <w:r w:rsidRPr="008865EB">
        <w:t>Another</w:t>
      </w:r>
      <w:r w:rsidR="0013032F" w:rsidRPr="008865EB">
        <w:t xml:space="preserve"> </w:t>
      </w:r>
      <w:r w:rsidRPr="008865EB">
        <w:t>core</w:t>
      </w:r>
      <w:r w:rsidR="0013032F" w:rsidRPr="008865EB">
        <w:t xml:space="preserve"> </w:t>
      </w:r>
      <w:r w:rsidRPr="008865EB">
        <w:t>role</w:t>
      </w:r>
      <w:r w:rsidR="0013032F" w:rsidRPr="008865EB">
        <w:t xml:space="preserve"> </w:t>
      </w:r>
      <w:r w:rsidRPr="008865EB">
        <w:t>for</w:t>
      </w:r>
      <w:r w:rsidR="0013032F" w:rsidRPr="008865EB">
        <w:t xml:space="preserve"> </w:t>
      </w:r>
      <w:r w:rsidRPr="008865EB">
        <w:t>RDV</w:t>
      </w:r>
      <w:r w:rsidR="0013032F" w:rsidRPr="008865EB">
        <w:t xml:space="preserve"> </w:t>
      </w:r>
      <w:r w:rsidRPr="008865EB">
        <w:t>is</w:t>
      </w:r>
      <w:r w:rsidR="0013032F" w:rsidRPr="008865EB">
        <w:t xml:space="preserve"> </w:t>
      </w:r>
      <w:r w:rsidRPr="008865EB">
        <w:t>supporting</w:t>
      </w:r>
      <w:r w:rsidR="0013032F" w:rsidRPr="008865EB">
        <w:t xml:space="preserve"> </w:t>
      </w:r>
      <w:r w:rsidRPr="008865EB">
        <w:t>rural</w:t>
      </w:r>
      <w:r w:rsidR="0013032F" w:rsidRPr="008865EB">
        <w:t xml:space="preserve"> </w:t>
      </w:r>
      <w:r w:rsidRPr="008865EB">
        <w:t>and</w:t>
      </w:r>
      <w:r w:rsidR="0013032F" w:rsidRPr="008865EB">
        <w:t xml:space="preserve"> </w:t>
      </w:r>
      <w:r w:rsidRPr="008865EB">
        <w:t>regional</w:t>
      </w:r>
      <w:r w:rsidR="0013032F" w:rsidRPr="008865EB">
        <w:t xml:space="preserve"> </w:t>
      </w:r>
      <w:r w:rsidRPr="008865EB">
        <w:t>communities</w:t>
      </w:r>
      <w:r w:rsidR="0013032F" w:rsidRPr="008865EB">
        <w:t xml:space="preserve"> </w:t>
      </w:r>
      <w:r w:rsidRPr="008865EB">
        <w:t>and</w:t>
      </w:r>
      <w:r w:rsidR="0013032F" w:rsidRPr="008865EB">
        <w:t xml:space="preserve"> </w:t>
      </w:r>
      <w:r w:rsidRPr="008865EB">
        <w:t>businesses</w:t>
      </w:r>
      <w:r w:rsidR="0013032F" w:rsidRPr="008865EB">
        <w:t xml:space="preserve"> </w:t>
      </w:r>
      <w:r w:rsidRPr="008865EB">
        <w:t>through</w:t>
      </w:r>
      <w:r w:rsidR="0013032F" w:rsidRPr="008865EB">
        <w:t xml:space="preserve"> </w:t>
      </w:r>
      <w:r w:rsidRPr="008865EB">
        <w:t>natural</w:t>
      </w:r>
      <w:r w:rsidR="0013032F" w:rsidRPr="008865EB">
        <w:t xml:space="preserve"> </w:t>
      </w:r>
      <w:r w:rsidRPr="008865EB">
        <w:t>disasters,</w:t>
      </w:r>
      <w:r w:rsidR="0013032F" w:rsidRPr="008865EB">
        <w:t xml:space="preserve"> </w:t>
      </w:r>
      <w:r w:rsidRPr="008865EB">
        <w:t>emergencies</w:t>
      </w:r>
      <w:r w:rsidR="0013032F" w:rsidRPr="008865EB">
        <w:t xml:space="preserve"> </w:t>
      </w:r>
      <w:r w:rsidRPr="008865EB">
        <w:t>and</w:t>
      </w:r>
      <w:r w:rsidR="0013032F" w:rsidRPr="008865EB">
        <w:t xml:space="preserve"> </w:t>
      </w:r>
      <w:r w:rsidRPr="008865EB">
        <w:t>unplanned</w:t>
      </w:r>
      <w:r w:rsidR="0013032F" w:rsidRPr="008865EB">
        <w:t xml:space="preserve"> </w:t>
      </w:r>
      <w:r w:rsidRPr="008865EB">
        <w:t>events,</w:t>
      </w:r>
      <w:r w:rsidR="0013032F" w:rsidRPr="008865EB">
        <w:t xml:space="preserve"> </w:t>
      </w:r>
      <w:r w:rsidRPr="008865EB">
        <w:t>such</w:t>
      </w:r>
      <w:r w:rsidR="0013032F" w:rsidRPr="008865EB">
        <w:t xml:space="preserve"> </w:t>
      </w:r>
      <w:r w:rsidRPr="008865EB">
        <w:t>as</w:t>
      </w:r>
      <w:r w:rsidR="0013032F" w:rsidRPr="008865EB">
        <w:t xml:space="preserve"> </w:t>
      </w:r>
      <w:r w:rsidRPr="008865EB">
        <w:t>floods</w:t>
      </w:r>
      <w:r w:rsidR="0013032F" w:rsidRPr="008865EB">
        <w:t xml:space="preserve"> </w:t>
      </w:r>
      <w:r w:rsidRPr="008865EB">
        <w:t>and</w:t>
      </w:r>
      <w:r w:rsidR="0013032F" w:rsidRPr="008865EB">
        <w:t xml:space="preserve"> </w:t>
      </w:r>
      <w:r w:rsidRPr="008865EB">
        <w:t>associated</w:t>
      </w:r>
      <w:r w:rsidR="0013032F" w:rsidRPr="008865EB">
        <w:t xml:space="preserve"> </w:t>
      </w:r>
      <w:r w:rsidRPr="008865EB">
        <w:t>cross</w:t>
      </w:r>
      <w:r w:rsidRPr="008865EB">
        <w:noBreakHyphen/>
        <w:t>border</w:t>
      </w:r>
      <w:r w:rsidR="0013032F" w:rsidRPr="008865EB">
        <w:t xml:space="preserve"> </w:t>
      </w:r>
      <w:r w:rsidRPr="008865EB">
        <w:t>issues.</w:t>
      </w:r>
      <w:r w:rsidR="0013032F" w:rsidRPr="008865EB">
        <w:t xml:space="preserve"> </w:t>
      </w:r>
    </w:p>
    <w:p w14:paraId="4A30D54D" w14:textId="7CB50F23" w:rsidR="00757772" w:rsidRDefault="00305D3C" w:rsidP="008865EB">
      <w:pPr>
        <w:pStyle w:val="Heading1"/>
      </w:pPr>
      <w:bookmarkStart w:id="5" w:name="_Toc149566553"/>
      <w:r>
        <w:lastRenderedPageBreak/>
        <w:t>Organisational</w:t>
      </w:r>
      <w:r w:rsidR="0013032F">
        <w:t xml:space="preserve"> </w:t>
      </w:r>
      <w:r>
        <w:t>structure</w:t>
      </w:r>
      <w:bookmarkEnd w:id="5"/>
    </w:p>
    <w:p w14:paraId="4E73C8B5" w14:textId="1C9A41F2" w:rsidR="00757772" w:rsidRDefault="00305D3C" w:rsidP="008865EB">
      <w:r>
        <w:t>RDV</w:t>
      </w:r>
      <w:r w:rsidR="0013032F">
        <w:t xml:space="preserve"> </w:t>
      </w:r>
      <w:r>
        <w:t>sits</w:t>
      </w:r>
      <w:r w:rsidR="0013032F">
        <w:t xml:space="preserve"> </w:t>
      </w:r>
      <w:r>
        <w:t>within</w:t>
      </w:r>
      <w:r w:rsidR="0013032F">
        <w:t xml:space="preserve"> </w:t>
      </w:r>
      <w:r>
        <w:t>the</w:t>
      </w:r>
      <w:r w:rsidR="0013032F">
        <w:t xml:space="preserve"> </w:t>
      </w:r>
      <w:r>
        <w:t>Regional</w:t>
      </w:r>
      <w:r w:rsidR="0013032F">
        <w:t xml:space="preserve"> </w:t>
      </w:r>
      <w:r>
        <w:t>and</w:t>
      </w:r>
      <w:r w:rsidR="0013032F">
        <w:t xml:space="preserve"> </w:t>
      </w:r>
      <w:r>
        <w:t>Suburban</w:t>
      </w:r>
      <w:r w:rsidR="0013032F">
        <w:t xml:space="preserve"> </w:t>
      </w:r>
      <w:r>
        <w:t>Development</w:t>
      </w:r>
      <w:r w:rsidR="0013032F">
        <w:t xml:space="preserve"> </w:t>
      </w:r>
      <w:r>
        <w:t>(RSD)</w:t>
      </w:r>
      <w:r w:rsidR="0013032F">
        <w:t xml:space="preserve"> </w:t>
      </w:r>
      <w:r>
        <w:t>group</w:t>
      </w:r>
      <w:r w:rsidR="0013032F">
        <w:t xml:space="preserve"> </w:t>
      </w:r>
      <w:r>
        <w:t>of</w:t>
      </w:r>
      <w:r w:rsidR="0013032F">
        <w:t xml:space="preserve"> </w:t>
      </w:r>
      <w:r>
        <w:t>the</w:t>
      </w:r>
      <w:r w:rsidR="0013032F">
        <w:t xml:space="preserve"> </w:t>
      </w:r>
      <w:r>
        <w:t>Department</w:t>
      </w:r>
      <w:r w:rsidR="0013032F">
        <w:t xml:space="preserve"> </w:t>
      </w:r>
      <w:r>
        <w:t>of</w:t>
      </w:r>
      <w:r w:rsidR="0013032F">
        <w:t xml:space="preserve"> </w:t>
      </w:r>
      <w:r>
        <w:t>Jobs,</w:t>
      </w:r>
      <w:r w:rsidR="0013032F">
        <w:t xml:space="preserve"> </w:t>
      </w:r>
      <w:r>
        <w:t>Skills,</w:t>
      </w:r>
      <w:r w:rsidR="0013032F">
        <w:t xml:space="preserve"> </w:t>
      </w:r>
      <w:r>
        <w:t>Industry</w:t>
      </w:r>
      <w:r w:rsidR="0013032F">
        <w:t xml:space="preserve"> </w:t>
      </w:r>
      <w:r>
        <w:t>and</w:t>
      </w:r>
      <w:r w:rsidR="0013032F">
        <w:t xml:space="preserve"> </w:t>
      </w:r>
      <w:r>
        <w:t>Regions.</w:t>
      </w:r>
    </w:p>
    <w:p w14:paraId="4AE7AA82" w14:textId="64E0A0D3" w:rsidR="00757772" w:rsidRDefault="00305D3C" w:rsidP="008865EB">
      <w:pPr>
        <w:pStyle w:val="Normalbeforebullets"/>
      </w:pPr>
      <w:r>
        <w:t>With</w:t>
      </w:r>
      <w:r w:rsidR="0013032F">
        <w:t xml:space="preserve"> </w:t>
      </w:r>
      <w:r>
        <w:t>a</w:t>
      </w:r>
      <w:r w:rsidR="0013032F">
        <w:t xml:space="preserve"> </w:t>
      </w:r>
      <w:r>
        <w:t>strong</w:t>
      </w:r>
      <w:r w:rsidR="0013032F">
        <w:t xml:space="preserve"> </w:t>
      </w:r>
      <w:r>
        <w:t>presence</w:t>
      </w:r>
      <w:r w:rsidR="0013032F">
        <w:t xml:space="preserve"> </w:t>
      </w:r>
      <w:r>
        <w:t>throughout</w:t>
      </w:r>
      <w:r w:rsidR="0013032F">
        <w:t xml:space="preserve"> </w:t>
      </w:r>
      <w:r>
        <w:t>rural</w:t>
      </w:r>
      <w:r w:rsidR="0013032F">
        <w:t xml:space="preserve"> </w:t>
      </w:r>
      <w:r>
        <w:t>and</w:t>
      </w:r>
      <w:r w:rsidR="0013032F">
        <w:t xml:space="preserve"> </w:t>
      </w:r>
      <w:r>
        <w:t>regional</w:t>
      </w:r>
      <w:r w:rsidR="0013032F">
        <w:t xml:space="preserve"> </w:t>
      </w:r>
      <w:r>
        <w:t>Victoria,</w:t>
      </w:r>
      <w:r w:rsidR="0013032F">
        <w:t xml:space="preserve"> </w:t>
      </w:r>
      <w:r>
        <w:t>RDV</w:t>
      </w:r>
      <w:r w:rsidR="0013032F">
        <w:t xml:space="preserve"> </w:t>
      </w:r>
      <w:r>
        <w:t>ensures</w:t>
      </w:r>
      <w:r w:rsidR="0013032F">
        <w:t xml:space="preserve"> </w:t>
      </w:r>
      <w:r>
        <w:t>that</w:t>
      </w:r>
      <w:r w:rsidR="0013032F">
        <w:t xml:space="preserve"> </w:t>
      </w:r>
      <w:r>
        <w:t>local</w:t>
      </w:r>
      <w:r w:rsidR="0013032F">
        <w:t xml:space="preserve"> </w:t>
      </w:r>
      <w:r>
        <w:t>businesses</w:t>
      </w:r>
      <w:r w:rsidR="0013032F">
        <w:t xml:space="preserve"> </w:t>
      </w:r>
      <w:r>
        <w:t>and</w:t>
      </w:r>
      <w:r w:rsidR="0013032F">
        <w:t xml:space="preserve"> </w:t>
      </w:r>
      <w:r>
        <w:t>communities</w:t>
      </w:r>
      <w:r w:rsidR="0013032F">
        <w:t xml:space="preserve"> </w:t>
      </w:r>
      <w:r>
        <w:t>receive</w:t>
      </w:r>
      <w:r w:rsidR="0013032F">
        <w:t xml:space="preserve"> </w:t>
      </w:r>
      <w:r>
        <w:t>support</w:t>
      </w:r>
      <w:r w:rsidR="0013032F">
        <w:t xml:space="preserve"> </w:t>
      </w:r>
      <w:r>
        <w:t>specific</w:t>
      </w:r>
      <w:r w:rsidR="0013032F">
        <w:t xml:space="preserve"> </w:t>
      </w:r>
      <w:r>
        <w:t>to</w:t>
      </w:r>
      <w:r w:rsidR="0013032F">
        <w:t xml:space="preserve"> </w:t>
      </w:r>
      <w:r>
        <w:t>their</w:t>
      </w:r>
      <w:r w:rsidR="0013032F">
        <w:t xml:space="preserve"> </w:t>
      </w:r>
      <w:r>
        <w:t>needs.</w:t>
      </w:r>
      <w:r w:rsidR="0013032F">
        <w:t xml:space="preserve"> </w:t>
      </w:r>
      <w:r>
        <w:t>Its</w:t>
      </w:r>
      <w:r w:rsidR="0013032F">
        <w:t xml:space="preserve"> </w:t>
      </w:r>
      <w:r>
        <w:t>operations</w:t>
      </w:r>
      <w:r w:rsidR="0013032F">
        <w:t xml:space="preserve"> </w:t>
      </w:r>
      <w:r>
        <w:t>are</w:t>
      </w:r>
      <w:r w:rsidR="0013032F">
        <w:t xml:space="preserve"> </w:t>
      </w:r>
      <w:r>
        <w:t>de</w:t>
      </w:r>
      <w:r>
        <w:t>livered</w:t>
      </w:r>
      <w:r w:rsidR="0013032F">
        <w:t xml:space="preserve"> </w:t>
      </w:r>
      <w:r>
        <w:t>through</w:t>
      </w:r>
      <w:r w:rsidR="0013032F">
        <w:t xml:space="preserve"> </w:t>
      </w:r>
      <w:r>
        <w:t>5</w:t>
      </w:r>
      <w:r w:rsidR="0013032F">
        <w:t xml:space="preserve"> </w:t>
      </w:r>
      <w:r>
        <w:t>regions:</w:t>
      </w:r>
    </w:p>
    <w:p w14:paraId="34852680" w14:textId="087D1DA7" w:rsidR="00757772" w:rsidRDefault="00305D3C" w:rsidP="008865EB">
      <w:pPr>
        <w:pStyle w:val="Bullet"/>
      </w:pPr>
      <w:r>
        <w:t>Barwon</w:t>
      </w:r>
      <w:r w:rsidR="0013032F">
        <w:t xml:space="preserve"> </w:t>
      </w:r>
      <w:r>
        <w:t>South</w:t>
      </w:r>
      <w:r w:rsidR="0013032F">
        <w:t xml:space="preserve"> </w:t>
      </w:r>
      <w:r>
        <w:t>West</w:t>
      </w:r>
    </w:p>
    <w:p w14:paraId="7322DE34" w14:textId="77777777" w:rsidR="00757772" w:rsidRDefault="00305D3C" w:rsidP="008865EB">
      <w:pPr>
        <w:pStyle w:val="Bullet"/>
      </w:pPr>
      <w:r>
        <w:t>Gippsland</w:t>
      </w:r>
    </w:p>
    <w:p w14:paraId="1BB36BB3" w14:textId="77777777" w:rsidR="00757772" w:rsidRDefault="00305D3C" w:rsidP="008865EB">
      <w:pPr>
        <w:pStyle w:val="Bullet"/>
      </w:pPr>
      <w:r>
        <w:t>Grampians</w:t>
      </w:r>
    </w:p>
    <w:p w14:paraId="4D3780C7" w14:textId="77777777" w:rsidR="00757772" w:rsidRDefault="00305D3C" w:rsidP="008865EB">
      <w:pPr>
        <w:pStyle w:val="Bullet"/>
      </w:pPr>
      <w:r>
        <w:t>Hume</w:t>
      </w:r>
    </w:p>
    <w:p w14:paraId="65542875" w14:textId="3AF6CBE9" w:rsidR="00757772" w:rsidRDefault="00305D3C" w:rsidP="008865EB">
      <w:pPr>
        <w:pStyle w:val="Bulletlast"/>
      </w:pPr>
      <w:r>
        <w:t>Loddon</w:t>
      </w:r>
      <w:r w:rsidR="0013032F">
        <w:t xml:space="preserve"> </w:t>
      </w:r>
      <w:r>
        <w:t>Mallee</w:t>
      </w:r>
    </w:p>
    <w:p w14:paraId="68A10C5C" w14:textId="64664336" w:rsidR="00757772" w:rsidRDefault="00305D3C" w:rsidP="008865EB">
      <w:pPr>
        <w:rPr>
          <w:rFonts w:ascii="VIC Light" w:hAnsi="VIC Light" w:cs="VIC Light"/>
        </w:rPr>
      </w:pPr>
      <w:r>
        <w:t>The</w:t>
      </w:r>
      <w:r w:rsidR="0013032F">
        <w:t xml:space="preserve"> </w:t>
      </w:r>
      <w:r>
        <w:t>regions</w:t>
      </w:r>
      <w:r w:rsidR="0013032F">
        <w:t xml:space="preserve"> </w:t>
      </w:r>
      <w:r>
        <w:t>are</w:t>
      </w:r>
      <w:r w:rsidR="0013032F">
        <w:t xml:space="preserve"> </w:t>
      </w:r>
      <w:r>
        <w:t>supported</w:t>
      </w:r>
      <w:r w:rsidR="0013032F">
        <w:t xml:space="preserve"> </w:t>
      </w:r>
      <w:r>
        <w:t>by</w:t>
      </w:r>
      <w:r w:rsidR="0013032F">
        <w:t xml:space="preserve"> </w:t>
      </w:r>
      <w:r>
        <w:t>teams</w:t>
      </w:r>
      <w:r w:rsidR="0013032F">
        <w:t xml:space="preserve"> </w:t>
      </w:r>
      <w:r>
        <w:t>that</w:t>
      </w:r>
      <w:r w:rsidR="0013032F">
        <w:t xml:space="preserve"> </w:t>
      </w:r>
      <w:r>
        <w:t>focus</w:t>
      </w:r>
      <w:r w:rsidR="0013032F">
        <w:t xml:space="preserve"> </w:t>
      </w:r>
      <w:r>
        <w:t>on</w:t>
      </w:r>
      <w:r w:rsidR="0013032F">
        <w:t xml:space="preserve"> </w:t>
      </w:r>
      <w:r>
        <w:t>policy</w:t>
      </w:r>
      <w:r w:rsidR="0013032F">
        <w:t xml:space="preserve"> </w:t>
      </w:r>
      <w:r>
        <w:t>and</w:t>
      </w:r>
      <w:r w:rsidR="0013032F">
        <w:t xml:space="preserve"> </w:t>
      </w:r>
      <w:r>
        <w:t>strategy,</w:t>
      </w:r>
      <w:r w:rsidR="0013032F">
        <w:t xml:space="preserve"> </w:t>
      </w:r>
      <w:r>
        <w:t>regional</w:t>
      </w:r>
      <w:r w:rsidR="0013032F">
        <w:t xml:space="preserve"> </w:t>
      </w:r>
      <w:r>
        <w:t>programs,</w:t>
      </w:r>
      <w:r w:rsidR="0013032F">
        <w:t xml:space="preserve"> </w:t>
      </w:r>
      <w:r>
        <w:t>recovery</w:t>
      </w:r>
      <w:r w:rsidR="0013032F">
        <w:t xml:space="preserve"> </w:t>
      </w:r>
      <w:r>
        <w:t>and</w:t>
      </w:r>
      <w:r w:rsidR="0013032F">
        <w:t xml:space="preserve"> </w:t>
      </w:r>
      <w:r>
        <w:t>investment,</w:t>
      </w:r>
      <w:r w:rsidR="0013032F">
        <w:t xml:space="preserve"> </w:t>
      </w:r>
      <w:r>
        <w:t>and</w:t>
      </w:r>
      <w:r w:rsidR="0013032F">
        <w:t xml:space="preserve"> </w:t>
      </w:r>
      <w:r>
        <w:t>business</w:t>
      </w:r>
      <w:r w:rsidR="0013032F">
        <w:t xml:space="preserve"> </w:t>
      </w:r>
      <w:r>
        <w:t>performance.</w:t>
      </w:r>
    </w:p>
    <w:p w14:paraId="056408EE" w14:textId="18259CBF" w:rsidR="00757772" w:rsidRDefault="00305D3C" w:rsidP="008865EB">
      <w:pPr>
        <w:pStyle w:val="Heading1"/>
      </w:pPr>
      <w:bookmarkStart w:id="6" w:name="_Toc149566554"/>
      <w:r>
        <w:lastRenderedPageBreak/>
        <w:t>Regional</w:t>
      </w:r>
      <w:r w:rsidR="0013032F">
        <w:t xml:space="preserve"> </w:t>
      </w:r>
      <w:r>
        <w:t>Jobs</w:t>
      </w:r>
      <w:r w:rsidR="0013032F">
        <w:t xml:space="preserve"> </w:t>
      </w:r>
      <w:r>
        <w:t>and</w:t>
      </w:r>
      <w:r w:rsidR="0013032F">
        <w:t xml:space="preserve"> </w:t>
      </w:r>
      <w:r>
        <w:t>Infrastructure</w:t>
      </w:r>
      <w:r w:rsidR="0013032F">
        <w:t xml:space="preserve"> </w:t>
      </w:r>
      <w:r>
        <w:t>Fund</w:t>
      </w:r>
      <w:bookmarkEnd w:id="6"/>
    </w:p>
    <w:p w14:paraId="69B74E54" w14:textId="01CB4D24" w:rsidR="00757772" w:rsidRDefault="00305D3C" w:rsidP="008865EB">
      <w:r>
        <w:t>Since</w:t>
      </w:r>
      <w:r w:rsidR="0013032F">
        <w:t xml:space="preserve"> </w:t>
      </w:r>
      <w:r>
        <w:t>July</w:t>
      </w:r>
      <w:r w:rsidR="0013032F">
        <w:t xml:space="preserve"> </w:t>
      </w:r>
      <w:r>
        <w:t>2015,</w:t>
      </w:r>
      <w:r w:rsidR="0013032F">
        <w:t xml:space="preserve"> </w:t>
      </w:r>
      <w:r>
        <w:t>the</w:t>
      </w:r>
      <w:r w:rsidR="0013032F">
        <w:t xml:space="preserve"> </w:t>
      </w:r>
      <w:r>
        <w:t>Regional</w:t>
      </w:r>
      <w:r w:rsidR="0013032F">
        <w:t xml:space="preserve"> </w:t>
      </w:r>
      <w:r>
        <w:t>Jobs</w:t>
      </w:r>
      <w:r w:rsidR="0013032F">
        <w:t xml:space="preserve"> </w:t>
      </w:r>
      <w:r>
        <w:t>and</w:t>
      </w:r>
      <w:r w:rsidR="0013032F">
        <w:t xml:space="preserve"> </w:t>
      </w:r>
      <w:r>
        <w:t>Infrastructure</w:t>
      </w:r>
      <w:r w:rsidR="0013032F">
        <w:t xml:space="preserve"> </w:t>
      </w:r>
      <w:r>
        <w:t>Fund</w:t>
      </w:r>
      <w:r w:rsidR="0013032F">
        <w:t xml:space="preserve"> </w:t>
      </w:r>
      <w:r>
        <w:t>(RJIF)</w:t>
      </w:r>
      <w:r w:rsidR="0013032F">
        <w:t xml:space="preserve"> </w:t>
      </w:r>
      <w:r>
        <w:t>has</w:t>
      </w:r>
      <w:r w:rsidR="0013032F">
        <w:t xml:space="preserve"> </w:t>
      </w:r>
      <w:r>
        <w:t>facilitated</w:t>
      </w:r>
      <w:r w:rsidR="0013032F">
        <w:t xml:space="preserve"> </w:t>
      </w:r>
      <w:r>
        <w:t>economic</w:t>
      </w:r>
      <w:r w:rsidR="0013032F">
        <w:t xml:space="preserve"> </w:t>
      </w:r>
      <w:r>
        <w:t>and</w:t>
      </w:r>
      <w:r w:rsidR="0013032F">
        <w:t xml:space="preserve"> </w:t>
      </w:r>
      <w:r>
        <w:t>community</w:t>
      </w:r>
      <w:r w:rsidR="0013032F">
        <w:t xml:space="preserve"> </w:t>
      </w:r>
      <w:r>
        <w:t>development</w:t>
      </w:r>
      <w:r w:rsidR="0013032F">
        <w:t xml:space="preserve"> </w:t>
      </w:r>
      <w:r>
        <w:t>in</w:t>
      </w:r>
      <w:r w:rsidR="0013032F">
        <w:t xml:space="preserve"> </w:t>
      </w:r>
      <w:r>
        <w:t>Victoria’s</w:t>
      </w:r>
      <w:r w:rsidR="0013032F">
        <w:t xml:space="preserve"> </w:t>
      </w:r>
      <w:r>
        <w:t>regions.</w:t>
      </w:r>
      <w:r w:rsidR="0013032F">
        <w:t xml:space="preserve"> </w:t>
      </w:r>
      <w:r>
        <w:t>RJIF</w:t>
      </w:r>
      <w:r w:rsidR="0013032F">
        <w:t xml:space="preserve"> </w:t>
      </w:r>
      <w:r>
        <w:t>helps</w:t>
      </w:r>
      <w:r w:rsidR="0013032F">
        <w:t xml:space="preserve"> </w:t>
      </w:r>
      <w:r>
        <w:t>create</w:t>
      </w:r>
      <w:r w:rsidR="0013032F">
        <w:t xml:space="preserve"> </w:t>
      </w:r>
      <w:r>
        <w:t>or</w:t>
      </w:r>
      <w:r w:rsidR="0013032F">
        <w:t xml:space="preserve"> </w:t>
      </w:r>
      <w:r>
        <w:t>retain</w:t>
      </w:r>
      <w:r w:rsidR="0013032F">
        <w:t xml:space="preserve"> </w:t>
      </w:r>
      <w:r>
        <w:t>approximately</w:t>
      </w:r>
      <w:r w:rsidR="0013032F">
        <w:t xml:space="preserve"> </w:t>
      </w:r>
      <w:r>
        <w:t>13,000</w:t>
      </w:r>
      <w:r w:rsidR="0013032F">
        <w:t xml:space="preserve"> </w:t>
      </w:r>
      <w:r>
        <w:t>jobs</w:t>
      </w:r>
      <w:r w:rsidR="0013032F">
        <w:t xml:space="preserve"> </w:t>
      </w:r>
      <w:r>
        <w:t>and</w:t>
      </w:r>
      <w:r w:rsidR="0013032F">
        <w:t xml:space="preserve"> </w:t>
      </w:r>
      <w:r>
        <w:t>supports</w:t>
      </w:r>
      <w:r w:rsidR="0013032F">
        <w:t xml:space="preserve"> </w:t>
      </w:r>
      <w:r>
        <w:t>approximately</w:t>
      </w:r>
      <w:r w:rsidR="0013032F">
        <w:t xml:space="preserve"> </w:t>
      </w:r>
      <w:r>
        <w:t>1,000</w:t>
      </w:r>
      <w:r w:rsidR="0013032F">
        <w:t xml:space="preserve"> </w:t>
      </w:r>
      <w:r>
        <w:t>projects</w:t>
      </w:r>
      <w:r w:rsidR="0013032F">
        <w:t xml:space="preserve"> </w:t>
      </w:r>
      <w:r>
        <w:t>in</w:t>
      </w:r>
      <w:r w:rsidR="0013032F">
        <w:t xml:space="preserve"> </w:t>
      </w:r>
      <w:r>
        <w:t>regional</w:t>
      </w:r>
      <w:r w:rsidR="0013032F">
        <w:t xml:space="preserve"> </w:t>
      </w:r>
      <w:r>
        <w:t>Victoria.</w:t>
      </w:r>
      <w:r w:rsidR="0013032F">
        <w:t xml:space="preserve"> </w:t>
      </w:r>
      <w:r>
        <w:t>It</w:t>
      </w:r>
      <w:r w:rsidR="0013032F">
        <w:t xml:space="preserve"> </w:t>
      </w:r>
      <w:r>
        <w:t>also</w:t>
      </w:r>
      <w:r w:rsidR="0013032F">
        <w:t xml:space="preserve"> </w:t>
      </w:r>
      <w:r>
        <w:t>enables</w:t>
      </w:r>
      <w:r w:rsidR="0013032F">
        <w:t xml:space="preserve"> </w:t>
      </w:r>
      <w:r>
        <w:t>jobs</w:t>
      </w:r>
      <w:r w:rsidR="0013032F">
        <w:t xml:space="preserve"> </w:t>
      </w:r>
      <w:r>
        <w:t>growth,</w:t>
      </w:r>
      <w:r w:rsidR="0013032F">
        <w:t xml:space="preserve"> </w:t>
      </w:r>
      <w:r>
        <w:t>provides</w:t>
      </w:r>
      <w:r w:rsidR="0013032F">
        <w:t xml:space="preserve"> </w:t>
      </w:r>
      <w:r>
        <w:t>infrastructure</w:t>
      </w:r>
      <w:r w:rsidR="0013032F">
        <w:t xml:space="preserve"> </w:t>
      </w:r>
      <w:r>
        <w:t>support</w:t>
      </w:r>
      <w:r w:rsidR="0013032F">
        <w:t xml:space="preserve"> </w:t>
      </w:r>
      <w:r>
        <w:t>and</w:t>
      </w:r>
      <w:r w:rsidR="0013032F">
        <w:t xml:space="preserve"> </w:t>
      </w:r>
      <w:r>
        <w:t>assists</w:t>
      </w:r>
      <w:r w:rsidR="0013032F">
        <w:t xml:space="preserve"> </w:t>
      </w:r>
      <w:r>
        <w:t>with</w:t>
      </w:r>
      <w:r w:rsidR="0013032F">
        <w:t xml:space="preserve"> </w:t>
      </w:r>
      <w:r>
        <w:t>community</w:t>
      </w:r>
      <w:r w:rsidR="0013032F">
        <w:t xml:space="preserve"> </w:t>
      </w:r>
      <w:r>
        <w:t>development</w:t>
      </w:r>
      <w:r w:rsidR="0013032F">
        <w:t xml:space="preserve"> </w:t>
      </w:r>
      <w:r>
        <w:t>throughout</w:t>
      </w:r>
      <w:r w:rsidR="0013032F">
        <w:t xml:space="preserve"> </w:t>
      </w:r>
      <w:r>
        <w:t>rural</w:t>
      </w:r>
      <w:r w:rsidR="0013032F">
        <w:t xml:space="preserve"> </w:t>
      </w:r>
      <w:r>
        <w:t>and</w:t>
      </w:r>
      <w:r w:rsidR="0013032F">
        <w:t xml:space="preserve"> </w:t>
      </w:r>
      <w:r>
        <w:t>regional</w:t>
      </w:r>
      <w:r w:rsidR="0013032F">
        <w:t xml:space="preserve"> </w:t>
      </w:r>
      <w:r>
        <w:t>Victoria.</w:t>
      </w:r>
      <w:r w:rsidR="0013032F">
        <w:t xml:space="preserve"> </w:t>
      </w:r>
    </w:p>
    <w:p w14:paraId="3844CB60" w14:textId="3A84F0F5" w:rsidR="00757772" w:rsidRDefault="00305D3C" w:rsidP="008865EB">
      <w:pPr>
        <w:pStyle w:val="Normalbeforebullets"/>
      </w:pPr>
      <w:r>
        <w:t>The</w:t>
      </w:r>
      <w:r w:rsidR="0013032F">
        <w:t xml:space="preserve"> </w:t>
      </w:r>
      <w:r>
        <w:t>fund</w:t>
      </w:r>
      <w:r w:rsidR="0013032F">
        <w:t xml:space="preserve"> </w:t>
      </w:r>
      <w:r>
        <w:t>has</w:t>
      </w:r>
      <w:r w:rsidR="0013032F">
        <w:t xml:space="preserve"> </w:t>
      </w:r>
      <w:r>
        <w:t>3</w:t>
      </w:r>
      <w:r w:rsidR="0013032F">
        <w:t xml:space="preserve"> </w:t>
      </w:r>
      <w:r>
        <w:t>main</w:t>
      </w:r>
      <w:r w:rsidR="0013032F">
        <w:t xml:space="preserve"> </w:t>
      </w:r>
      <w:r>
        <w:t>components:</w:t>
      </w:r>
    </w:p>
    <w:p w14:paraId="423AFA11" w14:textId="751AD287" w:rsidR="00757772" w:rsidRDefault="00305D3C" w:rsidP="008865EB">
      <w:pPr>
        <w:pStyle w:val="Bullet"/>
      </w:pPr>
      <w:r>
        <w:t>Regional</w:t>
      </w:r>
      <w:r w:rsidR="0013032F">
        <w:t xml:space="preserve"> </w:t>
      </w:r>
      <w:r>
        <w:t>Infrastructure</w:t>
      </w:r>
      <w:r w:rsidR="0013032F">
        <w:t xml:space="preserve"> </w:t>
      </w:r>
      <w:r>
        <w:t>Fund</w:t>
      </w:r>
    </w:p>
    <w:p w14:paraId="6B982FFF" w14:textId="5F0F7DF1" w:rsidR="00757772" w:rsidRDefault="00305D3C" w:rsidP="008865EB">
      <w:pPr>
        <w:pStyle w:val="Bullet"/>
      </w:pPr>
      <w:r>
        <w:t>Regional</w:t>
      </w:r>
      <w:r w:rsidR="0013032F">
        <w:t xml:space="preserve"> </w:t>
      </w:r>
      <w:r>
        <w:t>Jobs</w:t>
      </w:r>
      <w:r w:rsidR="0013032F">
        <w:t xml:space="preserve"> </w:t>
      </w:r>
      <w:r>
        <w:t>Fund</w:t>
      </w:r>
    </w:p>
    <w:p w14:paraId="487630F6" w14:textId="59BC6736" w:rsidR="00757772" w:rsidRDefault="00305D3C" w:rsidP="008865EB">
      <w:pPr>
        <w:pStyle w:val="Bulletlast"/>
      </w:pPr>
      <w:r>
        <w:t>Investment</w:t>
      </w:r>
      <w:r w:rsidR="0013032F">
        <w:t xml:space="preserve"> </w:t>
      </w:r>
      <w:r>
        <w:t>Fast</w:t>
      </w:r>
      <w:r>
        <w:noBreakHyphen/>
        <w:t>Track</w:t>
      </w:r>
      <w:r w:rsidR="0013032F">
        <w:t xml:space="preserve"> </w:t>
      </w:r>
      <w:r>
        <w:t>Fund</w:t>
      </w:r>
    </w:p>
    <w:p w14:paraId="794139C9" w14:textId="6086280D" w:rsidR="00757772" w:rsidRDefault="00305D3C" w:rsidP="008865EB">
      <w:r>
        <w:rPr>
          <w:spacing w:val="-2"/>
        </w:rPr>
        <w:t>In</w:t>
      </w:r>
      <w:r w:rsidR="0013032F">
        <w:rPr>
          <w:spacing w:val="-2"/>
        </w:rPr>
        <w:t xml:space="preserve"> </w:t>
      </w:r>
      <w:r>
        <w:rPr>
          <w:spacing w:val="-2"/>
        </w:rPr>
        <w:t>2022–23,</w:t>
      </w:r>
      <w:r w:rsidR="0013032F">
        <w:rPr>
          <w:spacing w:val="-2"/>
        </w:rPr>
        <w:t xml:space="preserve"> </w:t>
      </w:r>
      <w:r>
        <w:rPr>
          <w:spacing w:val="-2"/>
        </w:rPr>
        <w:t>RJIF</w:t>
      </w:r>
      <w:r w:rsidR="0013032F">
        <w:rPr>
          <w:spacing w:val="-2"/>
        </w:rPr>
        <w:t xml:space="preserve"> </w:t>
      </w:r>
      <w:r>
        <w:rPr>
          <w:spacing w:val="-2"/>
        </w:rPr>
        <w:t>funding</w:t>
      </w:r>
      <w:r w:rsidR="0013032F">
        <w:rPr>
          <w:spacing w:val="-2"/>
        </w:rPr>
        <w:t xml:space="preserve"> </w:t>
      </w:r>
      <w:r>
        <w:rPr>
          <w:spacing w:val="-2"/>
        </w:rPr>
        <w:t>was</w:t>
      </w:r>
      <w:r w:rsidR="0013032F">
        <w:rPr>
          <w:spacing w:val="-2"/>
        </w:rPr>
        <w:t xml:space="preserve"> </w:t>
      </w:r>
      <w:r>
        <w:rPr>
          <w:spacing w:val="-2"/>
        </w:rPr>
        <w:t>boosted</w:t>
      </w:r>
      <w:r w:rsidR="0013032F">
        <w:rPr>
          <w:spacing w:val="-2"/>
        </w:rPr>
        <w:t xml:space="preserve"> </w:t>
      </w:r>
      <w:r>
        <w:rPr>
          <w:spacing w:val="-2"/>
        </w:rPr>
        <w:t>by</w:t>
      </w:r>
      <w:r w:rsidR="0013032F">
        <w:rPr>
          <w:spacing w:val="-2"/>
        </w:rPr>
        <w:t xml:space="preserve"> </w:t>
      </w:r>
      <w:r>
        <w:rPr>
          <w:spacing w:val="-2"/>
        </w:rPr>
        <w:t>$30</w:t>
      </w:r>
      <w:r w:rsidR="0013032F">
        <w:rPr>
          <w:spacing w:val="-2"/>
        </w:rPr>
        <w:t xml:space="preserve"> </w:t>
      </w:r>
      <w:r>
        <w:rPr>
          <w:spacing w:val="-2"/>
        </w:rPr>
        <w:t>million</w:t>
      </w:r>
      <w:r w:rsidR="0013032F">
        <w:rPr>
          <w:spacing w:val="-2"/>
        </w:rPr>
        <w:t xml:space="preserve"> </w:t>
      </w:r>
      <w:r>
        <w:t>that</w:t>
      </w:r>
      <w:r w:rsidR="0013032F">
        <w:t xml:space="preserve"> </w:t>
      </w:r>
      <w:r>
        <w:t>supported</w:t>
      </w:r>
      <w:r w:rsidR="0013032F">
        <w:t xml:space="preserve"> </w:t>
      </w:r>
      <w:r>
        <w:t>52</w:t>
      </w:r>
      <w:r w:rsidR="0013032F">
        <w:t xml:space="preserve"> </w:t>
      </w:r>
      <w:r>
        <w:t>projects</w:t>
      </w:r>
      <w:r w:rsidR="0013032F">
        <w:t xml:space="preserve"> </w:t>
      </w:r>
      <w:r>
        <w:t>across</w:t>
      </w:r>
      <w:r w:rsidR="0013032F">
        <w:t xml:space="preserve"> </w:t>
      </w:r>
      <w:r>
        <w:t>a</w:t>
      </w:r>
      <w:r w:rsidR="0013032F">
        <w:t xml:space="preserve"> </w:t>
      </w:r>
      <w:r>
        <w:t>broad</w:t>
      </w:r>
      <w:r w:rsidR="0013032F">
        <w:t xml:space="preserve"> </w:t>
      </w:r>
      <w:r>
        <w:t>range</w:t>
      </w:r>
      <w:r w:rsidR="0013032F">
        <w:t xml:space="preserve"> </w:t>
      </w:r>
      <w:r>
        <w:t>of</w:t>
      </w:r>
      <w:r w:rsidR="0013032F">
        <w:t xml:space="preserve"> </w:t>
      </w:r>
      <w:r>
        <w:t>regional</w:t>
      </w:r>
      <w:r w:rsidR="0013032F">
        <w:t xml:space="preserve"> </w:t>
      </w:r>
      <w:r>
        <w:t>development</w:t>
      </w:r>
      <w:r w:rsidR="0013032F">
        <w:t xml:space="preserve"> </w:t>
      </w:r>
      <w:r>
        <w:t>initiatives.</w:t>
      </w:r>
    </w:p>
    <w:p w14:paraId="41B00B86" w14:textId="60817C1B" w:rsidR="00757772" w:rsidRDefault="00305D3C" w:rsidP="008865EB">
      <w:pPr>
        <w:pStyle w:val="Heading2"/>
      </w:pPr>
      <w:bookmarkStart w:id="7" w:name="_Toc149566555"/>
      <w:r>
        <w:t>Regional</w:t>
      </w:r>
      <w:r w:rsidR="0013032F">
        <w:t xml:space="preserve"> </w:t>
      </w:r>
      <w:r>
        <w:t>Jobs</w:t>
      </w:r>
      <w:r w:rsidR="0013032F">
        <w:t xml:space="preserve"> </w:t>
      </w:r>
      <w:r>
        <w:t>Fund</w:t>
      </w:r>
      <w:bookmarkEnd w:id="7"/>
    </w:p>
    <w:p w14:paraId="19B6D9AA" w14:textId="7C8984A4" w:rsidR="00757772" w:rsidRDefault="00305D3C" w:rsidP="008865EB">
      <w:r>
        <w:t>The</w:t>
      </w:r>
      <w:r w:rsidR="0013032F">
        <w:t xml:space="preserve"> </w:t>
      </w:r>
      <w:r>
        <w:t>Regional</w:t>
      </w:r>
      <w:r w:rsidR="0013032F">
        <w:t xml:space="preserve"> </w:t>
      </w:r>
      <w:r>
        <w:t>Jobs</w:t>
      </w:r>
      <w:r w:rsidR="0013032F">
        <w:t xml:space="preserve"> </w:t>
      </w:r>
      <w:r>
        <w:t>Fund</w:t>
      </w:r>
      <w:r w:rsidR="0013032F">
        <w:t xml:space="preserve"> </w:t>
      </w:r>
      <w:r>
        <w:t>(RJF)</w:t>
      </w:r>
      <w:r w:rsidR="0013032F">
        <w:t xml:space="preserve"> </w:t>
      </w:r>
      <w:r>
        <w:t>provides</w:t>
      </w:r>
      <w:r w:rsidR="0013032F">
        <w:t xml:space="preserve"> </w:t>
      </w:r>
      <w:r>
        <w:t>grant</w:t>
      </w:r>
      <w:r w:rsidR="0013032F">
        <w:t xml:space="preserve"> </w:t>
      </w:r>
      <w:r>
        <w:t>funding</w:t>
      </w:r>
      <w:r w:rsidR="0013032F">
        <w:t xml:space="preserve"> </w:t>
      </w:r>
      <w:r>
        <w:t>to</w:t>
      </w:r>
      <w:r w:rsidR="0013032F">
        <w:t xml:space="preserve"> </w:t>
      </w:r>
      <w:r>
        <w:t>attract</w:t>
      </w:r>
      <w:r w:rsidR="0013032F">
        <w:t xml:space="preserve"> </w:t>
      </w:r>
      <w:r>
        <w:t>new</w:t>
      </w:r>
      <w:r w:rsidR="0013032F">
        <w:t xml:space="preserve"> </w:t>
      </w:r>
      <w:r>
        <w:t>invest</w:t>
      </w:r>
      <w:r>
        <w:t>ment,</w:t>
      </w:r>
      <w:r w:rsidR="0013032F">
        <w:t xml:space="preserve"> </w:t>
      </w:r>
      <w:r>
        <w:t>create</w:t>
      </w:r>
      <w:r w:rsidR="0013032F">
        <w:t xml:space="preserve"> </w:t>
      </w:r>
      <w:r>
        <w:t>new</w:t>
      </w:r>
      <w:r w:rsidR="0013032F">
        <w:t xml:space="preserve"> </w:t>
      </w:r>
      <w:r>
        <w:t>jobs</w:t>
      </w:r>
      <w:r w:rsidR="0013032F">
        <w:t xml:space="preserve"> </w:t>
      </w:r>
      <w:r>
        <w:t>and</w:t>
      </w:r>
      <w:r w:rsidR="0013032F">
        <w:t xml:space="preserve"> </w:t>
      </w:r>
      <w:r>
        <w:t>retain</w:t>
      </w:r>
      <w:r w:rsidR="0013032F">
        <w:t xml:space="preserve"> </w:t>
      </w:r>
      <w:r>
        <w:t>existing</w:t>
      </w:r>
      <w:r w:rsidR="0013032F">
        <w:t xml:space="preserve"> </w:t>
      </w:r>
      <w:r>
        <w:t>ones,</w:t>
      </w:r>
      <w:r w:rsidR="0013032F">
        <w:t xml:space="preserve"> </w:t>
      </w:r>
      <w:r>
        <w:t>and</w:t>
      </w:r>
      <w:r w:rsidR="0013032F">
        <w:t xml:space="preserve"> </w:t>
      </w:r>
      <w:r>
        <w:t>help</w:t>
      </w:r>
      <w:r w:rsidR="0013032F">
        <w:t xml:space="preserve"> </w:t>
      </w:r>
      <w:r>
        <w:t>businesses</w:t>
      </w:r>
      <w:r w:rsidR="0013032F">
        <w:t xml:space="preserve"> </w:t>
      </w:r>
      <w:r>
        <w:t>improve</w:t>
      </w:r>
      <w:r w:rsidR="0013032F">
        <w:t xml:space="preserve"> </w:t>
      </w:r>
      <w:r>
        <w:t>their</w:t>
      </w:r>
      <w:r w:rsidR="0013032F">
        <w:t xml:space="preserve"> </w:t>
      </w:r>
      <w:r>
        <w:t>productivity</w:t>
      </w:r>
      <w:r w:rsidR="0013032F">
        <w:t xml:space="preserve"> </w:t>
      </w:r>
      <w:r>
        <w:t>and</w:t>
      </w:r>
      <w:r w:rsidR="0013032F">
        <w:t xml:space="preserve"> </w:t>
      </w:r>
      <w:r>
        <w:t>competitiveness.</w:t>
      </w:r>
      <w:r w:rsidR="0013032F">
        <w:t xml:space="preserve"> </w:t>
      </w:r>
    </w:p>
    <w:p w14:paraId="16C91B43" w14:textId="40FD7407" w:rsidR="00757772" w:rsidRDefault="00305D3C" w:rsidP="008865EB">
      <w:pPr>
        <w:pStyle w:val="Heading2"/>
      </w:pPr>
      <w:bookmarkStart w:id="8" w:name="_Toc149566556"/>
      <w:r>
        <w:t>Regional</w:t>
      </w:r>
      <w:r w:rsidR="0013032F">
        <w:t xml:space="preserve"> </w:t>
      </w:r>
      <w:r>
        <w:t>Infrastructure</w:t>
      </w:r>
      <w:r w:rsidR="0013032F">
        <w:t xml:space="preserve"> </w:t>
      </w:r>
      <w:r>
        <w:t>Fund</w:t>
      </w:r>
      <w:bookmarkEnd w:id="8"/>
    </w:p>
    <w:p w14:paraId="3C279E46" w14:textId="5B7D79C1" w:rsidR="00757772" w:rsidRDefault="00305D3C" w:rsidP="008865EB">
      <w:r>
        <w:t>The</w:t>
      </w:r>
      <w:r w:rsidR="0013032F">
        <w:t xml:space="preserve"> </w:t>
      </w:r>
      <w:r>
        <w:t>Regional</w:t>
      </w:r>
      <w:r w:rsidR="0013032F">
        <w:t xml:space="preserve"> </w:t>
      </w:r>
      <w:r>
        <w:t>Infrastructure</w:t>
      </w:r>
      <w:r w:rsidR="0013032F">
        <w:t xml:space="preserve"> </w:t>
      </w:r>
      <w:r>
        <w:t>Fund</w:t>
      </w:r>
      <w:r w:rsidR="0013032F">
        <w:t xml:space="preserve"> </w:t>
      </w:r>
      <w:r>
        <w:t>(RIF)</w:t>
      </w:r>
      <w:r w:rsidR="0013032F">
        <w:t xml:space="preserve"> </w:t>
      </w:r>
      <w:r>
        <w:t>seeks</w:t>
      </w:r>
      <w:r w:rsidR="0013032F">
        <w:t xml:space="preserve"> </w:t>
      </w:r>
      <w:r>
        <w:t>to</w:t>
      </w:r>
      <w:r w:rsidR="0013032F">
        <w:t xml:space="preserve"> </w:t>
      </w:r>
      <w:r>
        <w:t>assist</w:t>
      </w:r>
      <w:r w:rsidR="0013032F">
        <w:t xml:space="preserve"> </w:t>
      </w:r>
      <w:r>
        <w:t>the</w:t>
      </w:r>
      <w:r w:rsidR="0013032F">
        <w:t xml:space="preserve"> </w:t>
      </w:r>
      <w:r>
        <w:t>growth</w:t>
      </w:r>
      <w:r w:rsidR="0013032F">
        <w:t xml:space="preserve"> </w:t>
      </w:r>
      <w:r>
        <w:t>of</w:t>
      </w:r>
      <w:r w:rsidR="0013032F">
        <w:t xml:space="preserve"> </w:t>
      </w:r>
      <w:r>
        <w:t>rural</w:t>
      </w:r>
      <w:r w:rsidR="0013032F">
        <w:t xml:space="preserve"> </w:t>
      </w:r>
      <w:r>
        <w:t>and</w:t>
      </w:r>
      <w:r w:rsidR="0013032F">
        <w:t xml:space="preserve"> </w:t>
      </w:r>
      <w:r>
        <w:t>regional</w:t>
      </w:r>
      <w:r w:rsidR="0013032F">
        <w:t xml:space="preserve"> </w:t>
      </w:r>
      <w:r>
        <w:t>Victoria</w:t>
      </w:r>
      <w:r w:rsidR="0013032F">
        <w:t xml:space="preserve"> </w:t>
      </w:r>
      <w:r>
        <w:t>by</w:t>
      </w:r>
      <w:r w:rsidR="0013032F">
        <w:t xml:space="preserve"> </w:t>
      </w:r>
      <w:r>
        <w:t>providing</w:t>
      </w:r>
      <w:r w:rsidR="0013032F">
        <w:t xml:space="preserve"> </w:t>
      </w:r>
      <w:r>
        <w:t>grants</w:t>
      </w:r>
      <w:r w:rsidR="0013032F">
        <w:t xml:space="preserve"> </w:t>
      </w:r>
      <w:r>
        <w:t>for</w:t>
      </w:r>
      <w:r w:rsidR="0013032F">
        <w:t xml:space="preserve"> </w:t>
      </w:r>
      <w:r>
        <w:t>infrastructure</w:t>
      </w:r>
      <w:r w:rsidR="0013032F">
        <w:t xml:space="preserve"> </w:t>
      </w:r>
      <w:r>
        <w:t>projects</w:t>
      </w:r>
      <w:r w:rsidR="0013032F">
        <w:t xml:space="preserve"> </w:t>
      </w:r>
      <w:r>
        <w:t>that</w:t>
      </w:r>
      <w:r w:rsidR="0013032F">
        <w:t xml:space="preserve"> </w:t>
      </w:r>
      <w:r>
        <w:t>have</w:t>
      </w:r>
      <w:r w:rsidR="0013032F">
        <w:t xml:space="preserve"> </w:t>
      </w:r>
      <w:r>
        <w:t>the</w:t>
      </w:r>
      <w:r w:rsidR="0013032F">
        <w:t xml:space="preserve"> </w:t>
      </w:r>
      <w:r>
        <w:t>potential</w:t>
      </w:r>
      <w:r w:rsidR="0013032F">
        <w:t xml:space="preserve"> </w:t>
      </w:r>
      <w:r>
        <w:t>to</w:t>
      </w:r>
      <w:r w:rsidR="0013032F">
        <w:t xml:space="preserve"> </w:t>
      </w:r>
      <w:r>
        <w:t>stimulate</w:t>
      </w:r>
      <w:r w:rsidR="0013032F">
        <w:t xml:space="preserve"> </w:t>
      </w:r>
      <w:r>
        <w:t>economic</w:t>
      </w:r>
      <w:r w:rsidR="0013032F">
        <w:t xml:space="preserve"> </w:t>
      </w:r>
      <w:r>
        <w:t>and</w:t>
      </w:r>
      <w:r w:rsidR="0013032F">
        <w:t xml:space="preserve"> </w:t>
      </w:r>
      <w:r>
        <w:t>community</w:t>
      </w:r>
      <w:r w:rsidR="0013032F">
        <w:t xml:space="preserve"> </w:t>
      </w:r>
      <w:r>
        <w:t>development.</w:t>
      </w:r>
    </w:p>
    <w:p w14:paraId="56EFC177" w14:textId="4EF8FFAA" w:rsidR="00757772" w:rsidRDefault="00305D3C" w:rsidP="008865EB">
      <w:pPr>
        <w:pStyle w:val="Heading2"/>
      </w:pPr>
      <w:bookmarkStart w:id="9" w:name="_Toc149566557"/>
      <w:r>
        <w:t>Investment</w:t>
      </w:r>
      <w:r w:rsidR="0013032F">
        <w:t xml:space="preserve"> </w:t>
      </w:r>
      <w:r>
        <w:t>Fast-Track</w:t>
      </w:r>
      <w:r w:rsidR="0013032F">
        <w:t xml:space="preserve"> </w:t>
      </w:r>
      <w:r>
        <w:t>Fund</w:t>
      </w:r>
      <w:bookmarkEnd w:id="9"/>
    </w:p>
    <w:p w14:paraId="46DDCA7F" w14:textId="058EE709" w:rsidR="00757772" w:rsidRDefault="00305D3C" w:rsidP="008865EB">
      <w:r>
        <w:t>The</w:t>
      </w:r>
      <w:r w:rsidR="0013032F">
        <w:t xml:space="preserve"> </w:t>
      </w:r>
      <w:r>
        <w:t>Investment</w:t>
      </w:r>
      <w:r w:rsidR="0013032F">
        <w:t xml:space="preserve"> </w:t>
      </w:r>
      <w:r>
        <w:t>Fast</w:t>
      </w:r>
      <w:r>
        <w:noBreakHyphen/>
        <w:t>Track</w:t>
      </w:r>
      <w:r w:rsidR="0013032F">
        <w:t xml:space="preserve"> </w:t>
      </w:r>
      <w:r>
        <w:t>Fund</w:t>
      </w:r>
      <w:r w:rsidR="0013032F">
        <w:t xml:space="preserve"> </w:t>
      </w:r>
      <w:r>
        <w:t>supports</w:t>
      </w:r>
      <w:r w:rsidR="0013032F">
        <w:t xml:space="preserve"> </w:t>
      </w:r>
      <w:r>
        <w:t>activities</w:t>
      </w:r>
      <w:r w:rsidR="0013032F">
        <w:t xml:space="preserve"> </w:t>
      </w:r>
      <w:r>
        <w:t>that</w:t>
      </w:r>
      <w:r w:rsidR="0013032F">
        <w:t xml:space="preserve"> </w:t>
      </w:r>
      <w:r>
        <w:t>mobilise</w:t>
      </w:r>
      <w:r w:rsidR="0013032F">
        <w:t xml:space="preserve"> </w:t>
      </w:r>
      <w:r>
        <w:t>medium</w:t>
      </w:r>
      <w:r w:rsidR="0013032F">
        <w:t xml:space="preserve"> </w:t>
      </w:r>
      <w:r>
        <w:t>to</w:t>
      </w:r>
      <w:r w:rsidR="0013032F">
        <w:t xml:space="preserve"> </w:t>
      </w:r>
      <w:r>
        <w:t>long</w:t>
      </w:r>
      <w:r>
        <w:noBreakHyphen/>
        <w:t>term</w:t>
      </w:r>
      <w:r w:rsidR="0013032F">
        <w:t xml:space="preserve"> </w:t>
      </w:r>
      <w:r>
        <w:t>investment</w:t>
      </w:r>
      <w:r w:rsidR="0013032F">
        <w:t xml:space="preserve"> </w:t>
      </w:r>
      <w:r>
        <w:t>projects</w:t>
      </w:r>
      <w:r w:rsidR="0013032F">
        <w:t xml:space="preserve"> </w:t>
      </w:r>
      <w:r>
        <w:t>by</w:t>
      </w:r>
      <w:r w:rsidR="0013032F">
        <w:t xml:space="preserve"> </w:t>
      </w:r>
      <w:r>
        <w:t>fast</w:t>
      </w:r>
      <w:r>
        <w:noBreakHyphen/>
        <w:t>tracking</w:t>
      </w:r>
      <w:r w:rsidR="0013032F">
        <w:t xml:space="preserve"> </w:t>
      </w:r>
      <w:r>
        <w:t>business</w:t>
      </w:r>
      <w:r w:rsidR="0013032F">
        <w:t xml:space="preserve"> </w:t>
      </w:r>
      <w:r>
        <w:t>case</w:t>
      </w:r>
      <w:r w:rsidR="0013032F">
        <w:t xml:space="preserve"> </w:t>
      </w:r>
      <w:r>
        <w:t>development</w:t>
      </w:r>
      <w:r w:rsidR="0013032F">
        <w:t xml:space="preserve"> </w:t>
      </w:r>
      <w:r>
        <w:t>and</w:t>
      </w:r>
      <w:r w:rsidR="0013032F">
        <w:t xml:space="preserve"> </w:t>
      </w:r>
      <w:r>
        <w:t>planning.</w:t>
      </w:r>
      <w:r w:rsidR="0013032F">
        <w:t xml:space="preserve"> </w:t>
      </w:r>
      <w:r>
        <w:t>It</w:t>
      </w:r>
      <w:r w:rsidR="0013032F">
        <w:t xml:space="preserve"> </w:t>
      </w:r>
      <w:r>
        <w:t>aims</w:t>
      </w:r>
      <w:r w:rsidR="0013032F">
        <w:t xml:space="preserve"> </w:t>
      </w:r>
      <w:r>
        <w:t>to</w:t>
      </w:r>
      <w:r w:rsidR="0013032F">
        <w:t xml:space="preserve"> </w:t>
      </w:r>
      <w:r>
        <w:t>increase</w:t>
      </w:r>
      <w:r w:rsidR="0013032F">
        <w:t xml:space="preserve"> </w:t>
      </w:r>
      <w:r>
        <w:t>the</w:t>
      </w:r>
      <w:r w:rsidR="0013032F">
        <w:t xml:space="preserve"> </w:t>
      </w:r>
      <w:r>
        <w:t>pipeline</w:t>
      </w:r>
      <w:r w:rsidR="0013032F">
        <w:t xml:space="preserve"> </w:t>
      </w:r>
      <w:r>
        <w:t>of</w:t>
      </w:r>
      <w:r w:rsidR="0013032F">
        <w:t xml:space="preserve"> </w:t>
      </w:r>
      <w:r>
        <w:t>investment</w:t>
      </w:r>
      <w:r>
        <w:noBreakHyphen/>
        <w:t>ready</w:t>
      </w:r>
      <w:r w:rsidR="0013032F">
        <w:t xml:space="preserve"> </w:t>
      </w:r>
      <w:r>
        <w:t>projects</w:t>
      </w:r>
      <w:r w:rsidR="0013032F">
        <w:t xml:space="preserve"> </w:t>
      </w:r>
      <w:r>
        <w:t>to</w:t>
      </w:r>
      <w:r w:rsidR="0013032F">
        <w:t xml:space="preserve"> </w:t>
      </w:r>
      <w:r>
        <w:t>boost</w:t>
      </w:r>
      <w:r w:rsidR="0013032F">
        <w:t xml:space="preserve"> </w:t>
      </w:r>
      <w:r>
        <w:t>employment</w:t>
      </w:r>
      <w:r w:rsidR="0013032F">
        <w:t xml:space="preserve"> </w:t>
      </w:r>
      <w:r>
        <w:t>and</w:t>
      </w:r>
      <w:r w:rsidR="0013032F">
        <w:t xml:space="preserve"> </w:t>
      </w:r>
      <w:r>
        <w:t>improve</w:t>
      </w:r>
      <w:r w:rsidR="0013032F">
        <w:t xml:space="preserve"> </w:t>
      </w:r>
      <w:r>
        <w:t>the</w:t>
      </w:r>
      <w:r w:rsidR="0013032F">
        <w:t xml:space="preserve"> </w:t>
      </w:r>
      <w:r>
        <w:t>liveability</w:t>
      </w:r>
      <w:r w:rsidR="0013032F">
        <w:t xml:space="preserve"> </w:t>
      </w:r>
      <w:r>
        <w:t>of</w:t>
      </w:r>
      <w:r w:rsidR="0013032F">
        <w:t xml:space="preserve"> </w:t>
      </w:r>
      <w:r>
        <w:t>rural</w:t>
      </w:r>
      <w:r w:rsidR="0013032F">
        <w:t xml:space="preserve"> </w:t>
      </w:r>
      <w:r>
        <w:t>and</w:t>
      </w:r>
      <w:r w:rsidR="0013032F">
        <w:t xml:space="preserve"> </w:t>
      </w:r>
      <w:r>
        <w:t>regional</w:t>
      </w:r>
      <w:r w:rsidR="0013032F">
        <w:t xml:space="preserve"> </w:t>
      </w:r>
      <w:r>
        <w:t>Victoria.</w:t>
      </w:r>
    </w:p>
    <w:p w14:paraId="5641E6CF" w14:textId="7BDF998C" w:rsidR="008865EB" w:rsidRDefault="008865EB" w:rsidP="008865EB">
      <w:commentRangeStart w:id="10"/>
      <w:r>
        <w:rPr>
          <w:noProof/>
        </w:rPr>
        <w:lastRenderedPageBreak/>
        <w:drawing>
          <wp:inline distT="0" distB="0" distL="0" distR="0" wp14:anchorId="4C127C81" wp14:editId="00C35FC2">
            <wp:extent cx="6048768" cy="4325121"/>
            <wp:effectExtent l="0" t="0" r="9525" b="0"/>
            <wp:docPr id="2" name="Picture 2" descr="A diagram of a company's financial f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iagram of a company's financial fund&#10;&#10;Description automatically generated with medium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48768" cy="4325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10"/>
      <w:r>
        <w:rPr>
          <w:rStyle w:val="CommentReference"/>
        </w:rPr>
        <w:commentReference w:id="10"/>
      </w:r>
    </w:p>
    <w:p w14:paraId="4583B3B2" w14:textId="706586EE" w:rsidR="00757772" w:rsidRDefault="00305D3C" w:rsidP="008865EB">
      <w:pPr>
        <w:pStyle w:val="Heading1"/>
      </w:pPr>
      <w:bookmarkStart w:id="11" w:name="_Toc149566558"/>
      <w:r>
        <w:lastRenderedPageBreak/>
        <w:t>Regional</w:t>
      </w:r>
      <w:r w:rsidR="0013032F">
        <w:t xml:space="preserve"> </w:t>
      </w:r>
      <w:r>
        <w:t>Partnerships</w:t>
      </w:r>
      <w:bookmarkEnd w:id="11"/>
    </w:p>
    <w:p w14:paraId="68917CA4" w14:textId="77777777" w:rsidR="00757772" w:rsidRDefault="00305D3C" w:rsidP="008865EB">
      <w:pPr>
        <w:pStyle w:val="Heading2"/>
      </w:pPr>
      <w:bookmarkStart w:id="12" w:name="_Toc149566559"/>
      <w:r>
        <w:t>Overview</w:t>
      </w:r>
      <w:bookmarkEnd w:id="12"/>
    </w:p>
    <w:p w14:paraId="30679CA2" w14:textId="08C9F94E" w:rsidR="00757772" w:rsidRPr="00095514" w:rsidRDefault="00305D3C" w:rsidP="00095514">
      <w:r w:rsidRPr="00095514">
        <w:t>The</w:t>
      </w:r>
      <w:r w:rsidR="0013032F" w:rsidRPr="00095514">
        <w:t xml:space="preserve"> </w:t>
      </w:r>
      <w:r w:rsidRPr="00095514">
        <w:t>Victorian</w:t>
      </w:r>
      <w:r w:rsidR="0013032F" w:rsidRPr="00095514">
        <w:t xml:space="preserve"> </w:t>
      </w:r>
      <w:r w:rsidRPr="00095514">
        <w:t>Government</w:t>
      </w:r>
      <w:r w:rsidR="0013032F" w:rsidRPr="00095514">
        <w:t xml:space="preserve"> </w:t>
      </w:r>
      <w:r w:rsidRPr="00095514">
        <w:t>established</w:t>
      </w:r>
      <w:r w:rsidR="0013032F" w:rsidRPr="00095514">
        <w:t xml:space="preserve"> </w:t>
      </w:r>
      <w:r w:rsidRPr="00095514">
        <w:t>Victoria’s</w:t>
      </w:r>
      <w:r w:rsidR="0013032F" w:rsidRPr="00095514">
        <w:t xml:space="preserve"> </w:t>
      </w:r>
      <w:r w:rsidRPr="00095514">
        <w:t>Regional</w:t>
      </w:r>
      <w:r w:rsidR="0013032F" w:rsidRPr="00095514">
        <w:t xml:space="preserve"> </w:t>
      </w:r>
      <w:r w:rsidRPr="00095514">
        <w:t>Partnerships</w:t>
      </w:r>
      <w:r w:rsidR="0013032F" w:rsidRPr="00095514">
        <w:t xml:space="preserve"> </w:t>
      </w:r>
      <w:r w:rsidRPr="00095514">
        <w:t>in</w:t>
      </w:r>
      <w:r w:rsidR="0013032F" w:rsidRPr="00095514">
        <w:t xml:space="preserve"> </w:t>
      </w:r>
      <w:r w:rsidRPr="00095514">
        <w:t>2016,</w:t>
      </w:r>
      <w:r w:rsidR="0013032F" w:rsidRPr="00095514">
        <w:t xml:space="preserve"> </w:t>
      </w:r>
      <w:r w:rsidRPr="00095514">
        <w:t>recognising</w:t>
      </w:r>
      <w:r w:rsidR="0013032F" w:rsidRPr="00095514">
        <w:t xml:space="preserve"> </w:t>
      </w:r>
      <w:r w:rsidRPr="00095514">
        <w:t>that</w:t>
      </w:r>
      <w:r w:rsidR="0013032F" w:rsidRPr="00095514">
        <w:t xml:space="preserve"> </w:t>
      </w:r>
      <w:r w:rsidRPr="00095514">
        <w:t>local</w:t>
      </w:r>
      <w:r w:rsidR="0013032F" w:rsidRPr="00095514">
        <w:t xml:space="preserve"> </w:t>
      </w:r>
      <w:r w:rsidRPr="00095514">
        <w:t>communities</w:t>
      </w:r>
      <w:r w:rsidR="0013032F" w:rsidRPr="00095514">
        <w:t xml:space="preserve"> </w:t>
      </w:r>
      <w:r w:rsidRPr="00095514">
        <w:t>are</w:t>
      </w:r>
      <w:r w:rsidR="0013032F" w:rsidRPr="00095514">
        <w:t xml:space="preserve"> </w:t>
      </w:r>
      <w:r w:rsidRPr="00095514">
        <w:t>in</w:t>
      </w:r>
      <w:r w:rsidR="0013032F" w:rsidRPr="00095514">
        <w:t xml:space="preserve"> </w:t>
      </w:r>
      <w:r w:rsidRPr="00095514">
        <w:t>the</w:t>
      </w:r>
      <w:r w:rsidR="0013032F" w:rsidRPr="00095514">
        <w:t xml:space="preserve"> </w:t>
      </w:r>
      <w:r w:rsidRPr="00095514">
        <w:t>best</w:t>
      </w:r>
      <w:r w:rsidR="0013032F" w:rsidRPr="00095514">
        <w:t xml:space="preserve"> </w:t>
      </w:r>
      <w:r w:rsidRPr="00095514">
        <w:t>position</w:t>
      </w:r>
      <w:r w:rsidR="0013032F" w:rsidRPr="00095514">
        <w:t xml:space="preserve"> </w:t>
      </w:r>
      <w:r w:rsidRPr="00095514">
        <w:t>to</w:t>
      </w:r>
      <w:r w:rsidR="0013032F" w:rsidRPr="00095514">
        <w:t xml:space="preserve"> </w:t>
      </w:r>
      <w:r w:rsidRPr="00095514">
        <w:t>understand</w:t>
      </w:r>
      <w:r w:rsidR="0013032F" w:rsidRPr="00095514">
        <w:t xml:space="preserve"> </w:t>
      </w:r>
      <w:r w:rsidRPr="00095514">
        <w:t>the</w:t>
      </w:r>
      <w:r w:rsidR="0013032F" w:rsidRPr="00095514">
        <w:t xml:space="preserve"> </w:t>
      </w:r>
      <w:r w:rsidRPr="00095514">
        <w:t>challenges</w:t>
      </w:r>
      <w:r w:rsidR="0013032F" w:rsidRPr="00095514">
        <w:t xml:space="preserve"> </w:t>
      </w:r>
      <w:r w:rsidRPr="00095514">
        <w:t>and</w:t>
      </w:r>
      <w:r w:rsidR="0013032F" w:rsidRPr="00095514">
        <w:t xml:space="preserve"> </w:t>
      </w:r>
      <w:r w:rsidRPr="00095514">
        <w:t>opportunities</w:t>
      </w:r>
      <w:r w:rsidR="0013032F" w:rsidRPr="00095514">
        <w:t xml:space="preserve"> </w:t>
      </w:r>
      <w:r w:rsidRPr="00095514">
        <w:t>faced</w:t>
      </w:r>
      <w:r w:rsidR="0013032F" w:rsidRPr="00095514">
        <w:t xml:space="preserve"> </w:t>
      </w:r>
      <w:r w:rsidRPr="00095514">
        <w:t>by</w:t>
      </w:r>
      <w:r w:rsidR="0013032F" w:rsidRPr="00095514">
        <w:t xml:space="preserve"> </w:t>
      </w:r>
      <w:r w:rsidRPr="00095514">
        <w:t>their</w:t>
      </w:r>
      <w:r w:rsidR="0013032F" w:rsidRPr="00095514">
        <w:t xml:space="preserve"> </w:t>
      </w:r>
      <w:r w:rsidRPr="00095514">
        <w:t>regions.</w:t>
      </w:r>
    </w:p>
    <w:p w14:paraId="11F0D2C3" w14:textId="64F66B37" w:rsidR="00757772" w:rsidRPr="00095514" w:rsidRDefault="00305D3C" w:rsidP="00095514">
      <w:r w:rsidRPr="00095514">
        <w:t>Partnerships</w:t>
      </w:r>
      <w:r w:rsidR="0013032F" w:rsidRPr="00095514">
        <w:t xml:space="preserve"> </w:t>
      </w:r>
      <w:r w:rsidRPr="00095514">
        <w:t>ensure</w:t>
      </w:r>
      <w:r w:rsidR="0013032F" w:rsidRPr="00095514">
        <w:t xml:space="preserve"> </w:t>
      </w:r>
      <w:r w:rsidRPr="00095514">
        <w:t>that</w:t>
      </w:r>
      <w:r w:rsidR="0013032F" w:rsidRPr="00095514">
        <w:t xml:space="preserve"> </w:t>
      </w:r>
      <w:r w:rsidRPr="00095514">
        <w:t>regional</w:t>
      </w:r>
      <w:r w:rsidR="0013032F" w:rsidRPr="00095514">
        <w:t xml:space="preserve"> </w:t>
      </w:r>
      <w:r w:rsidRPr="00095514">
        <w:t>communities</w:t>
      </w:r>
      <w:r w:rsidR="0013032F" w:rsidRPr="00095514">
        <w:t xml:space="preserve"> </w:t>
      </w:r>
      <w:r w:rsidRPr="00095514">
        <w:t>not</w:t>
      </w:r>
      <w:r w:rsidR="0013032F" w:rsidRPr="00095514">
        <w:t xml:space="preserve"> </w:t>
      </w:r>
      <w:r w:rsidRPr="00095514">
        <w:t>only</w:t>
      </w:r>
      <w:r w:rsidR="0013032F" w:rsidRPr="00095514">
        <w:t xml:space="preserve"> </w:t>
      </w:r>
      <w:r w:rsidRPr="00095514">
        <w:t>have</w:t>
      </w:r>
      <w:r w:rsidR="0013032F" w:rsidRPr="00095514">
        <w:t xml:space="preserve"> </w:t>
      </w:r>
      <w:r w:rsidRPr="00095514">
        <w:t>a</w:t>
      </w:r>
      <w:r w:rsidR="0013032F" w:rsidRPr="00095514">
        <w:t xml:space="preserve"> </w:t>
      </w:r>
      <w:r w:rsidRPr="00095514">
        <w:t>greater</w:t>
      </w:r>
      <w:r w:rsidR="0013032F" w:rsidRPr="00095514">
        <w:t xml:space="preserve"> </w:t>
      </w:r>
      <w:r w:rsidRPr="00095514">
        <w:t>say</w:t>
      </w:r>
      <w:r w:rsidR="0013032F" w:rsidRPr="00095514">
        <w:t xml:space="preserve"> </w:t>
      </w:r>
      <w:r w:rsidRPr="00095514">
        <w:t>in</w:t>
      </w:r>
      <w:r w:rsidR="0013032F" w:rsidRPr="00095514">
        <w:t xml:space="preserve"> </w:t>
      </w:r>
      <w:r w:rsidRPr="00095514">
        <w:t>what</w:t>
      </w:r>
      <w:r w:rsidR="0013032F" w:rsidRPr="00095514">
        <w:t xml:space="preserve"> </w:t>
      </w:r>
      <w:r w:rsidRPr="00095514">
        <w:t>matters</w:t>
      </w:r>
      <w:r w:rsidR="0013032F" w:rsidRPr="00095514">
        <w:t xml:space="preserve"> </w:t>
      </w:r>
      <w:r w:rsidRPr="00095514">
        <w:t>to</w:t>
      </w:r>
      <w:r w:rsidR="0013032F" w:rsidRPr="00095514">
        <w:t xml:space="preserve"> </w:t>
      </w:r>
      <w:r w:rsidRPr="00095514">
        <w:t>them</w:t>
      </w:r>
      <w:r w:rsidR="0013032F" w:rsidRPr="00095514">
        <w:t xml:space="preserve"> </w:t>
      </w:r>
      <w:r w:rsidRPr="00095514">
        <w:t>through</w:t>
      </w:r>
      <w:r w:rsidR="0013032F" w:rsidRPr="00095514">
        <w:t xml:space="preserve"> </w:t>
      </w:r>
      <w:r w:rsidRPr="00095514">
        <w:t>ongoing</w:t>
      </w:r>
      <w:r w:rsidR="0013032F" w:rsidRPr="00095514">
        <w:t xml:space="preserve"> </w:t>
      </w:r>
      <w:r w:rsidRPr="00095514">
        <w:t>consultation,</w:t>
      </w:r>
      <w:r w:rsidR="0013032F" w:rsidRPr="00095514">
        <w:t xml:space="preserve"> </w:t>
      </w:r>
      <w:r w:rsidRPr="00095514">
        <w:t>they</w:t>
      </w:r>
      <w:r w:rsidR="0013032F" w:rsidRPr="00095514">
        <w:t xml:space="preserve"> </w:t>
      </w:r>
      <w:r w:rsidRPr="00095514">
        <w:t>also</w:t>
      </w:r>
      <w:r w:rsidR="0013032F" w:rsidRPr="00095514">
        <w:t xml:space="preserve"> </w:t>
      </w:r>
      <w:r w:rsidRPr="00095514">
        <w:t>enable</w:t>
      </w:r>
      <w:r w:rsidR="0013032F" w:rsidRPr="00095514">
        <w:t xml:space="preserve"> </w:t>
      </w:r>
      <w:r w:rsidRPr="00095514">
        <w:t>voices</w:t>
      </w:r>
      <w:r w:rsidR="0013032F" w:rsidRPr="00095514">
        <w:t xml:space="preserve"> </w:t>
      </w:r>
      <w:r w:rsidRPr="00095514">
        <w:t>of</w:t>
      </w:r>
      <w:r w:rsidR="0013032F" w:rsidRPr="00095514">
        <w:t xml:space="preserve"> </w:t>
      </w:r>
      <w:r w:rsidRPr="00095514">
        <w:t>these</w:t>
      </w:r>
      <w:r w:rsidR="0013032F" w:rsidRPr="00095514">
        <w:t xml:space="preserve"> </w:t>
      </w:r>
      <w:r w:rsidRPr="00095514">
        <w:t>communities</w:t>
      </w:r>
      <w:r w:rsidR="0013032F" w:rsidRPr="00095514">
        <w:t xml:space="preserve"> </w:t>
      </w:r>
      <w:r w:rsidRPr="00095514">
        <w:t>to</w:t>
      </w:r>
      <w:r w:rsidR="0013032F" w:rsidRPr="00095514">
        <w:t xml:space="preserve"> </w:t>
      </w:r>
      <w:r w:rsidRPr="00095514">
        <w:t>be</w:t>
      </w:r>
      <w:r w:rsidR="0013032F" w:rsidRPr="00095514">
        <w:t xml:space="preserve"> </w:t>
      </w:r>
      <w:r w:rsidRPr="00095514">
        <w:t>heard</w:t>
      </w:r>
      <w:r w:rsidR="0013032F" w:rsidRPr="00095514">
        <w:t xml:space="preserve"> </w:t>
      </w:r>
      <w:r w:rsidRPr="00095514">
        <w:t>directly</w:t>
      </w:r>
      <w:r w:rsidR="0013032F" w:rsidRPr="00095514">
        <w:t xml:space="preserve"> </w:t>
      </w:r>
      <w:r w:rsidRPr="00095514">
        <w:t>by</w:t>
      </w:r>
      <w:r w:rsidR="0013032F" w:rsidRPr="00095514">
        <w:t xml:space="preserve"> </w:t>
      </w:r>
      <w:r w:rsidRPr="00095514">
        <w:t>government.</w:t>
      </w:r>
    </w:p>
    <w:p w14:paraId="5ED2497F" w14:textId="0F408234" w:rsidR="00757772" w:rsidRPr="00095514" w:rsidRDefault="00305D3C" w:rsidP="00095514">
      <w:r w:rsidRPr="00095514">
        <w:t>The</w:t>
      </w:r>
      <w:r w:rsidR="0013032F" w:rsidRPr="00095514">
        <w:t xml:space="preserve"> </w:t>
      </w:r>
      <w:r w:rsidRPr="00095514">
        <w:t>9</w:t>
      </w:r>
      <w:r w:rsidR="0013032F" w:rsidRPr="00095514">
        <w:t xml:space="preserve"> </w:t>
      </w:r>
      <w:r w:rsidRPr="00095514">
        <w:t>Regional</w:t>
      </w:r>
      <w:r w:rsidR="0013032F" w:rsidRPr="00095514">
        <w:t xml:space="preserve"> </w:t>
      </w:r>
      <w:r w:rsidRPr="00095514">
        <w:t>Partnerships</w:t>
      </w:r>
      <w:r w:rsidR="0013032F" w:rsidRPr="00095514">
        <w:t xml:space="preserve"> </w:t>
      </w:r>
      <w:r w:rsidRPr="00095514">
        <w:t>involves</w:t>
      </w:r>
      <w:r w:rsidR="0013032F" w:rsidRPr="00095514">
        <w:t xml:space="preserve"> </w:t>
      </w:r>
      <w:r w:rsidRPr="00095514">
        <w:t>more</w:t>
      </w:r>
      <w:r w:rsidR="0013032F" w:rsidRPr="00095514">
        <w:t xml:space="preserve"> </w:t>
      </w:r>
      <w:r w:rsidRPr="00095514">
        <w:t>than</w:t>
      </w:r>
      <w:r w:rsidR="0013032F" w:rsidRPr="00095514">
        <w:t xml:space="preserve"> </w:t>
      </w:r>
      <w:r w:rsidRPr="00095514">
        <w:t>150</w:t>
      </w:r>
      <w:r w:rsidR="0013032F" w:rsidRPr="00095514">
        <w:t xml:space="preserve"> </w:t>
      </w:r>
      <w:r w:rsidRPr="00095514">
        <w:t>committed</w:t>
      </w:r>
      <w:r w:rsidR="0013032F" w:rsidRPr="00095514">
        <w:t xml:space="preserve"> </w:t>
      </w:r>
      <w:r w:rsidRPr="00095514">
        <w:t>local</w:t>
      </w:r>
      <w:r w:rsidR="0013032F" w:rsidRPr="00095514">
        <w:t xml:space="preserve"> </w:t>
      </w:r>
      <w:r w:rsidRPr="00095514">
        <w:t>leaders,</w:t>
      </w:r>
      <w:r w:rsidR="0013032F" w:rsidRPr="00095514">
        <w:t xml:space="preserve"> </w:t>
      </w:r>
      <w:r w:rsidRPr="00095514">
        <w:t>including</w:t>
      </w:r>
      <w:r w:rsidR="0013032F" w:rsidRPr="00095514">
        <w:t xml:space="preserve"> </w:t>
      </w:r>
      <w:r w:rsidRPr="00095514">
        <w:t>business</w:t>
      </w:r>
      <w:r w:rsidR="0013032F" w:rsidRPr="00095514">
        <w:t xml:space="preserve"> </w:t>
      </w:r>
      <w:r w:rsidRPr="00095514">
        <w:t>and</w:t>
      </w:r>
      <w:r w:rsidR="0013032F" w:rsidRPr="00095514">
        <w:t xml:space="preserve"> </w:t>
      </w:r>
      <w:r w:rsidRPr="00095514">
        <w:t>community</w:t>
      </w:r>
      <w:r w:rsidR="0013032F" w:rsidRPr="00095514">
        <w:t xml:space="preserve"> </w:t>
      </w:r>
      <w:r w:rsidRPr="00095514">
        <w:t>members,</w:t>
      </w:r>
      <w:r w:rsidR="0013032F" w:rsidRPr="00095514">
        <w:t xml:space="preserve"> </w:t>
      </w:r>
      <w:r w:rsidRPr="00095514">
        <w:t>Regional</w:t>
      </w:r>
      <w:r w:rsidR="0013032F" w:rsidRPr="00095514">
        <w:t xml:space="preserve"> </w:t>
      </w:r>
      <w:r w:rsidRPr="00095514">
        <w:t>Development</w:t>
      </w:r>
      <w:r w:rsidR="0013032F" w:rsidRPr="00095514">
        <w:t xml:space="preserve"> </w:t>
      </w:r>
      <w:r w:rsidRPr="00095514">
        <w:t>Australia</w:t>
      </w:r>
      <w:r w:rsidR="0013032F" w:rsidRPr="00095514">
        <w:t xml:space="preserve"> </w:t>
      </w:r>
      <w:r w:rsidRPr="00095514">
        <w:t>(RDA)</w:t>
      </w:r>
      <w:r w:rsidR="0013032F" w:rsidRPr="00095514">
        <w:t xml:space="preserve"> </w:t>
      </w:r>
      <w:r w:rsidRPr="00095514">
        <w:t>representatives,</w:t>
      </w:r>
      <w:r w:rsidR="0013032F" w:rsidRPr="00095514">
        <w:t xml:space="preserve"> </w:t>
      </w:r>
      <w:r w:rsidRPr="00095514">
        <w:t>local</w:t>
      </w:r>
      <w:r w:rsidR="0013032F" w:rsidRPr="00095514">
        <w:t xml:space="preserve"> </w:t>
      </w:r>
      <w:r w:rsidRPr="00095514">
        <w:t>government</w:t>
      </w:r>
      <w:r w:rsidR="0013032F" w:rsidRPr="00095514">
        <w:t xml:space="preserve"> </w:t>
      </w:r>
      <w:r w:rsidRPr="00095514">
        <w:t>CEOs</w:t>
      </w:r>
      <w:r w:rsidR="0013032F" w:rsidRPr="00095514">
        <w:t xml:space="preserve"> </w:t>
      </w:r>
      <w:r w:rsidRPr="00095514">
        <w:t>and</w:t>
      </w:r>
      <w:r w:rsidR="0013032F" w:rsidRPr="00095514">
        <w:t xml:space="preserve"> </w:t>
      </w:r>
      <w:r w:rsidRPr="00095514">
        <w:t>appointed</w:t>
      </w:r>
      <w:r w:rsidR="0013032F" w:rsidRPr="00095514">
        <w:t xml:space="preserve"> </w:t>
      </w:r>
      <w:r w:rsidRPr="00095514">
        <w:t>senior</w:t>
      </w:r>
      <w:r w:rsidR="0013032F" w:rsidRPr="00095514">
        <w:t xml:space="preserve"> </w:t>
      </w:r>
      <w:r w:rsidRPr="00095514">
        <w:t>Victorian</w:t>
      </w:r>
      <w:r w:rsidR="0013032F" w:rsidRPr="00095514">
        <w:t xml:space="preserve"> </w:t>
      </w:r>
      <w:r w:rsidRPr="00095514">
        <w:t>Government</w:t>
      </w:r>
      <w:r w:rsidR="0013032F" w:rsidRPr="00095514">
        <w:t xml:space="preserve"> </w:t>
      </w:r>
      <w:r w:rsidRPr="00095514">
        <w:t>officials.</w:t>
      </w:r>
    </w:p>
    <w:p w14:paraId="445A71FE" w14:textId="1CF78E19" w:rsidR="00757772" w:rsidRPr="00095514" w:rsidRDefault="00305D3C" w:rsidP="00095514">
      <w:r w:rsidRPr="00095514">
        <w:t>Membership</w:t>
      </w:r>
      <w:r w:rsidR="0013032F" w:rsidRPr="00095514">
        <w:t xml:space="preserve"> </w:t>
      </w:r>
      <w:r w:rsidRPr="00095514">
        <w:t>of</w:t>
      </w:r>
      <w:r w:rsidR="0013032F" w:rsidRPr="00095514">
        <w:t xml:space="preserve"> </w:t>
      </w:r>
      <w:r w:rsidRPr="00095514">
        <w:t>Regional</w:t>
      </w:r>
      <w:r w:rsidR="0013032F" w:rsidRPr="00095514">
        <w:t xml:space="preserve"> </w:t>
      </w:r>
      <w:r w:rsidRPr="00095514">
        <w:t>Partnerships</w:t>
      </w:r>
      <w:r w:rsidR="0013032F" w:rsidRPr="00095514">
        <w:t xml:space="preserve"> </w:t>
      </w:r>
      <w:r w:rsidRPr="00095514">
        <w:t>reflects</w:t>
      </w:r>
      <w:r w:rsidR="0013032F" w:rsidRPr="00095514">
        <w:t xml:space="preserve"> </w:t>
      </w:r>
      <w:r w:rsidRPr="00095514">
        <w:t>the</w:t>
      </w:r>
      <w:r w:rsidR="0013032F" w:rsidRPr="00095514">
        <w:t xml:space="preserve"> </w:t>
      </w:r>
      <w:r w:rsidRPr="00095514">
        <w:t>diversity</w:t>
      </w:r>
      <w:r w:rsidR="0013032F" w:rsidRPr="00095514">
        <w:t xml:space="preserve"> </w:t>
      </w:r>
      <w:r w:rsidRPr="00095514">
        <w:t>of</w:t>
      </w:r>
      <w:r w:rsidR="0013032F" w:rsidRPr="00095514">
        <w:t xml:space="preserve"> </w:t>
      </w:r>
      <w:r w:rsidRPr="00095514">
        <w:t>Victoria’s</w:t>
      </w:r>
      <w:r w:rsidR="0013032F" w:rsidRPr="00095514">
        <w:t xml:space="preserve"> </w:t>
      </w:r>
      <w:r w:rsidRPr="00095514">
        <w:t>regions.</w:t>
      </w:r>
      <w:r w:rsidR="0013032F" w:rsidRPr="00095514">
        <w:t xml:space="preserve"> </w:t>
      </w:r>
      <w:r w:rsidRPr="00095514">
        <w:t>Over</w:t>
      </w:r>
      <w:r w:rsidR="0013032F" w:rsidRPr="00095514">
        <w:t xml:space="preserve"> </w:t>
      </w:r>
      <w:r w:rsidRPr="00095514">
        <w:t>successive</w:t>
      </w:r>
      <w:r w:rsidR="0013032F" w:rsidRPr="00095514">
        <w:t xml:space="preserve"> </w:t>
      </w:r>
      <w:r w:rsidRPr="00095514">
        <w:t>years,</w:t>
      </w:r>
      <w:r w:rsidR="0013032F" w:rsidRPr="00095514">
        <w:t xml:space="preserve"> </w:t>
      </w:r>
      <w:r w:rsidRPr="00095514">
        <w:t>more</w:t>
      </w:r>
      <w:r w:rsidR="0013032F" w:rsidRPr="00095514">
        <w:t xml:space="preserve"> </w:t>
      </w:r>
      <w:r w:rsidRPr="00095514">
        <w:t>First</w:t>
      </w:r>
      <w:r w:rsidR="0013032F" w:rsidRPr="00095514">
        <w:t xml:space="preserve"> </w:t>
      </w:r>
      <w:r w:rsidRPr="00095514">
        <w:t>Nation</w:t>
      </w:r>
      <w:r w:rsidR="0013032F" w:rsidRPr="00095514">
        <w:t xml:space="preserve"> </w:t>
      </w:r>
      <w:r w:rsidRPr="00095514">
        <w:t>members</w:t>
      </w:r>
      <w:r w:rsidR="0013032F" w:rsidRPr="00095514">
        <w:t xml:space="preserve"> </w:t>
      </w:r>
      <w:r w:rsidRPr="00095514">
        <w:t>have</w:t>
      </w:r>
      <w:r w:rsidR="0013032F" w:rsidRPr="00095514">
        <w:t xml:space="preserve"> </w:t>
      </w:r>
      <w:r w:rsidRPr="00095514">
        <w:t>joined</w:t>
      </w:r>
      <w:r w:rsidR="0013032F" w:rsidRPr="00095514">
        <w:t xml:space="preserve"> </w:t>
      </w:r>
      <w:r w:rsidRPr="00095514">
        <w:t>Regional</w:t>
      </w:r>
      <w:r w:rsidR="0013032F" w:rsidRPr="00095514">
        <w:t xml:space="preserve"> </w:t>
      </w:r>
      <w:r w:rsidRPr="00095514">
        <w:t>Partnerships</w:t>
      </w:r>
      <w:r w:rsidR="0013032F" w:rsidRPr="00095514">
        <w:t xml:space="preserve"> </w:t>
      </w:r>
      <w:r w:rsidRPr="00095514">
        <w:t>and</w:t>
      </w:r>
      <w:r w:rsidR="0013032F" w:rsidRPr="00095514">
        <w:t xml:space="preserve"> </w:t>
      </w:r>
      <w:r w:rsidRPr="00095514">
        <w:t>there</w:t>
      </w:r>
      <w:r w:rsidR="0013032F" w:rsidRPr="00095514">
        <w:t xml:space="preserve"> </w:t>
      </w:r>
      <w:r w:rsidRPr="00095514">
        <w:t>is</w:t>
      </w:r>
      <w:r w:rsidR="0013032F" w:rsidRPr="00095514">
        <w:t xml:space="preserve"> </w:t>
      </w:r>
      <w:r w:rsidRPr="00095514">
        <w:t>a</w:t>
      </w:r>
      <w:r w:rsidR="0013032F" w:rsidRPr="00095514">
        <w:t xml:space="preserve"> </w:t>
      </w:r>
      <w:r w:rsidRPr="00095514">
        <w:t>greater</w:t>
      </w:r>
      <w:r w:rsidR="0013032F" w:rsidRPr="00095514">
        <w:t xml:space="preserve"> </w:t>
      </w:r>
      <w:r w:rsidRPr="00095514">
        <w:t>representation</w:t>
      </w:r>
      <w:r w:rsidR="0013032F" w:rsidRPr="00095514">
        <w:t xml:space="preserve"> </w:t>
      </w:r>
      <w:r w:rsidRPr="00095514">
        <w:t>of</w:t>
      </w:r>
      <w:r w:rsidR="0013032F" w:rsidRPr="00095514">
        <w:t xml:space="preserve"> </w:t>
      </w:r>
      <w:r w:rsidRPr="00095514">
        <w:t>women,</w:t>
      </w:r>
      <w:r w:rsidR="0013032F" w:rsidRPr="00095514">
        <w:t xml:space="preserve"> </w:t>
      </w:r>
      <w:r w:rsidRPr="00095514">
        <w:t>LGBTIQ+</w:t>
      </w:r>
      <w:r w:rsidR="0013032F" w:rsidRPr="00095514">
        <w:t xml:space="preserve"> </w:t>
      </w:r>
      <w:r w:rsidRPr="00095514">
        <w:t>communities</w:t>
      </w:r>
      <w:r w:rsidR="0013032F" w:rsidRPr="00095514">
        <w:t xml:space="preserve"> </w:t>
      </w:r>
      <w:r w:rsidRPr="00095514">
        <w:t>and</w:t>
      </w:r>
      <w:r w:rsidR="0013032F" w:rsidRPr="00095514">
        <w:t xml:space="preserve"> </w:t>
      </w:r>
      <w:r w:rsidRPr="00095514">
        <w:t>people</w:t>
      </w:r>
      <w:r w:rsidR="0013032F" w:rsidRPr="00095514">
        <w:t xml:space="preserve"> </w:t>
      </w:r>
      <w:r w:rsidRPr="00095514">
        <w:t>with</w:t>
      </w:r>
      <w:r w:rsidR="0013032F" w:rsidRPr="00095514">
        <w:t xml:space="preserve"> </w:t>
      </w:r>
      <w:r w:rsidRPr="00095514">
        <w:t>disability.</w:t>
      </w:r>
    </w:p>
    <w:p w14:paraId="5CD3E37B" w14:textId="2A38BB7E" w:rsidR="00757772" w:rsidRPr="00095514" w:rsidRDefault="00305D3C" w:rsidP="00095514">
      <w:r w:rsidRPr="00095514">
        <w:t>Since</w:t>
      </w:r>
      <w:r w:rsidR="0013032F" w:rsidRPr="00095514">
        <w:t xml:space="preserve"> </w:t>
      </w:r>
      <w:r w:rsidRPr="00095514">
        <w:t>inception,</w:t>
      </w:r>
      <w:r w:rsidR="0013032F" w:rsidRPr="00095514">
        <w:t xml:space="preserve"> </w:t>
      </w:r>
      <w:r w:rsidRPr="00095514">
        <w:t>the</w:t>
      </w:r>
      <w:r w:rsidR="0013032F" w:rsidRPr="00095514">
        <w:t xml:space="preserve"> </w:t>
      </w:r>
      <w:r w:rsidRPr="00095514">
        <w:t>Regional</w:t>
      </w:r>
      <w:r w:rsidR="0013032F" w:rsidRPr="00095514">
        <w:t xml:space="preserve"> </w:t>
      </w:r>
      <w:r w:rsidRPr="00095514">
        <w:t>Partnerships</w:t>
      </w:r>
      <w:r w:rsidR="0013032F" w:rsidRPr="00095514">
        <w:t xml:space="preserve"> </w:t>
      </w:r>
      <w:r w:rsidRPr="00095514">
        <w:t>program</w:t>
      </w:r>
      <w:r w:rsidR="0013032F" w:rsidRPr="00095514">
        <w:t xml:space="preserve"> </w:t>
      </w:r>
      <w:r w:rsidRPr="00095514">
        <w:t>has</w:t>
      </w:r>
      <w:r w:rsidR="0013032F" w:rsidRPr="00095514">
        <w:t xml:space="preserve"> </w:t>
      </w:r>
      <w:r w:rsidRPr="00095514">
        <w:t>achieved</w:t>
      </w:r>
      <w:r w:rsidR="0013032F" w:rsidRPr="00095514">
        <w:t xml:space="preserve"> </w:t>
      </w:r>
      <w:r w:rsidRPr="00095514">
        <w:t>valuable</w:t>
      </w:r>
      <w:r w:rsidR="0013032F" w:rsidRPr="00095514">
        <w:t xml:space="preserve"> </w:t>
      </w:r>
      <w:r w:rsidRPr="00095514">
        <w:t>outcomes</w:t>
      </w:r>
      <w:r w:rsidR="0013032F" w:rsidRPr="00095514">
        <w:t xml:space="preserve"> </w:t>
      </w:r>
      <w:r w:rsidRPr="00095514">
        <w:t>for</w:t>
      </w:r>
      <w:r w:rsidR="0013032F" w:rsidRPr="00095514">
        <w:t xml:space="preserve"> </w:t>
      </w:r>
      <w:r w:rsidRPr="00095514">
        <w:t>its</w:t>
      </w:r>
      <w:r w:rsidR="0013032F" w:rsidRPr="00095514">
        <w:t xml:space="preserve"> </w:t>
      </w:r>
      <w:r w:rsidRPr="00095514">
        <w:t>comm</w:t>
      </w:r>
      <w:r w:rsidRPr="00095514">
        <w:t>unities,</w:t>
      </w:r>
      <w:r w:rsidR="0013032F" w:rsidRPr="00095514">
        <w:t xml:space="preserve"> </w:t>
      </w:r>
      <w:r w:rsidRPr="00095514">
        <w:t>securing</w:t>
      </w:r>
      <w:r w:rsidR="0013032F" w:rsidRPr="00095514">
        <w:t xml:space="preserve"> </w:t>
      </w:r>
      <w:r w:rsidRPr="00095514">
        <w:t>support</w:t>
      </w:r>
      <w:r w:rsidR="0013032F" w:rsidRPr="00095514">
        <w:t xml:space="preserve"> </w:t>
      </w:r>
      <w:r w:rsidRPr="00095514">
        <w:t>for</w:t>
      </w:r>
      <w:r w:rsidR="0013032F" w:rsidRPr="00095514">
        <w:t xml:space="preserve"> </w:t>
      </w:r>
      <w:r w:rsidRPr="00095514">
        <w:t>regional</w:t>
      </w:r>
      <w:r w:rsidR="0013032F" w:rsidRPr="00095514">
        <w:t xml:space="preserve"> </w:t>
      </w:r>
      <w:r w:rsidRPr="00095514">
        <w:t>priority</w:t>
      </w:r>
      <w:r w:rsidR="0013032F" w:rsidRPr="00095514">
        <w:t xml:space="preserve"> </w:t>
      </w:r>
      <w:r w:rsidRPr="00095514">
        <w:t>projects</w:t>
      </w:r>
      <w:r w:rsidR="0013032F" w:rsidRPr="00095514">
        <w:t xml:space="preserve"> </w:t>
      </w:r>
      <w:r w:rsidRPr="00095514">
        <w:t>across</w:t>
      </w:r>
      <w:r w:rsidR="0013032F" w:rsidRPr="00095514">
        <w:t xml:space="preserve"> </w:t>
      </w:r>
      <w:r w:rsidRPr="00095514">
        <w:t>areas</w:t>
      </w:r>
      <w:r w:rsidR="0013032F" w:rsidRPr="00095514">
        <w:t xml:space="preserve"> </w:t>
      </w:r>
      <w:r w:rsidRPr="00095514">
        <w:t>such</w:t>
      </w:r>
      <w:r w:rsidR="0013032F" w:rsidRPr="00095514">
        <w:t xml:space="preserve"> </w:t>
      </w:r>
      <w:r w:rsidRPr="00095514">
        <w:t>as</w:t>
      </w:r>
      <w:r w:rsidR="0013032F" w:rsidRPr="00095514">
        <w:t xml:space="preserve"> </w:t>
      </w:r>
      <w:r w:rsidRPr="00095514">
        <w:t>tourism,</w:t>
      </w:r>
      <w:r w:rsidR="0013032F" w:rsidRPr="00095514">
        <w:t xml:space="preserve"> </w:t>
      </w:r>
      <w:r w:rsidRPr="00095514">
        <w:t>early</w:t>
      </w:r>
      <w:r w:rsidR="0013032F" w:rsidRPr="00095514">
        <w:t xml:space="preserve"> </w:t>
      </w:r>
      <w:r w:rsidRPr="00095514">
        <w:t>childhood</w:t>
      </w:r>
      <w:r w:rsidR="0013032F" w:rsidRPr="00095514">
        <w:t xml:space="preserve"> </w:t>
      </w:r>
      <w:r w:rsidRPr="00095514">
        <w:t>education,</w:t>
      </w:r>
      <w:r w:rsidR="0013032F" w:rsidRPr="00095514">
        <w:t xml:space="preserve"> </w:t>
      </w:r>
      <w:r w:rsidRPr="00095514">
        <w:t>digital</w:t>
      </w:r>
      <w:r w:rsidR="0013032F" w:rsidRPr="00095514">
        <w:t xml:space="preserve"> </w:t>
      </w:r>
      <w:r w:rsidRPr="00095514">
        <w:t>connectivity,</w:t>
      </w:r>
      <w:r w:rsidR="0013032F" w:rsidRPr="00095514">
        <w:t xml:space="preserve"> </w:t>
      </w:r>
      <w:r w:rsidRPr="00095514">
        <w:t>mental</w:t>
      </w:r>
      <w:r w:rsidR="0013032F" w:rsidRPr="00095514">
        <w:t xml:space="preserve"> </w:t>
      </w:r>
      <w:r w:rsidRPr="00095514">
        <w:t>health</w:t>
      </w:r>
      <w:r w:rsidR="0013032F" w:rsidRPr="00095514">
        <w:t xml:space="preserve"> </w:t>
      </w:r>
      <w:r w:rsidRPr="00095514">
        <w:t>and</w:t>
      </w:r>
      <w:r w:rsidR="0013032F" w:rsidRPr="00095514">
        <w:t xml:space="preserve"> </w:t>
      </w:r>
      <w:r w:rsidRPr="00095514">
        <w:t>agriculture.</w:t>
      </w:r>
    </w:p>
    <w:p w14:paraId="47CAC717" w14:textId="5C534F9E" w:rsidR="00757772" w:rsidRDefault="00305D3C" w:rsidP="00095514">
      <w:pPr>
        <w:pStyle w:val="Heading2"/>
      </w:pPr>
      <w:bookmarkStart w:id="13" w:name="_Toc149566560"/>
      <w:r>
        <w:t>Key</w:t>
      </w:r>
      <w:r w:rsidR="0013032F">
        <w:t xml:space="preserve"> </w:t>
      </w:r>
      <w:r>
        <w:t>achievements</w:t>
      </w:r>
      <w:r w:rsidR="0013032F">
        <w:t xml:space="preserve"> </w:t>
      </w:r>
      <w:r>
        <w:t>for</w:t>
      </w:r>
      <w:r w:rsidR="0013032F">
        <w:t xml:space="preserve"> </w:t>
      </w:r>
      <w:r>
        <w:t>2022–23</w:t>
      </w:r>
      <w:bookmarkEnd w:id="13"/>
    </w:p>
    <w:p w14:paraId="49449C4A" w14:textId="60131BE3" w:rsidR="00757772" w:rsidRPr="00095514" w:rsidRDefault="00305D3C" w:rsidP="00095514">
      <w:pPr>
        <w:pStyle w:val="Normalbeforebullets"/>
      </w:pPr>
      <w:r w:rsidRPr="00095514">
        <w:t>Regional</w:t>
      </w:r>
      <w:r w:rsidR="0013032F" w:rsidRPr="00095514">
        <w:t xml:space="preserve"> </w:t>
      </w:r>
      <w:r w:rsidRPr="00095514">
        <w:t>Partnerships</w:t>
      </w:r>
      <w:r w:rsidR="0013032F" w:rsidRPr="00095514">
        <w:t xml:space="preserve"> </w:t>
      </w:r>
      <w:r w:rsidRPr="00095514">
        <w:t>successfully</w:t>
      </w:r>
      <w:r w:rsidR="0013032F" w:rsidRPr="00095514">
        <w:t xml:space="preserve"> </w:t>
      </w:r>
      <w:r w:rsidRPr="00095514">
        <w:t>advocated</w:t>
      </w:r>
      <w:r w:rsidR="0013032F" w:rsidRPr="00095514">
        <w:t xml:space="preserve"> </w:t>
      </w:r>
      <w:r w:rsidRPr="00095514">
        <w:t>for</w:t>
      </w:r>
      <w:r w:rsidR="0013032F" w:rsidRPr="00095514">
        <w:t xml:space="preserve"> </w:t>
      </w:r>
      <w:r w:rsidRPr="00095514">
        <w:t>priorities</w:t>
      </w:r>
      <w:r w:rsidR="0013032F" w:rsidRPr="00095514">
        <w:t xml:space="preserve"> </w:t>
      </w:r>
      <w:r w:rsidRPr="00095514">
        <w:t>that</w:t>
      </w:r>
      <w:r w:rsidR="0013032F" w:rsidRPr="00095514">
        <w:t xml:space="preserve"> </w:t>
      </w:r>
      <w:r w:rsidRPr="00095514">
        <w:t>supported:</w:t>
      </w:r>
    </w:p>
    <w:p w14:paraId="682CA20A" w14:textId="0D3A5346" w:rsidR="00757772" w:rsidRDefault="00305D3C" w:rsidP="00095514">
      <w:pPr>
        <w:pStyle w:val="Bullet"/>
      </w:pPr>
      <w:r>
        <w:t>clean</w:t>
      </w:r>
      <w:r w:rsidR="0013032F">
        <w:t xml:space="preserve"> </w:t>
      </w:r>
      <w:r>
        <w:t>economy</w:t>
      </w:r>
      <w:r w:rsidR="0013032F">
        <w:t xml:space="preserve"> </w:t>
      </w:r>
      <w:r>
        <w:t>transition</w:t>
      </w:r>
      <w:r w:rsidR="0013032F">
        <w:t xml:space="preserve"> </w:t>
      </w:r>
      <w:r>
        <w:t>and</w:t>
      </w:r>
      <w:r w:rsidR="0013032F">
        <w:t xml:space="preserve"> </w:t>
      </w:r>
      <w:r>
        <w:t>workforce</w:t>
      </w:r>
      <w:r w:rsidR="0013032F">
        <w:t xml:space="preserve"> </w:t>
      </w:r>
      <w:r>
        <w:t>readiness</w:t>
      </w:r>
    </w:p>
    <w:p w14:paraId="13514DB3" w14:textId="02A3DEB5" w:rsidR="00757772" w:rsidRDefault="00305D3C" w:rsidP="00095514">
      <w:pPr>
        <w:pStyle w:val="Bullet"/>
      </w:pPr>
      <w:r>
        <w:t>investment</w:t>
      </w:r>
      <w:r w:rsidR="0013032F">
        <w:t xml:space="preserve"> </w:t>
      </w:r>
      <w:r>
        <w:t>in</w:t>
      </w:r>
      <w:r w:rsidR="0013032F">
        <w:t xml:space="preserve"> </w:t>
      </w:r>
      <w:r>
        <w:t>regional</w:t>
      </w:r>
      <w:r w:rsidR="0013032F">
        <w:t xml:space="preserve"> </w:t>
      </w:r>
      <w:r>
        <w:t>tourism</w:t>
      </w:r>
      <w:r w:rsidR="0013032F">
        <w:t xml:space="preserve"> </w:t>
      </w:r>
      <w:r>
        <w:t>attractions</w:t>
      </w:r>
      <w:r w:rsidR="0013032F">
        <w:t xml:space="preserve"> </w:t>
      </w:r>
      <w:r>
        <w:t>and</w:t>
      </w:r>
      <w:r w:rsidR="0013032F">
        <w:t xml:space="preserve"> </w:t>
      </w:r>
      <w:r>
        <w:t>the</w:t>
      </w:r>
      <w:r w:rsidR="0013032F">
        <w:t xml:space="preserve"> </w:t>
      </w:r>
      <w:r>
        <w:t>visitor</w:t>
      </w:r>
      <w:r w:rsidR="0013032F">
        <w:t xml:space="preserve"> </w:t>
      </w:r>
      <w:r>
        <w:t>economy</w:t>
      </w:r>
    </w:p>
    <w:p w14:paraId="311E8D5E" w14:textId="3B56C195" w:rsidR="00757772" w:rsidRDefault="00305D3C" w:rsidP="00095514">
      <w:pPr>
        <w:pStyle w:val="Bullet"/>
      </w:pPr>
      <w:r>
        <w:t>new</w:t>
      </w:r>
      <w:r w:rsidR="0013032F">
        <w:t xml:space="preserve"> </w:t>
      </w:r>
      <w:r>
        <w:t>and</w:t>
      </w:r>
      <w:r w:rsidR="0013032F">
        <w:t xml:space="preserve"> </w:t>
      </w:r>
      <w:r>
        <w:t>improved</w:t>
      </w:r>
      <w:r w:rsidR="0013032F">
        <w:t xml:space="preserve"> </w:t>
      </w:r>
      <w:r>
        <w:t>regional</w:t>
      </w:r>
      <w:r w:rsidR="0013032F">
        <w:t xml:space="preserve"> </w:t>
      </w:r>
      <w:r>
        <w:t>health</w:t>
      </w:r>
      <w:r w:rsidR="0013032F">
        <w:t xml:space="preserve"> </w:t>
      </w:r>
      <w:r>
        <w:t>and</w:t>
      </w:r>
      <w:r w:rsidR="0013032F">
        <w:t xml:space="preserve"> </w:t>
      </w:r>
      <w:r>
        <w:t>education</w:t>
      </w:r>
      <w:r w:rsidR="0013032F">
        <w:t xml:space="preserve"> </w:t>
      </w:r>
      <w:r>
        <w:t>infrastructure</w:t>
      </w:r>
    </w:p>
    <w:p w14:paraId="7C22119B" w14:textId="74AC52BE" w:rsidR="00757772" w:rsidRDefault="00305D3C" w:rsidP="00095514">
      <w:pPr>
        <w:pStyle w:val="Bullet"/>
      </w:pPr>
      <w:r>
        <w:t>more</w:t>
      </w:r>
      <w:r w:rsidR="0013032F">
        <w:t xml:space="preserve"> </w:t>
      </w:r>
      <w:r>
        <w:t>frequent,</w:t>
      </w:r>
      <w:r w:rsidR="0013032F">
        <w:t xml:space="preserve"> </w:t>
      </w:r>
      <w:r>
        <w:t>more</w:t>
      </w:r>
      <w:r w:rsidR="0013032F">
        <w:t xml:space="preserve"> </w:t>
      </w:r>
      <w:r>
        <w:t>reliable</w:t>
      </w:r>
      <w:r w:rsidR="0013032F">
        <w:t xml:space="preserve"> </w:t>
      </w:r>
      <w:r>
        <w:t>and</w:t>
      </w:r>
      <w:r w:rsidR="0013032F">
        <w:t xml:space="preserve"> </w:t>
      </w:r>
      <w:r>
        <w:t>more</w:t>
      </w:r>
      <w:r w:rsidR="0013032F">
        <w:t xml:space="preserve"> </w:t>
      </w:r>
      <w:r>
        <w:t>affordable</w:t>
      </w:r>
      <w:r w:rsidR="0013032F">
        <w:t xml:space="preserve"> </w:t>
      </w:r>
      <w:r>
        <w:t>public</w:t>
      </w:r>
      <w:r w:rsidR="0013032F">
        <w:t xml:space="preserve"> </w:t>
      </w:r>
      <w:r>
        <w:t>transport</w:t>
      </w:r>
    </w:p>
    <w:p w14:paraId="420A6BEF" w14:textId="457FA070" w:rsidR="00757772" w:rsidRDefault="00305D3C" w:rsidP="00095514">
      <w:pPr>
        <w:pStyle w:val="Bullet"/>
      </w:pPr>
      <w:r>
        <w:t>better</w:t>
      </w:r>
      <w:r w:rsidR="0013032F">
        <w:t xml:space="preserve"> </w:t>
      </w:r>
      <w:r>
        <w:t>opportunities</w:t>
      </w:r>
      <w:r w:rsidR="0013032F">
        <w:t xml:space="preserve"> </w:t>
      </w:r>
      <w:r>
        <w:t>and</w:t>
      </w:r>
      <w:r w:rsidR="0013032F">
        <w:t xml:space="preserve"> </w:t>
      </w:r>
      <w:r>
        <w:t>services</w:t>
      </w:r>
      <w:r w:rsidR="0013032F">
        <w:t xml:space="preserve"> </w:t>
      </w:r>
      <w:r>
        <w:t>for</w:t>
      </w:r>
      <w:r w:rsidR="0013032F">
        <w:t xml:space="preserve"> </w:t>
      </w:r>
      <w:r>
        <w:t>young</w:t>
      </w:r>
      <w:r w:rsidR="0013032F">
        <w:t xml:space="preserve"> </w:t>
      </w:r>
      <w:r>
        <w:t>people</w:t>
      </w:r>
      <w:r w:rsidR="0013032F">
        <w:t xml:space="preserve"> </w:t>
      </w:r>
      <w:r>
        <w:t>living</w:t>
      </w:r>
      <w:r w:rsidR="0013032F">
        <w:t xml:space="preserve"> </w:t>
      </w:r>
      <w:r>
        <w:t>in</w:t>
      </w:r>
      <w:r w:rsidR="0013032F">
        <w:t xml:space="preserve"> </w:t>
      </w:r>
      <w:r>
        <w:t>regional</w:t>
      </w:r>
      <w:r w:rsidR="0013032F">
        <w:t xml:space="preserve"> </w:t>
      </w:r>
      <w:r>
        <w:t>Victoria</w:t>
      </w:r>
    </w:p>
    <w:p w14:paraId="24DB76C9" w14:textId="5821C641" w:rsidR="00757772" w:rsidRDefault="00305D3C" w:rsidP="00095514">
      <w:pPr>
        <w:pStyle w:val="Bullet"/>
      </w:pPr>
      <w:r>
        <w:t>self-determination</w:t>
      </w:r>
      <w:r w:rsidR="0013032F">
        <w:t xml:space="preserve"> </w:t>
      </w:r>
      <w:r>
        <w:t>and</w:t>
      </w:r>
      <w:r w:rsidR="0013032F">
        <w:t xml:space="preserve"> </w:t>
      </w:r>
      <w:r>
        <w:t>economic</w:t>
      </w:r>
      <w:r w:rsidR="0013032F">
        <w:t xml:space="preserve"> </w:t>
      </w:r>
      <w:r>
        <w:t>prosperity</w:t>
      </w:r>
      <w:r w:rsidR="0013032F">
        <w:t xml:space="preserve"> </w:t>
      </w:r>
      <w:r>
        <w:t>for</w:t>
      </w:r>
      <w:r w:rsidR="0013032F">
        <w:t xml:space="preserve"> </w:t>
      </w:r>
      <w:r>
        <w:t>First</w:t>
      </w:r>
      <w:r w:rsidR="0013032F">
        <w:t xml:space="preserve"> </w:t>
      </w:r>
      <w:r>
        <w:t>Nations</w:t>
      </w:r>
      <w:r w:rsidR="0013032F">
        <w:t xml:space="preserve"> </w:t>
      </w:r>
      <w:r>
        <w:t>communities</w:t>
      </w:r>
    </w:p>
    <w:p w14:paraId="1268B106" w14:textId="31C5B222" w:rsidR="00757772" w:rsidRDefault="00305D3C" w:rsidP="00095514">
      <w:pPr>
        <w:pStyle w:val="Bulletlast"/>
      </w:pPr>
      <w:r>
        <w:t>improved</w:t>
      </w:r>
      <w:r w:rsidR="0013032F">
        <w:t xml:space="preserve"> </w:t>
      </w:r>
      <w:r>
        <w:t>access</w:t>
      </w:r>
      <w:r w:rsidR="0013032F">
        <w:t xml:space="preserve"> </w:t>
      </w:r>
      <w:r>
        <w:t>to</w:t>
      </w:r>
      <w:r w:rsidR="0013032F">
        <w:t xml:space="preserve"> </w:t>
      </w:r>
      <w:r>
        <w:t>rural</w:t>
      </w:r>
      <w:r w:rsidR="0013032F">
        <w:t xml:space="preserve"> </w:t>
      </w:r>
      <w:r>
        <w:t>childcare.</w:t>
      </w:r>
    </w:p>
    <w:p w14:paraId="4202C8D3" w14:textId="67F20161" w:rsidR="00757772" w:rsidRDefault="00305D3C" w:rsidP="00095514">
      <w:r>
        <w:t>As</w:t>
      </w:r>
      <w:r w:rsidR="0013032F">
        <w:t xml:space="preserve"> </w:t>
      </w:r>
      <w:r>
        <w:t>a</w:t>
      </w:r>
      <w:r w:rsidR="0013032F">
        <w:t xml:space="preserve"> </w:t>
      </w:r>
      <w:r>
        <w:t>direct</w:t>
      </w:r>
      <w:r w:rsidR="0013032F">
        <w:t xml:space="preserve"> </w:t>
      </w:r>
      <w:r>
        <w:t>result</w:t>
      </w:r>
      <w:r w:rsidR="0013032F">
        <w:t xml:space="preserve"> </w:t>
      </w:r>
      <w:r>
        <w:t>of</w:t>
      </w:r>
      <w:r w:rsidR="0013032F">
        <w:t xml:space="preserve"> </w:t>
      </w:r>
      <w:r>
        <w:t>Regional</w:t>
      </w:r>
      <w:r w:rsidR="0013032F">
        <w:t xml:space="preserve"> </w:t>
      </w:r>
      <w:r>
        <w:t>Partnerships’</w:t>
      </w:r>
      <w:r w:rsidR="0013032F">
        <w:t xml:space="preserve"> </w:t>
      </w:r>
      <w:r>
        <w:t>advice</w:t>
      </w:r>
      <w:r w:rsidR="0013032F">
        <w:t xml:space="preserve"> </w:t>
      </w:r>
      <w:r>
        <w:t>on</w:t>
      </w:r>
      <w:r w:rsidR="0013032F">
        <w:t xml:space="preserve"> </w:t>
      </w:r>
      <w:r>
        <w:t>the</w:t>
      </w:r>
      <w:r w:rsidR="0013032F">
        <w:t xml:space="preserve"> </w:t>
      </w:r>
      <w:r>
        <w:t>need</w:t>
      </w:r>
      <w:r w:rsidR="0013032F">
        <w:t xml:space="preserve"> </w:t>
      </w:r>
      <w:r>
        <w:t>for</w:t>
      </w:r>
      <w:r w:rsidR="0013032F">
        <w:t xml:space="preserve"> </w:t>
      </w:r>
      <w:r>
        <w:t>housing</w:t>
      </w:r>
      <w:r w:rsidR="0013032F">
        <w:t xml:space="preserve"> </w:t>
      </w:r>
      <w:r>
        <w:t>and</w:t>
      </w:r>
      <w:r w:rsidR="0013032F">
        <w:t xml:space="preserve"> </w:t>
      </w:r>
      <w:r>
        <w:t>accommodation</w:t>
      </w:r>
      <w:r w:rsidR="0013032F">
        <w:t xml:space="preserve"> </w:t>
      </w:r>
      <w:r>
        <w:t>solutions</w:t>
      </w:r>
      <w:r w:rsidR="0013032F">
        <w:t xml:space="preserve"> </w:t>
      </w:r>
      <w:r>
        <w:t>to</w:t>
      </w:r>
      <w:r w:rsidR="0013032F">
        <w:t xml:space="preserve"> </w:t>
      </w:r>
      <w:r>
        <w:t>address</w:t>
      </w:r>
      <w:r w:rsidR="0013032F">
        <w:t xml:space="preserve"> </w:t>
      </w:r>
      <w:r>
        <w:t>workforce</w:t>
      </w:r>
      <w:r w:rsidR="0013032F">
        <w:t xml:space="preserve"> </w:t>
      </w:r>
      <w:r>
        <w:t>shortages,</w:t>
      </w:r>
      <w:r w:rsidR="0013032F">
        <w:t xml:space="preserve"> </w:t>
      </w:r>
      <w:r>
        <w:t>the</w:t>
      </w:r>
      <w:r w:rsidR="0013032F">
        <w:t xml:space="preserve"> </w:t>
      </w:r>
      <w:r>
        <w:t>Victorian</w:t>
      </w:r>
      <w:r w:rsidR="0013032F">
        <w:t xml:space="preserve"> </w:t>
      </w:r>
      <w:r>
        <w:t>Government</w:t>
      </w:r>
      <w:r w:rsidR="0013032F">
        <w:t xml:space="preserve"> </w:t>
      </w:r>
      <w:r>
        <w:lastRenderedPageBreak/>
        <w:t>funded</w:t>
      </w:r>
      <w:r w:rsidR="0013032F">
        <w:t xml:space="preserve"> </w:t>
      </w:r>
      <w:r>
        <w:t>4</w:t>
      </w:r>
      <w:r w:rsidR="0013032F">
        <w:t xml:space="preserve"> </w:t>
      </w:r>
      <w:r>
        <w:t>workforce</w:t>
      </w:r>
      <w:r w:rsidR="0013032F">
        <w:t xml:space="preserve"> </w:t>
      </w:r>
      <w:r>
        <w:t>pilots</w:t>
      </w:r>
      <w:r w:rsidR="0013032F">
        <w:t xml:space="preserve"> </w:t>
      </w:r>
      <w:r>
        <w:t>and</w:t>
      </w:r>
      <w:r w:rsidR="0013032F">
        <w:t xml:space="preserve"> </w:t>
      </w:r>
      <w:r>
        <w:t>more</w:t>
      </w:r>
      <w:r w:rsidR="0013032F">
        <w:t xml:space="preserve"> </w:t>
      </w:r>
      <w:r>
        <w:t>than</w:t>
      </w:r>
      <w:r w:rsidR="0013032F">
        <w:t xml:space="preserve"> </w:t>
      </w:r>
      <w:r>
        <w:t>30</w:t>
      </w:r>
      <w:r w:rsidR="0013032F">
        <w:t xml:space="preserve"> </w:t>
      </w:r>
      <w:r>
        <w:t>projects</w:t>
      </w:r>
      <w:r w:rsidR="0013032F">
        <w:t xml:space="preserve"> </w:t>
      </w:r>
      <w:r>
        <w:t>in</w:t>
      </w:r>
      <w:r w:rsidR="0013032F">
        <w:t xml:space="preserve"> </w:t>
      </w:r>
      <w:r>
        <w:t>areas</w:t>
      </w:r>
      <w:r w:rsidR="0013032F">
        <w:t xml:space="preserve"> </w:t>
      </w:r>
      <w:r>
        <w:t>where</w:t>
      </w:r>
      <w:r w:rsidR="0013032F">
        <w:t xml:space="preserve"> </w:t>
      </w:r>
      <w:r>
        <w:t>shortages</w:t>
      </w:r>
      <w:r w:rsidR="0013032F">
        <w:t xml:space="preserve"> </w:t>
      </w:r>
      <w:r>
        <w:t>were</w:t>
      </w:r>
      <w:r w:rsidR="0013032F">
        <w:t xml:space="preserve"> </w:t>
      </w:r>
      <w:r>
        <w:t>most</w:t>
      </w:r>
      <w:r w:rsidR="0013032F">
        <w:t xml:space="preserve"> </w:t>
      </w:r>
      <w:r>
        <w:t>acute.</w:t>
      </w:r>
    </w:p>
    <w:p w14:paraId="7FDF177F" w14:textId="27C8E1A6" w:rsidR="00757772" w:rsidRDefault="00305D3C" w:rsidP="00095514">
      <w:r>
        <w:t>The</w:t>
      </w:r>
      <w:r w:rsidR="0013032F">
        <w:t xml:space="preserve"> </w:t>
      </w:r>
      <w:r>
        <w:t>projects</w:t>
      </w:r>
      <w:r w:rsidR="0013032F">
        <w:t xml:space="preserve"> </w:t>
      </w:r>
      <w:r>
        <w:t>included</w:t>
      </w:r>
      <w:r w:rsidR="0013032F">
        <w:t xml:space="preserve"> </w:t>
      </w:r>
      <w:r>
        <w:t>civil</w:t>
      </w:r>
      <w:r w:rsidR="0013032F">
        <w:t xml:space="preserve"> </w:t>
      </w:r>
      <w:r>
        <w:t>and</w:t>
      </w:r>
      <w:r w:rsidR="0013032F">
        <w:t xml:space="preserve"> </w:t>
      </w:r>
      <w:r>
        <w:t>service</w:t>
      </w:r>
      <w:r w:rsidR="0013032F">
        <w:t xml:space="preserve"> </w:t>
      </w:r>
      <w:r>
        <w:t>infrastructure</w:t>
      </w:r>
      <w:r w:rsidR="0013032F">
        <w:t xml:space="preserve"> </w:t>
      </w:r>
      <w:r>
        <w:t>to</w:t>
      </w:r>
      <w:r w:rsidR="0013032F">
        <w:t xml:space="preserve"> </w:t>
      </w:r>
      <w:r>
        <w:t>enable</w:t>
      </w:r>
      <w:r w:rsidR="0013032F">
        <w:t xml:space="preserve"> </w:t>
      </w:r>
      <w:r>
        <w:t>new</w:t>
      </w:r>
      <w:r w:rsidR="0013032F">
        <w:t xml:space="preserve"> </w:t>
      </w:r>
      <w:r>
        <w:t>residential</w:t>
      </w:r>
      <w:r w:rsidR="0013032F">
        <w:t xml:space="preserve"> </w:t>
      </w:r>
      <w:r>
        <w:t>developments;</w:t>
      </w:r>
      <w:r w:rsidR="0013032F">
        <w:t xml:space="preserve"> </w:t>
      </w:r>
      <w:r>
        <w:t>supporting</w:t>
      </w:r>
      <w:r w:rsidR="0013032F">
        <w:t xml:space="preserve"> </w:t>
      </w:r>
      <w:r>
        <w:t>the</w:t>
      </w:r>
      <w:r w:rsidR="0013032F">
        <w:t xml:space="preserve"> </w:t>
      </w:r>
      <w:r>
        <w:t>use</w:t>
      </w:r>
      <w:r w:rsidR="0013032F">
        <w:t xml:space="preserve"> </w:t>
      </w:r>
      <w:r>
        <w:t>of</w:t>
      </w:r>
      <w:r w:rsidR="0013032F">
        <w:t xml:space="preserve"> </w:t>
      </w:r>
      <w:r>
        <w:t>prefabricated</w:t>
      </w:r>
      <w:r w:rsidR="0013032F">
        <w:t xml:space="preserve"> </w:t>
      </w:r>
      <w:r>
        <w:t>units</w:t>
      </w:r>
      <w:r w:rsidR="0013032F">
        <w:t xml:space="preserve"> </w:t>
      </w:r>
      <w:r>
        <w:t>for</w:t>
      </w:r>
      <w:r w:rsidR="0013032F">
        <w:t xml:space="preserve"> </w:t>
      </w:r>
      <w:r>
        <w:t>worker</w:t>
      </w:r>
      <w:r w:rsidR="0013032F">
        <w:t xml:space="preserve"> </w:t>
      </w:r>
      <w:r>
        <w:t>accommodation;</w:t>
      </w:r>
      <w:r w:rsidR="0013032F">
        <w:t xml:space="preserve"> </w:t>
      </w:r>
      <w:r>
        <w:t>and</w:t>
      </w:r>
      <w:r w:rsidR="0013032F">
        <w:t xml:space="preserve"> </w:t>
      </w:r>
      <w:r>
        <w:t>planning</w:t>
      </w:r>
      <w:r w:rsidR="0013032F">
        <w:t xml:space="preserve"> </w:t>
      </w:r>
      <w:r>
        <w:t>for</w:t>
      </w:r>
      <w:r w:rsidR="0013032F">
        <w:t xml:space="preserve"> </w:t>
      </w:r>
      <w:r>
        <w:t>developments</w:t>
      </w:r>
      <w:r w:rsidR="0013032F">
        <w:t xml:space="preserve"> </w:t>
      </w:r>
      <w:r>
        <w:t>to</w:t>
      </w:r>
      <w:r w:rsidR="0013032F">
        <w:t xml:space="preserve"> </w:t>
      </w:r>
      <w:r>
        <w:t>increase</w:t>
      </w:r>
      <w:r w:rsidR="0013032F">
        <w:t xml:space="preserve"> </w:t>
      </w:r>
      <w:r>
        <w:t>housing</w:t>
      </w:r>
      <w:r w:rsidR="0013032F">
        <w:t xml:space="preserve"> </w:t>
      </w:r>
      <w:r>
        <w:t>supply.</w:t>
      </w:r>
    </w:p>
    <w:p w14:paraId="60855340" w14:textId="6F70484B" w:rsidR="00095514" w:rsidRDefault="00095514" w:rsidP="00095514">
      <w:commentRangeStart w:id="14"/>
      <w:r>
        <w:rPr>
          <w:noProof/>
        </w:rPr>
        <w:drawing>
          <wp:inline distT="0" distB="0" distL="0" distR="0" wp14:anchorId="41926659" wp14:editId="5F89A1DD">
            <wp:extent cx="6120130" cy="512000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1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14"/>
      <w:r w:rsidR="000814E4">
        <w:rPr>
          <w:rStyle w:val="CommentReference"/>
        </w:rPr>
        <w:commentReference w:id="14"/>
      </w:r>
    </w:p>
    <w:p w14:paraId="7A027312" w14:textId="6C34D7CC" w:rsidR="00757772" w:rsidRDefault="00305D3C" w:rsidP="00095514">
      <w:pPr>
        <w:pStyle w:val="Heading1"/>
      </w:pPr>
      <w:bookmarkStart w:id="15" w:name="_Toc149566561"/>
      <w:r>
        <w:lastRenderedPageBreak/>
        <w:t>Reporting</w:t>
      </w:r>
      <w:r w:rsidR="0013032F">
        <w:t xml:space="preserve"> </w:t>
      </w:r>
      <w:r>
        <w:t>on</w:t>
      </w:r>
      <w:r w:rsidR="0013032F">
        <w:t xml:space="preserve"> </w:t>
      </w:r>
      <w:r>
        <w:t>Regional</w:t>
      </w:r>
      <w:r w:rsidR="0013032F">
        <w:t xml:space="preserve"> </w:t>
      </w:r>
      <w:r>
        <w:t>Partnerships</w:t>
      </w:r>
      <w:bookmarkEnd w:id="15"/>
    </w:p>
    <w:p w14:paraId="4B057578" w14:textId="77777777" w:rsidR="00757772" w:rsidRDefault="00305D3C" w:rsidP="00095514">
      <w:pPr>
        <w:pStyle w:val="Heading2"/>
      </w:pPr>
      <w:bookmarkStart w:id="16" w:name="_Toc149566562"/>
      <w:r>
        <w:t>Barwon</w:t>
      </w:r>
      <w:bookmarkEnd w:id="16"/>
    </w:p>
    <w:p w14:paraId="2B786738" w14:textId="39ECD5B9" w:rsidR="00757772" w:rsidRDefault="00305D3C" w:rsidP="00095514">
      <w:r>
        <w:t>In</w:t>
      </w:r>
      <w:r w:rsidR="0013032F">
        <w:t xml:space="preserve"> </w:t>
      </w:r>
      <w:r>
        <w:t>2022–23,</w:t>
      </w:r>
      <w:r w:rsidR="0013032F">
        <w:t xml:space="preserve"> </w:t>
      </w:r>
      <w:r>
        <w:t>the</w:t>
      </w:r>
      <w:r w:rsidR="0013032F">
        <w:t xml:space="preserve"> </w:t>
      </w:r>
      <w:r>
        <w:t>Barwon</w:t>
      </w:r>
      <w:r w:rsidR="0013032F">
        <w:t xml:space="preserve"> </w:t>
      </w:r>
      <w:r>
        <w:t>Regional</w:t>
      </w:r>
      <w:r w:rsidR="0013032F">
        <w:t xml:space="preserve"> </w:t>
      </w:r>
      <w:r>
        <w:t>Partnership</w:t>
      </w:r>
      <w:r w:rsidR="0013032F">
        <w:t xml:space="preserve"> </w:t>
      </w:r>
      <w:r>
        <w:t>(BRP)</w:t>
      </w:r>
      <w:r w:rsidR="0013032F">
        <w:t xml:space="preserve"> </w:t>
      </w:r>
      <w:r>
        <w:t>focused</w:t>
      </w:r>
      <w:r w:rsidR="0013032F">
        <w:t xml:space="preserve"> </w:t>
      </w:r>
      <w:r>
        <w:t>on</w:t>
      </w:r>
      <w:r w:rsidR="0013032F">
        <w:t xml:space="preserve"> </w:t>
      </w:r>
      <w:r>
        <w:t>place</w:t>
      </w:r>
      <w:r>
        <w:noBreakHyphen/>
        <w:t>based</w:t>
      </w:r>
      <w:r w:rsidR="0013032F">
        <w:t xml:space="preserve"> </w:t>
      </w:r>
      <w:r>
        <w:t>initiatives</w:t>
      </w:r>
      <w:r w:rsidR="0013032F">
        <w:t xml:space="preserve"> </w:t>
      </w:r>
      <w:r>
        <w:t>that</w:t>
      </w:r>
      <w:r w:rsidR="0013032F">
        <w:t xml:space="preserve"> </w:t>
      </w:r>
      <w:r>
        <w:t>align</w:t>
      </w:r>
      <w:r w:rsidR="0013032F">
        <w:t xml:space="preserve"> </w:t>
      </w:r>
      <w:r>
        <w:t>with</w:t>
      </w:r>
      <w:r w:rsidR="0013032F">
        <w:t xml:space="preserve"> </w:t>
      </w:r>
      <w:r>
        <w:t>its</w:t>
      </w:r>
      <w:r w:rsidR="0013032F">
        <w:t xml:space="preserve"> </w:t>
      </w:r>
      <w:r>
        <w:t>focus</w:t>
      </w:r>
      <w:r w:rsidR="0013032F">
        <w:t xml:space="preserve"> </w:t>
      </w:r>
      <w:r>
        <w:t>on</w:t>
      </w:r>
      <w:r w:rsidR="0013032F">
        <w:t xml:space="preserve"> </w:t>
      </w:r>
      <w:r>
        <w:t>‘Good</w:t>
      </w:r>
      <w:r w:rsidR="0013032F">
        <w:t xml:space="preserve"> </w:t>
      </w:r>
      <w:r>
        <w:t>Growth’.</w:t>
      </w:r>
      <w:r w:rsidR="0013032F">
        <w:t xml:space="preserve"> </w:t>
      </w:r>
      <w:r>
        <w:t>The</w:t>
      </w:r>
      <w:r w:rsidR="0013032F">
        <w:t xml:space="preserve"> </w:t>
      </w:r>
      <w:r>
        <w:t>Barwon</w:t>
      </w:r>
      <w:r w:rsidR="0013032F">
        <w:t xml:space="preserve"> </w:t>
      </w:r>
      <w:r>
        <w:t>region</w:t>
      </w:r>
      <w:r w:rsidR="0013032F">
        <w:t xml:space="preserve"> </w:t>
      </w:r>
      <w:r>
        <w:t>is</w:t>
      </w:r>
      <w:r w:rsidR="0013032F">
        <w:t xml:space="preserve"> </w:t>
      </w:r>
      <w:r>
        <w:t>rapidly</w:t>
      </w:r>
      <w:r w:rsidR="0013032F">
        <w:t xml:space="preserve"> </w:t>
      </w:r>
      <w:r>
        <w:t>expanding</w:t>
      </w:r>
      <w:r w:rsidR="0013032F">
        <w:t xml:space="preserve"> </w:t>
      </w:r>
      <w:r>
        <w:t>with</w:t>
      </w:r>
      <w:r w:rsidR="0013032F">
        <w:t xml:space="preserve"> </w:t>
      </w:r>
      <w:r>
        <w:t>a</w:t>
      </w:r>
      <w:r w:rsidR="0013032F">
        <w:t xml:space="preserve"> </w:t>
      </w:r>
      <w:r>
        <w:t>projected</w:t>
      </w:r>
      <w:r w:rsidR="0013032F">
        <w:t xml:space="preserve"> </w:t>
      </w:r>
      <w:r>
        <w:t>growth</w:t>
      </w:r>
      <w:r w:rsidR="0013032F">
        <w:t xml:space="preserve"> </w:t>
      </w:r>
      <w:r>
        <w:t>of</w:t>
      </w:r>
      <w:r w:rsidR="0013032F">
        <w:t xml:space="preserve"> </w:t>
      </w:r>
      <w:r>
        <w:t>27%</w:t>
      </w:r>
      <w:r w:rsidR="0013032F">
        <w:t xml:space="preserve"> </w:t>
      </w:r>
      <w:r>
        <w:t>by</w:t>
      </w:r>
      <w:r w:rsidR="0013032F">
        <w:t xml:space="preserve"> </w:t>
      </w:r>
      <w:r>
        <w:t>2036.</w:t>
      </w:r>
      <w:r w:rsidR="0013032F">
        <w:t xml:space="preserve"> </w:t>
      </w:r>
      <w:r>
        <w:t>The</w:t>
      </w:r>
      <w:r w:rsidR="0013032F">
        <w:t xml:space="preserve"> </w:t>
      </w:r>
      <w:r>
        <w:t>Regional</w:t>
      </w:r>
      <w:r w:rsidR="0013032F">
        <w:t xml:space="preserve"> </w:t>
      </w:r>
      <w:r>
        <w:t>Partnership</w:t>
      </w:r>
      <w:r w:rsidR="0013032F">
        <w:t xml:space="preserve"> </w:t>
      </w:r>
      <w:r>
        <w:t>concentrated</w:t>
      </w:r>
      <w:r w:rsidR="0013032F">
        <w:t xml:space="preserve"> </w:t>
      </w:r>
      <w:r>
        <w:t>on</w:t>
      </w:r>
      <w:r w:rsidR="0013032F">
        <w:t xml:space="preserve"> </w:t>
      </w:r>
      <w:r>
        <w:t>how</w:t>
      </w:r>
      <w:r w:rsidR="0013032F">
        <w:t xml:space="preserve"> </w:t>
      </w:r>
      <w:r>
        <w:t>to</w:t>
      </w:r>
      <w:r w:rsidR="0013032F">
        <w:t xml:space="preserve"> </w:t>
      </w:r>
      <w:r>
        <w:t>ensure</w:t>
      </w:r>
      <w:r w:rsidR="0013032F">
        <w:t xml:space="preserve"> </w:t>
      </w:r>
      <w:r>
        <w:t>that</w:t>
      </w:r>
      <w:r w:rsidR="0013032F">
        <w:t xml:space="preserve"> </w:t>
      </w:r>
      <w:r>
        <w:t>what</w:t>
      </w:r>
      <w:r w:rsidR="0013032F">
        <w:t xml:space="preserve"> </w:t>
      </w:r>
      <w:r>
        <w:t>attracts</w:t>
      </w:r>
      <w:r w:rsidR="0013032F">
        <w:t xml:space="preserve"> </w:t>
      </w:r>
      <w:r>
        <w:t>people</w:t>
      </w:r>
      <w:r w:rsidR="0013032F">
        <w:t xml:space="preserve"> </w:t>
      </w:r>
      <w:r>
        <w:t>to</w:t>
      </w:r>
      <w:r w:rsidR="0013032F">
        <w:t xml:space="preserve"> </w:t>
      </w:r>
      <w:r>
        <w:t>the</w:t>
      </w:r>
      <w:r w:rsidR="0013032F">
        <w:t xml:space="preserve"> </w:t>
      </w:r>
      <w:r>
        <w:t>region</w:t>
      </w:r>
      <w:r w:rsidR="0013032F">
        <w:t xml:space="preserve"> </w:t>
      </w:r>
      <w:r>
        <w:t>is</w:t>
      </w:r>
      <w:r w:rsidR="0013032F">
        <w:t xml:space="preserve"> </w:t>
      </w:r>
      <w:r>
        <w:t>not</w:t>
      </w:r>
      <w:r w:rsidR="0013032F">
        <w:t xml:space="preserve"> </w:t>
      </w:r>
      <w:r>
        <w:t>diminished</w:t>
      </w:r>
      <w:r w:rsidR="0013032F">
        <w:t xml:space="preserve"> </w:t>
      </w:r>
      <w:r>
        <w:t>or</w:t>
      </w:r>
      <w:r w:rsidR="0013032F">
        <w:t xml:space="preserve"> </w:t>
      </w:r>
      <w:r>
        <w:t>damaged</w:t>
      </w:r>
      <w:r w:rsidR="0013032F">
        <w:t xml:space="preserve"> </w:t>
      </w:r>
      <w:r>
        <w:t>by</w:t>
      </w:r>
      <w:r w:rsidR="0013032F">
        <w:t xml:space="preserve"> </w:t>
      </w:r>
      <w:r>
        <w:t>this</w:t>
      </w:r>
      <w:r w:rsidR="0013032F">
        <w:t xml:space="preserve"> </w:t>
      </w:r>
      <w:r>
        <w:t>rapid</w:t>
      </w:r>
      <w:r w:rsidR="0013032F">
        <w:t xml:space="preserve"> </w:t>
      </w:r>
      <w:r>
        <w:t>growth.</w:t>
      </w:r>
      <w:r w:rsidR="0013032F">
        <w:t xml:space="preserve"> </w:t>
      </w:r>
      <w:r>
        <w:t>Instead</w:t>
      </w:r>
      <w:r w:rsidR="0013032F">
        <w:t xml:space="preserve"> </w:t>
      </w:r>
      <w:r>
        <w:t>its</w:t>
      </w:r>
      <w:r w:rsidR="0013032F">
        <w:t xml:space="preserve"> </w:t>
      </w:r>
      <w:r>
        <w:t>strengths</w:t>
      </w:r>
      <w:r w:rsidR="0013032F">
        <w:t xml:space="preserve"> </w:t>
      </w:r>
      <w:r>
        <w:t>should</w:t>
      </w:r>
      <w:r w:rsidR="0013032F">
        <w:t xml:space="preserve"> </w:t>
      </w:r>
      <w:r>
        <w:t>be</w:t>
      </w:r>
      <w:r w:rsidR="0013032F">
        <w:t xml:space="preserve"> </w:t>
      </w:r>
      <w:r>
        <w:t>leveraged</w:t>
      </w:r>
      <w:r w:rsidR="0013032F">
        <w:t xml:space="preserve"> </w:t>
      </w:r>
      <w:r>
        <w:t>to</w:t>
      </w:r>
      <w:r w:rsidR="0013032F">
        <w:t xml:space="preserve"> </w:t>
      </w:r>
      <w:r>
        <w:t>enhance</w:t>
      </w:r>
      <w:r w:rsidR="0013032F">
        <w:t xml:space="preserve"> </w:t>
      </w:r>
      <w:r>
        <w:t>these</w:t>
      </w:r>
      <w:r w:rsidR="0013032F">
        <w:t xml:space="preserve"> </w:t>
      </w:r>
      <w:r>
        <w:t>benefits</w:t>
      </w:r>
      <w:r w:rsidR="0013032F">
        <w:t xml:space="preserve"> </w:t>
      </w:r>
      <w:r>
        <w:t>sustainably</w:t>
      </w:r>
      <w:r w:rsidR="0013032F">
        <w:t xml:space="preserve"> </w:t>
      </w:r>
      <w:r>
        <w:t>–</w:t>
      </w:r>
      <w:r w:rsidR="0013032F">
        <w:t xml:space="preserve"> </w:t>
      </w:r>
      <w:r>
        <w:t>so</w:t>
      </w:r>
      <w:r w:rsidR="0013032F">
        <w:t xml:space="preserve"> </w:t>
      </w:r>
      <w:r>
        <w:t>they</w:t>
      </w:r>
      <w:r w:rsidR="0013032F">
        <w:t xml:space="preserve"> </w:t>
      </w:r>
      <w:r>
        <w:t>can</w:t>
      </w:r>
      <w:r w:rsidR="0013032F">
        <w:t xml:space="preserve"> </w:t>
      </w:r>
      <w:r>
        <w:t>be</w:t>
      </w:r>
      <w:r w:rsidR="0013032F">
        <w:t xml:space="preserve"> </w:t>
      </w:r>
      <w:r>
        <w:t>experienced</w:t>
      </w:r>
      <w:r w:rsidR="0013032F">
        <w:t xml:space="preserve"> </w:t>
      </w:r>
      <w:r>
        <w:t>by</w:t>
      </w:r>
      <w:r w:rsidR="0013032F">
        <w:t xml:space="preserve"> </w:t>
      </w:r>
      <w:r>
        <w:t>all.</w:t>
      </w:r>
      <w:r w:rsidR="0013032F">
        <w:t xml:space="preserve"> </w:t>
      </w:r>
    </w:p>
    <w:p w14:paraId="451C9507" w14:textId="3E2E3DE5" w:rsidR="00757772" w:rsidRDefault="00305D3C" w:rsidP="00095514">
      <w:pPr>
        <w:pStyle w:val="Heading3"/>
      </w:pPr>
      <w:r>
        <w:t>Regional</w:t>
      </w:r>
      <w:r w:rsidR="0013032F">
        <w:t xml:space="preserve"> </w:t>
      </w:r>
      <w:r>
        <w:t>priorities:</w:t>
      </w:r>
    </w:p>
    <w:p w14:paraId="748E0488" w14:textId="70D944F8" w:rsidR="00757772" w:rsidRDefault="00305D3C" w:rsidP="00095514">
      <w:pPr>
        <w:pStyle w:val="Bullet"/>
      </w:pPr>
      <w:r w:rsidRPr="00095514">
        <w:rPr>
          <w:b/>
          <w:bCs/>
        </w:rPr>
        <w:t>Manage</w:t>
      </w:r>
      <w:r w:rsidR="0013032F" w:rsidRPr="00095514">
        <w:rPr>
          <w:b/>
          <w:bCs/>
        </w:rPr>
        <w:t xml:space="preserve"> </w:t>
      </w:r>
      <w:r w:rsidRPr="00095514">
        <w:rPr>
          <w:b/>
          <w:bCs/>
        </w:rPr>
        <w:t>growth</w:t>
      </w:r>
      <w:r w:rsidR="0013032F">
        <w:t xml:space="preserve"> </w:t>
      </w:r>
      <w:r>
        <w:t>–</w:t>
      </w:r>
      <w:r w:rsidR="0013032F">
        <w:t xml:space="preserve"> </w:t>
      </w:r>
      <w:r>
        <w:t>worked</w:t>
      </w:r>
      <w:r w:rsidR="0013032F">
        <w:t xml:space="preserve"> </w:t>
      </w:r>
      <w:r>
        <w:t>with</w:t>
      </w:r>
      <w:r w:rsidR="0013032F">
        <w:t xml:space="preserve"> </w:t>
      </w:r>
      <w:r>
        <w:t>the</w:t>
      </w:r>
      <w:r w:rsidR="0013032F">
        <w:t xml:space="preserve"> </w:t>
      </w:r>
      <w:r>
        <w:t>Victorian</w:t>
      </w:r>
      <w:r w:rsidR="0013032F">
        <w:t xml:space="preserve"> </w:t>
      </w:r>
      <w:r>
        <w:t>Government</w:t>
      </w:r>
      <w:r w:rsidR="0013032F">
        <w:t xml:space="preserve"> </w:t>
      </w:r>
      <w:r>
        <w:t>to</w:t>
      </w:r>
      <w:r w:rsidR="0013032F">
        <w:t xml:space="preserve"> </w:t>
      </w:r>
      <w:r>
        <w:t>address</w:t>
      </w:r>
      <w:r w:rsidR="0013032F">
        <w:t xml:space="preserve"> </w:t>
      </w:r>
      <w:r>
        <w:t>the</w:t>
      </w:r>
      <w:r w:rsidR="0013032F">
        <w:t xml:space="preserve"> </w:t>
      </w:r>
      <w:r>
        <w:t>key</w:t>
      </w:r>
      <w:r w:rsidR="0013032F">
        <w:t xml:space="preserve"> </w:t>
      </w:r>
      <w:r>
        <w:t>enabling</w:t>
      </w:r>
      <w:r w:rsidR="0013032F">
        <w:t xml:space="preserve"> </w:t>
      </w:r>
      <w:r>
        <w:t>factors</w:t>
      </w:r>
      <w:r w:rsidR="0013032F">
        <w:t xml:space="preserve"> </w:t>
      </w:r>
      <w:r>
        <w:t>of</w:t>
      </w:r>
      <w:r w:rsidR="0013032F">
        <w:t xml:space="preserve"> </w:t>
      </w:r>
      <w:r>
        <w:t>transport</w:t>
      </w:r>
      <w:r w:rsidR="0013032F">
        <w:t xml:space="preserve"> </w:t>
      </w:r>
      <w:r>
        <w:t>and</w:t>
      </w:r>
      <w:r w:rsidR="0013032F">
        <w:t xml:space="preserve"> </w:t>
      </w:r>
      <w:r>
        <w:t>housing</w:t>
      </w:r>
      <w:r w:rsidR="0013032F">
        <w:t xml:space="preserve"> </w:t>
      </w:r>
      <w:r>
        <w:t>and</w:t>
      </w:r>
      <w:r w:rsidR="0013032F">
        <w:t xml:space="preserve"> </w:t>
      </w:r>
      <w:r>
        <w:t>their</w:t>
      </w:r>
      <w:r w:rsidR="0013032F">
        <w:t xml:space="preserve"> </w:t>
      </w:r>
      <w:r>
        <w:t>intersection</w:t>
      </w:r>
      <w:r w:rsidR="0013032F">
        <w:t xml:space="preserve"> </w:t>
      </w:r>
      <w:r>
        <w:t>with</w:t>
      </w:r>
      <w:r w:rsidR="0013032F">
        <w:t xml:space="preserve"> </w:t>
      </w:r>
      <w:r>
        <w:t>strategic</w:t>
      </w:r>
      <w:r w:rsidR="0013032F">
        <w:t xml:space="preserve"> </w:t>
      </w:r>
      <w:r>
        <w:t>land</w:t>
      </w:r>
      <w:r w:rsidR="0013032F">
        <w:t xml:space="preserve"> </w:t>
      </w:r>
      <w:r>
        <w:t>use</w:t>
      </w:r>
      <w:r w:rsidR="0013032F">
        <w:t xml:space="preserve"> </w:t>
      </w:r>
      <w:r>
        <w:t>planning.</w:t>
      </w:r>
      <w:r w:rsidR="0013032F">
        <w:t xml:space="preserve"> </w:t>
      </w:r>
      <w:r>
        <w:t>This</w:t>
      </w:r>
      <w:r w:rsidR="0013032F">
        <w:t xml:space="preserve"> </w:t>
      </w:r>
      <w:r>
        <w:t>included:</w:t>
      </w:r>
    </w:p>
    <w:p w14:paraId="0750D131" w14:textId="24BBFB92" w:rsidR="00757772" w:rsidRDefault="00305D3C" w:rsidP="00095514">
      <w:pPr>
        <w:pStyle w:val="Bullet2"/>
      </w:pPr>
      <w:r>
        <w:t>accelerating</w:t>
      </w:r>
      <w:r w:rsidR="0013032F">
        <w:t xml:space="preserve"> </w:t>
      </w:r>
      <w:r>
        <w:t>the</w:t>
      </w:r>
      <w:r w:rsidR="0013032F">
        <w:t xml:space="preserve"> </w:t>
      </w:r>
      <w:r>
        <w:t>availability</w:t>
      </w:r>
      <w:r w:rsidR="0013032F">
        <w:t xml:space="preserve"> </w:t>
      </w:r>
      <w:r>
        <w:t>of</w:t>
      </w:r>
      <w:r w:rsidR="0013032F">
        <w:t xml:space="preserve"> </w:t>
      </w:r>
      <w:r>
        <w:t>government-owned</w:t>
      </w:r>
      <w:r w:rsidR="0013032F">
        <w:t xml:space="preserve"> </w:t>
      </w:r>
      <w:r>
        <w:t>land</w:t>
      </w:r>
      <w:r w:rsidR="0013032F">
        <w:t xml:space="preserve"> </w:t>
      </w:r>
      <w:r>
        <w:t>for</w:t>
      </w:r>
      <w:r w:rsidR="0013032F">
        <w:t xml:space="preserve"> </w:t>
      </w:r>
      <w:r>
        <w:t>social</w:t>
      </w:r>
      <w:r w:rsidR="0013032F">
        <w:t xml:space="preserve"> </w:t>
      </w:r>
      <w:r>
        <w:t>and</w:t>
      </w:r>
      <w:r w:rsidR="0013032F">
        <w:t xml:space="preserve"> </w:t>
      </w:r>
      <w:r>
        <w:t>affordable</w:t>
      </w:r>
      <w:r w:rsidR="0013032F">
        <w:t xml:space="preserve"> </w:t>
      </w:r>
      <w:r>
        <w:t>housing</w:t>
      </w:r>
      <w:r w:rsidR="0013032F">
        <w:t xml:space="preserve"> </w:t>
      </w:r>
    </w:p>
    <w:p w14:paraId="4275FAF9" w14:textId="2D718AA8" w:rsidR="00757772" w:rsidRDefault="00305D3C" w:rsidP="00095514">
      <w:pPr>
        <w:pStyle w:val="Bullet2"/>
      </w:pPr>
      <w:r>
        <w:t>a</w:t>
      </w:r>
      <w:r w:rsidR="0013032F">
        <w:t xml:space="preserve"> </w:t>
      </w:r>
      <w:r>
        <w:t>comprehensive</w:t>
      </w:r>
      <w:r w:rsidR="0013032F">
        <w:t xml:space="preserve"> </w:t>
      </w:r>
      <w:r>
        <w:t>review</w:t>
      </w:r>
      <w:r w:rsidR="0013032F">
        <w:t xml:space="preserve"> </w:t>
      </w:r>
      <w:r>
        <w:t>of</w:t>
      </w:r>
      <w:r w:rsidR="0013032F">
        <w:t xml:space="preserve"> </w:t>
      </w:r>
      <w:r>
        <w:t>the</w:t>
      </w:r>
      <w:r w:rsidR="0013032F">
        <w:t xml:space="preserve"> </w:t>
      </w:r>
      <w:r>
        <w:t>Greater</w:t>
      </w:r>
      <w:r w:rsidR="0013032F">
        <w:t xml:space="preserve"> </w:t>
      </w:r>
      <w:r>
        <w:t>Geelong</w:t>
      </w:r>
      <w:r w:rsidR="0013032F">
        <w:t xml:space="preserve"> </w:t>
      </w:r>
      <w:r>
        <w:t>public</w:t>
      </w:r>
      <w:r w:rsidR="0013032F">
        <w:t xml:space="preserve"> </w:t>
      </w:r>
      <w:r>
        <w:t>transport</w:t>
      </w:r>
      <w:r w:rsidR="0013032F">
        <w:t xml:space="preserve"> </w:t>
      </w:r>
      <w:r>
        <w:t>network</w:t>
      </w:r>
      <w:r w:rsidR="0013032F">
        <w:t xml:space="preserve"> </w:t>
      </w:r>
      <w:r>
        <w:t>with</w:t>
      </w:r>
      <w:r w:rsidR="0013032F">
        <w:t xml:space="preserve"> </w:t>
      </w:r>
      <w:r>
        <w:t>subsequent</w:t>
      </w:r>
      <w:r w:rsidR="0013032F">
        <w:t xml:space="preserve"> </w:t>
      </w:r>
      <w:r>
        <w:t>phased</w:t>
      </w:r>
      <w:r w:rsidR="0013032F">
        <w:t xml:space="preserve"> </w:t>
      </w:r>
      <w:r>
        <w:t>uplifts</w:t>
      </w:r>
      <w:r w:rsidR="0013032F">
        <w:t xml:space="preserve"> </w:t>
      </w:r>
      <w:r>
        <w:t>to</w:t>
      </w:r>
      <w:r w:rsidR="0013032F">
        <w:t xml:space="preserve"> </w:t>
      </w:r>
      <w:r>
        <w:t>the</w:t>
      </w:r>
      <w:r w:rsidR="0013032F">
        <w:t xml:space="preserve"> </w:t>
      </w:r>
      <w:r>
        <w:t>network</w:t>
      </w:r>
      <w:r w:rsidR="0013032F">
        <w:t xml:space="preserve"> </w:t>
      </w:r>
      <w:r>
        <w:t>over</w:t>
      </w:r>
      <w:r w:rsidR="0013032F">
        <w:t xml:space="preserve"> </w:t>
      </w:r>
      <w:r>
        <w:t>the</w:t>
      </w:r>
      <w:r w:rsidR="0013032F">
        <w:t xml:space="preserve"> </w:t>
      </w:r>
      <w:r>
        <w:t>next</w:t>
      </w:r>
      <w:r w:rsidR="0013032F">
        <w:t xml:space="preserve"> </w:t>
      </w:r>
      <w:r>
        <w:t>4</w:t>
      </w:r>
      <w:r w:rsidR="0013032F">
        <w:t xml:space="preserve"> </w:t>
      </w:r>
      <w:r>
        <w:t>years</w:t>
      </w:r>
    </w:p>
    <w:p w14:paraId="432A08CF" w14:textId="25381E00" w:rsidR="00757772" w:rsidRDefault="00305D3C" w:rsidP="00095514">
      <w:pPr>
        <w:pStyle w:val="Bullet"/>
      </w:pPr>
      <w:r w:rsidRPr="007B59C0">
        <w:rPr>
          <w:b/>
          <w:bCs/>
        </w:rPr>
        <w:t>Accelerate</w:t>
      </w:r>
      <w:r w:rsidR="0013032F" w:rsidRPr="007B59C0">
        <w:rPr>
          <w:b/>
          <w:bCs/>
        </w:rPr>
        <w:t xml:space="preserve"> </w:t>
      </w:r>
      <w:r w:rsidRPr="007B59C0">
        <w:rPr>
          <w:b/>
          <w:bCs/>
        </w:rPr>
        <w:t>transition</w:t>
      </w:r>
      <w:r w:rsidR="0013032F" w:rsidRPr="007B59C0">
        <w:rPr>
          <w:b/>
          <w:bCs/>
        </w:rPr>
        <w:t xml:space="preserve"> </w:t>
      </w:r>
      <w:r w:rsidRPr="007B59C0">
        <w:rPr>
          <w:b/>
          <w:bCs/>
        </w:rPr>
        <w:t>to</w:t>
      </w:r>
      <w:r w:rsidR="0013032F" w:rsidRPr="007B59C0">
        <w:rPr>
          <w:b/>
          <w:bCs/>
        </w:rPr>
        <w:t xml:space="preserve"> </w:t>
      </w:r>
      <w:r w:rsidRPr="007B59C0">
        <w:rPr>
          <w:b/>
          <w:bCs/>
        </w:rPr>
        <w:t>a</w:t>
      </w:r>
      <w:r w:rsidR="0013032F" w:rsidRPr="007B59C0">
        <w:rPr>
          <w:b/>
          <w:bCs/>
        </w:rPr>
        <w:t xml:space="preserve"> </w:t>
      </w:r>
      <w:r w:rsidRPr="007B59C0">
        <w:rPr>
          <w:b/>
          <w:bCs/>
        </w:rPr>
        <w:t>clean</w:t>
      </w:r>
      <w:r w:rsidR="0013032F" w:rsidRPr="007B59C0">
        <w:rPr>
          <w:b/>
          <w:bCs/>
        </w:rPr>
        <w:t xml:space="preserve"> </w:t>
      </w:r>
      <w:r w:rsidRPr="007B59C0">
        <w:rPr>
          <w:b/>
          <w:bCs/>
        </w:rPr>
        <w:t>economy</w:t>
      </w:r>
      <w:r w:rsidR="0013032F">
        <w:t xml:space="preserve"> </w:t>
      </w:r>
      <w:r>
        <w:t>–</w:t>
      </w:r>
      <w:r w:rsidR="0013032F">
        <w:t xml:space="preserve"> </w:t>
      </w:r>
      <w:r>
        <w:t>enabled</w:t>
      </w:r>
      <w:r w:rsidR="0013032F">
        <w:t xml:space="preserve"> </w:t>
      </w:r>
      <w:r>
        <w:t>and</w:t>
      </w:r>
      <w:r w:rsidR="0013032F">
        <w:t xml:space="preserve"> </w:t>
      </w:r>
      <w:r>
        <w:t>coordinated</w:t>
      </w:r>
      <w:r w:rsidR="0013032F">
        <w:t xml:space="preserve"> </w:t>
      </w:r>
      <w:r>
        <w:t>a</w:t>
      </w:r>
      <w:r w:rsidR="0013032F">
        <w:t xml:space="preserve"> </w:t>
      </w:r>
      <w:r>
        <w:t>regional-scale</w:t>
      </w:r>
      <w:r w:rsidR="0013032F">
        <w:t xml:space="preserve"> </w:t>
      </w:r>
      <w:r>
        <w:t>effort</w:t>
      </w:r>
      <w:r w:rsidR="0013032F">
        <w:t xml:space="preserve"> </w:t>
      </w:r>
      <w:r>
        <w:t>for</w:t>
      </w:r>
      <w:r w:rsidR="0013032F">
        <w:t xml:space="preserve"> </w:t>
      </w:r>
      <w:r>
        <w:t>the</w:t>
      </w:r>
      <w:r w:rsidR="0013032F">
        <w:t xml:space="preserve"> </w:t>
      </w:r>
      <w:r>
        <w:t>rapid</w:t>
      </w:r>
      <w:r w:rsidR="0013032F">
        <w:t xml:space="preserve"> </w:t>
      </w:r>
      <w:r>
        <w:t>transition</w:t>
      </w:r>
      <w:r w:rsidR="0013032F">
        <w:t xml:space="preserve"> </w:t>
      </w:r>
      <w:r>
        <w:t>to</w:t>
      </w:r>
      <w:r w:rsidR="0013032F">
        <w:t xml:space="preserve"> </w:t>
      </w:r>
      <w:r>
        <w:t>a</w:t>
      </w:r>
      <w:r w:rsidR="0013032F">
        <w:t xml:space="preserve"> </w:t>
      </w:r>
      <w:r>
        <w:t>renewable</w:t>
      </w:r>
      <w:r w:rsidR="0013032F">
        <w:t xml:space="preserve"> </w:t>
      </w:r>
      <w:r>
        <w:t>energy</w:t>
      </w:r>
      <w:r w:rsidR="0013032F">
        <w:t xml:space="preserve"> </w:t>
      </w:r>
      <w:r>
        <w:t>and</w:t>
      </w:r>
      <w:r w:rsidR="0013032F">
        <w:t xml:space="preserve"> </w:t>
      </w:r>
      <w:r>
        <w:t>circular</w:t>
      </w:r>
      <w:r w:rsidR="0013032F">
        <w:t xml:space="preserve"> </w:t>
      </w:r>
      <w:r>
        <w:t>economy</w:t>
      </w:r>
      <w:r w:rsidR="0013032F">
        <w:t xml:space="preserve"> </w:t>
      </w:r>
      <w:r>
        <w:t>with</w:t>
      </w:r>
      <w:r w:rsidR="0013032F">
        <w:t xml:space="preserve"> </w:t>
      </w:r>
      <w:r>
        <w:t>a</w:t>
      </w:r>
      <w:r w:rsidR="0013032F">
        <w:t xml:space="preserve"> </w:t>
      </w:r>
      <w:r>
        <w:t>focus</w:t>
      </w:r>
      <w:r w:rsidR="0013032F">
        <w:t xml:space="preserve"> </w:t>
      </w:r>
      <w:r>
        <w:t>on</w:t>
      </w:r>
      <w:r w:rsidR="0013032F">
        <w:t xml:space="preserve"> </w:t>
      </w:r>
      <w:r>
        <w:t>investment</w:t>
      </w:r>
      <w:r w:rsidR="0013032F">
        <w:t xml:space="preserve"> </w:t>
      </w:r>
      <w:r>
        <w:t>in</w:t>
      </w:r>
      <w:r w:rsidR="0013032F">
        <w:t xml:space="preserve"> </w:t>
      </w:r>
      <w:r>
        <w:t>innovative</w:t>
      </w:r>
      <w:r w:rsidR="0013032F">
        <w:t xml:space="preserve"> </w:t>
      </w:r>
      <w:r>
        <w:t>renewable</w:t>
      </w:r>
      <w:r w:rsidR="0013032F">
        <w:t xml:space="preserve"> </w:t>
      </w:r>
      <w:r>
        <w:t>energy</w:t>
      </w:r>
      <w:r w:rsidR="0013032F">
        <w:t xml:space="preserve"> </w:t>
      </w:r>
      <w:r>
        <w:t>and</w:t>
      </w:r>
      <w:r w:rsidR="0013032F">
        <w:t xml:space="preserve"> </w:t>
      </w:r>
      <w:r>
        <w:t>water</w:t>
      </w:r>
      <w:r w:rsidR="0013032F">
        <w:t xml:space="preserve"> </w:t>
      </w:r>
      <w:r>
        <w:t>projects</w:t>
      </w:r>
    </w:p>
    <w:p w14:paraId="3EA0CBAF" w14:textId="09A197F0" w:rsidR="00757772" w:rsidRDefault="00305D3C" w:rsidP="007B59C0">
      <w:pPr>
        <w:pStyle w:val="Bullet"/>
      </w:pPr>
      <w:r w:rsidRPr="007B59C0">
        <w:rPr>
          <w:b/>
          <w:bCs/>
        </w:rPr>
        <w:t>Care</w:t>
      </w:r>
      <w:r w:rsidR="0013032F" w:rsidRPr="007B59C0">
        <w:rPr>
          <w:b/>
          <w:bCs/>
        </w:rPr>
        <w:t xml:space="preserve"> </w:t>
      </w:r>
      <w:r w:rsidRPr="007B59C0">
        <w:rPr>
          <w:b/>
          <w:bCs/>
        </w:rPr>
        <w:t>for</w:t>
      </w:r>
      <w:r w:rsidR="0013032F" w:rsidRPr="007B59C0">
        <w:rPr>
          <w:b/>
          <w:bCs/>
        </w:rPr>
        <w:t xml:space="preserve"> </w:t>
      </w:r>
      <w:r w:rsidRPr="007B59C0">
        <w:rPr>
          <w:b/>
          <w:bCs/>
        </w:rPr>
        <w:t>country</w:t>
      </w:r>
      <w:r w:rsidR="0013032F" w:rsidRPr="007B59C0">
        <w:rPr>
          <w:b/>
          <w:bCs/>
        </w:rPr>
        <w:t xml:space="preserve"> </w:t>
      </w:r>
      <w:r w:rsidRPr="007B59C0">
        <w:t>–</w:t>
      </w:r>
      <w:r w:rsidR="0013032F">
        <w:t xml:space="preserve"> </w:t>
      </w:r>
      <w:r>
        <w:t>drawing</w:t>
      </w:r>
      <w:r w:rsidR="0013032F">
        <w:t xml:space="preserve"> </w:t>
      </w:r>
      <w:r>
        <w:t>on</w:t>
      </w:r>
      <w:r w:rsidR="0013032F">
        <w:t xml:space="preserve"> </w:t>
      </w:r>
      <w:r>
        <w:t>the</w:t>
      </w:r>
      <w:r w:rsidR="0013032F">
        <w:t xml:space="preserve"> </w:t>
      </w:r>
      <w:r>
        <w:t>rich</w:t>
      </w:r>
      <w:r w:rsidR="0013032F">
        <w:t xml:space="preserve"> </w:t>
      </w:r>
      <w:r>
        <w:t>knowledge</w:t>
      </w:r>
      <w:r w:rsidR="0013032F">
        <w:t xml:space="preserve"> </w:t>
      </w:r>
      <w:r>
        <w:t>and</w:t>
      </w:r>
      <w:r w:rsidR="0013032F">
        <w:t xml:space="preserve"> </w:t>
      </w:r>
      <w:r>
        <w:t>advice</w:t>
      </w:r>
      <w:r w:rsidR="0013032F">
        <w:t xml:space="preserve"> </w:t>
      </w:r>
      <w:r>
        <w:t>of</w:t>
      </w:r>
      <w:r w:rsidR="0013032F">
        <w:t xml:space="preserve"> </w:t>
      </w:r>
      <w:r>
        <w:t>Traditional</w:t>
      </w:r>
      <w:r w:rsidR="0013032F">
        <w:t xml:space="preserve"> </w:t>
      </w:r>
      <w:r>
        <w:t>Owners,</w:t>
      </w:r>
      <w:r w:rsidR="0013032F">
        <w:t xml:space="preserve"> </w:t>
      </w:r>
      <w:r>
        <w:t>created</w:t>
      </w:r>
      <w:r w:rsidR="0013032F">
        <w:t xml:space="preserve"> </w:t>
      </w:r>
      <w:r>
        <w:t>spaces</w:t>
      </w:r>
      <w:r w:rsidR="0013032F">
        <w:t xml:space="preserve"> </w:t>
      </w:r>
      <w:r>
        <w:t>of</w:t>
      </w:r>
      <w:r w:rsidR="0013032F">
        <w:t xml:space="preserve"> </w:t>
      </w:r>
      <w:r>
        <w:t>cultural,</w:t>
      </w:r>
      <w:r w:rsidR="0013032F">
        <w:t xml:space="preserve"> </w:t>
      </w:r>
      <w:r>
        <w:t>social,</w:t>
      </w:r>
      <w:r w:rsidR="0013032F">
        <w:t xml:space="preserve"> </w:t>
      </w:r>
      <w:r>
        <w:t>economic</w:t>
      </w:r>
      <w:r w:rsidR="0013032F">
        <w:t xml:space="preserve"> </w:t>
      </w:r>
      <w:r>
        <w:t>and</w:t>
      </w:r>
      <w:r w:rsidR="0013032F">
        <w:t xml:space="preserve"> </w:t>
      </w:r>
      <w:r>
        <w:t>environmental</w:t>
      </w:r>
      <w:r w:rsidR="0013032F">
        <w:t xml:space="preserve"> </w:t>
      </w:r>
      <w:r>
        <w:t>benefit.</w:t>
      </w:r>
      <w:r w:rsidR="0013032F">
        <w:t xml:space="preserve"> </w:t>
      </w:r>
      <w:r>
        <w:t>Specifically,</w:t>
      </w:r>
      <w:r w:rsidR="0013032F">
        <w:t xml:space="preserve"> </w:t>
      </w:r>
      <w:r>
        <w:t>the</w:t>
      </w:r>
      <w:r w:rsidR="0013032F">
        <w:t xml:space="preserve"> </w:t>
      </w:r>
      <w:r>
        <w:t>geographical</w:t>
      </w:r>
      <w:r w:rsidR="0013032F">
        <w:t xml:space="preserve"> </w:t>
      </w:r>
      <w:r>
        <w:t>areas</w:t>
      </w:r>
      <w:r w:rsidR="0013032F">
        <w:t xml:space="preserve"> </w:t>
      </w:r>
      <w:r>
        <w:t>within</w:t>
      </w:r>
      <w:r w:rsidR="0013032F">
        <w:t xml:space="preserve"> </w:t>
      </w:r>
      <w:r>
        <w:t>the</w:t>
      </w:r>
      <w:r w:rsidR="0013032F">
        <w:t xml:space="preserve"> </w:t>
      </w:r>
      <w:r>
        <w:t>Barwon</w:t>
      </w:r>
      <w:r w:rsidR="0013032F">
        <w:t xml:space="preserve"> </w:t>
      </w:r>
      <w:r>
        <w:t>region</w:t>
      </w:r>
      <w:r w:rsidR="0013032F">
        <w:t xml:space="preserve"> </w:t>
      </w:r>
      <w:r>
        <w:t>of:</w:t>
      </w:r>
      <w:r w:rsidR="0013032F">
        <w:t xml:space="preserve"> </w:t>
      </w:r>
    </w:p>
    <w:p w14:paraId="39B2D44A" w14:textId="7300B7CA" w:rsidR="00757772" w:rsidRDefault="00305D3C" w:rsidP="007B59C0">
      <w:pPr>
        <w:pStyle w:val="Bullet2"/>
      </w:pPr>
      <w:proofErr w:type="spellStart"/>
      <w:r>
        <w:t>Kitjarra</w:t>
      </w:r>
      <w:proofErr w:type="spellEnd"/>
      <w:r>
        <w:t>-</w:t>
      </w:r>
      <w:proofErr w:type="spellStart"/>
      <w:r>
        <w:t>dja</w:t>
      </w:r>
      <w:proofErr w:type="spellEnd"/>
      <w:r>
        <w:t>-bul</w:t>
      </w:r>
      <w:r w:rsidR="0013032F">
        <w:t xml:space="preserve"> </w:t>
      </w:r>
      <w:proofErr w:type="spellStart"/>
      <w:r>
        <w:t>bullarto</w:t>
      </w:r>
      <w:proofErr w:type="spellEnd"/>
      <w:r w:rsidR="0013032F">
        <w:t xml:space="preserve"> </w:t>
      </w:r>
      <w:proofErr w:type="spellStart"/>
      <w:r>
        <w:t>langi-ut</w:t>
      </w:r>
      <w:proofErr w:type="spellEnd"/>
    </w:p>
    <w:p w14:paraId="1C86DAF3" w14:textId="45FB93FA" w:rsidR="00757772" w:rsidRDefault="00305D3C" w:rsidP="007B59C0">
      <w:pPr>
        <w:pStyle w:val="Bullet2"/>
      </w:pPr>
      <w:proofErr w:type="spellStart"/>
      <w:r>
        <w:rPr>
          <w:spacing w:val="-3"/>
        </w:rPr>
        <w:t>Porronggitj</w:t>
      </w:r>
      <w:proofErr w:type="spellEnd"/>
      <w:r w:rsidR="0013032F">
        <w:rPr>
          <w:spacing w:val="-3"/>
        </w:rPr>
        <w:t xml:space="preserve"> </w:t>
      </w:r>
      <w:proofErr w:type="spellStart"/>
      <w:r>
        <w:rPr>
          <w:spacing w:val="-3"/>
        </w:rPr>
        <w:t>Karrong</w:t>
      </w:r>
      <w:proofErr w:type="spellEnd"/>
      <w:r w:rsidR="0013032F">
        <w:rPr>
          <w:spacing w:val="-3"/>
        </w:rPr>
        <w:t xml:space="preserve"> </w:t>
      </w:r>
      <w:r>
        <w:rPr>
          <w:spacing w:val="-3"/>
        </w:rPr>
        <w:t>cultural</w:t>
      </w:r>
      <w:r w:rsidR="0013032F">
        <w:rPr>
          <w:spacing w:val="-3"/>
        </w:rPr>
        <w:t xml:space="preserve"> </w:t>
      </w:r>
      <w:r>
        <w:rPr>
          <w:spacing w:val="-3"/>
        </w:rPr>
        <w:t>and</w:t>
      </w:r>
      <w:r w:rsidR="0013032F">
        <w:rPr>
          <w:spacing w:val="-3"/>
        </w:rPr>
        <w:t xml:space="preserve"> </w:t>
      </w:r>
      <w:r>
        <w:rPr>
          <w:spacing w:val="-3"/>
        </w:rPr>
        <w:t>community</w:t>
      </w:r>
      <w:r w:rsidR="0013032F">
        <w:rPr>
          <w:spacing w:val="-3"/>
        </w:rPr>
        <w:t xml:space="preserve"> </w:t>
      </w:r>
      <w:r>
        <w:rPr>
          <w:spacing w:val="-3"/>
        </w:rPr>
        <w:t>precinct</w:t>
      </w:r>
      <w:r w:rsidR="0013032F">
        <w:rPr>
          <w:spacing w:val="-3"/>
        </w:rPr>
        <w:t xml:space="preserve"> </w:t>
      </w:r>
    </w:p>
    <w:p w14:paraId="7C8A5B5D" w14:textId="4FA7E9F5" w:rsidR="00757772" w:rsidRDefault="00305D3C" w:rsidP="007B59C0">
      <w:pPr>
        <w:pStyle w:val="Bullet2"/>
      </w:pPr>
      <w:proofErr w:type="spellStart"/>
      <w:r>
        <w:t>Murrk</w:t>
      </w:r>
      <w:proofErr w:type="spellEnd"/>
      <w:r w:rsidR="0013032F">
        <w:t xml:space="preserve"> </w:t>
      </w:r>
      <w:proofErr w:type="spellStart"/>
      <w:r>
        <w:t>Njubitj</w:t>
      </w:r>
      <w:proofErr w:type="spellEnd"/>
      <w:r w:rsidR="0013032F">
        <w:t xml:space="preserve"> </w:t>
      </w:r>
      <w:r>
        <w:t>Yarram</w:t>
      </w:r>
      <w:r w:rsidR="0013032F">
        <w:t xml:space="preserve"> </w:t>
      </w:r>
      <w:proofErr w:type="spellStart"/>
      <w:r>
        <w:t>Yalok</w:t>
      </w:r>
      <w:proofErr w:type="spellEnd"/>
      <w:r>
        <w:t>.</w:t>
      </w:r>
    </w:p>
    <w:p w14:paraId="45EFC589" w14:textId="77777777" w:rsidR="00757772" w:rsidRDefault="00305D3C" w:rsidP="007B59C0">
      <w:pPr>
        <w:pStyle w:val="Heading3"/>
      </w:pPr>
      <w:r>
        <w:t>Highlights:</w:t>
      </w:r>
    </w:p>
    <w:p w14:paraId="1A7A01AC" w14:textId="1B0D2676" w:rsidR="00757772" w:rsidRDefault="00305D3C" w:rsidP="007B59C0">
      <w:pPr>
        <w:pStyle w:val="Bullet"/>
      </w:pPr>
      <w:r>
        <w:t>Identified</w:t>
      </w:r>
      <w:r w:rsidR="0013032F">
        <w:t xml:space="preserve"> </w:t>
      </w:r>
      <w:r>
        <w:t>potential</w:t>
      </w:r>
      <w:r w:rsidR="0013032F">
        <w:t xml:space="preserve"> </w:t>
      </w:r>
      <w:r>
        <w:t>rail</w:t>
      </w:r>
      <w:r w:rsidR="0013032F">
        <w:t xml:space="preserve"> </w:t>
      </w:r>
      <w:r>
        <w:t>precincts</w:t>
      </w:r>
      <w:r w:rsidR="0013032F">
        <w:t xml:space="preserve"> </w:t>
      </w:r>
      <w:r>
        <w:t>across</w:t>
      </w:r>
      <w:r w:rsidR="0013032F">
        <w:t xml:space="preserve"> </w:t>
      </w:r>
      <w:r>
        <w:t>the</w:t>
      </w:r>
      <w:r w:rsidR="0013032F">
        <w:t xml:space="preserve"> </w:t>
      </w:r>
      <w:r>
        <w:t>region</w:t>
      </w:r>
      <w:r w:rsidR="0013032F">
        <w:t xml:space="preserve"> </w:t>
      </w:r>
      <w:r>
        <w:t>that</w:t>
      </w:r>
      <w:r w:rsidR="0013032F">
        <w:t xml:space="preserve"> </w:t>
      </w:r>
      <w:r>
        <w:t>would</w:t>
      </w:r>
      <w:r w:rsidR="0013032F">
        <w:t xml:space="preserve"> </w:t>
      </w:r>
      <w:r>
        <w:t>benefit</w:t>
      </w:r>
      <w:r w:rsidR="0013032F">
        <w:t xml:space="preserve"> </w:t>
      </w:r>
      <w:r>
        <w:t>from</w:t>
      </w:r>
      <w:r w:rsidR="0013032F">
        <w:t xml:space="preserve"> </w:t>
      </w:r>
      <w:r>
        <w:t>coordinated</w:t>
      </w:r>
      <w:r w:rsidR="0013032F">
        <w:t xml:space="preserve"> </w:t>
      </w:r>
      <w:r>
        <w:t>land</w:t>
      </w:r>
      <w:r w:rsidR="0013032F">
        <w:t xml:space="preserve"> </w:t>
      </w:r>
      <w:r>
        <w:t>use,</w:t>
      </w:r>
      <w:r w:rsidR="0013032F">
        <w:t xml:space="preserve"> </w:t>
      </w:r>
      <w:r>
        <w:t>transport</w:t>
      </w:r>
      <w:r w:rsidR="0013032F">
        <w:t xml:space="preserve"> </w:t>
      </w:r>
      <w:r>
        <w:t>and</w:t>
      </w:r>
      <w:r w:rsidR="0013032F">
        <w:t xml:space="preserve"> </w:t>
      </w:r>
      <w:r>
        <w:t>density</w:t>
      </w:r>
      <w:r w:rsidR="0013032F">
        <w:t xml:space="preserve"> </w:t>
      </w:r>
      <w:r>
        <w:t>planning</w:t>
      </w:r>
      <w:r w:rsidR="0013032F">
        <w:t xml:space="preserve"> </w:t>
      </w:r>
      <w:r>
        <w:t>to</w:t>
      </w:r>
      <w:r w:rsidR="0013032F">
        <w:t xml:space="preserve"> </w:t>
      </w:r>
      <w:r>
        <w:t>facilitate</w:t>
      </w:r>
      <w:r w:rsidR="0013032F">
        <w:t xml:space="preserve"> </w:t>
      </w:r>
      <w:r>
        <w:t>sustainable</w:t>
      </w:r>
      <w:r w:rsidR="0013032F">
        <w:t xml:space="preserve"> </w:t>
      </w:r>
      <w:r>
        <w:t>population</w:t>
      </w:r>
      <w:r w:rsidR="0013032F">
        <w:t xml:space="preserve"> </w:t>
      </w:r>
      <w:r>
        <w:t>growth,</w:t>
      </w:r>
      <w:r w:rsidR="0013032F">
        <w:t xml:space="preserve"> </w:t>
      </w:r>
      <w:r>
        <w:t>urban</w:t>
      </w:r>
      <w:r w:rsidR="0013032F">
        <w:t xml:space="preserve"> </w:t>
      </w:r>
      <w:r>
        <w:t>renewal</w:t>
      </w:r>
      <w:r w:rsidR="0013032F">
        <w:t xml:space="preserve"> </w:t>
      </w:r>
      <w:r>
        <w:t>and</w:t>
      </w:r>
      <w:r w:rsidR="0013032F">
        <w:t xml:space="preserve"> </w:t>
      </w:r>
      <w:r>
        <w:t>improved</w:t>
      </w:r>
      <w:r w:rsidR="0013032F">
        <w:t xml:space="preserve"> </w:t>
      </w:r>
      <w:r>
        <w:t>liveability</w:t>
      </w:r>
    </w:p>
    <w:p w14:paraId="559EE259" w14:textId="3909EF76" w:rsidR="00757772" w:rsidRDefault="00305D3C" w:rsidP="007B59C0">
      <w:pPr>
        <w:pStyle w:val="Bullet"/>
      </w:pPr>
      <w:r>
        <w:t>Partnered</w:t>
      </w:r>
      <w:r w:rsidR="0013032F">
        <w:t xml:space="preserve"> </w:t>
      </w:r>
      <w:r>
        <w:t>with</w:t>
      </w:r>
      <w:r w:rsidR="0013032F">
        <w:t xml:space="preserve"> </w:t>
      </w:r>
      <w:r>
        <w:t>RDA</w:t>
      </w:r>
      <w:r w:rsidR="0013032F">
        <w:t xml:space="preserve"> </w:t>
      </w:r>
      <w:r>
        <w:t>Barwon</w:t>
      </w:r>
      <w:r w:rsidR="0013032F">
        <w:t xml:space="preserve"> </w:t>
      </w:r>
      <w:r>
        <w:t>South</w:t>
      </w:r>
      <w:r w:rsidR="0013032F">
        <w:t xml:space="preserve"> </w:t>
      </w:r>
      <w:r>
        <w:t>West</w:t>
      </w:r>
      <w:r w:rsidR="0013032F">
        <w:t xml:space="preserve"> </w:t>
      </w:r>
      <w:r>
        <w:t>to</w:t>
      </w:r>
      <w:r w:rsidR="0013032F">
        <w:t xml:space="preserve"> </w:t>
      </w:r>
      <w:r>
        <w:t>support</w:t>
      </w:r>
      <w:r w:rsidR="0013032F">
        <w:t xml:space="preserve"> </w:t>
      </w:r>
      <w:r>
        <w:t>the</w:t>
      </w:r>
      <w:r w:rsidR="0013032F">
        <w:t xml:space="preserve"> </w:t>
      </w:r>
      <w:r>
        <w:t>delivery</w:t>
      </w:r>
      <w:r w:rsidR="0013032F">
        <w:t xml:space="preserve"> </w:t>
      </w:r>
      <w:r>
        <w:t>of</w:t>
      </w:r>
      <w:r w:rsidR="0013032F">
        <w:t xml:space="preserve"> </w:t>
      </w:r>
      <w:r>
        <w:t>the</w:t>
      </w:r>
      <w:r w:rsidR="0013032F">
        <w:t xml:space="preserve"> </w:t>
      </w:r>
      <w:r>
        <w:t>G21</w:t>
      </w:r>
      <w:r w:rsidR="0013032F">
        <w:t xml:space="preserve"> </w:t>
      </w:r>
      <w:r>
        <w:t>Geelong</w:t>
      </w:r>
      <w:r w:rsidR="0013032F">
        <w:t xml:space="preserve"> </w:t>
      </w:r>
      <w:r>
        <w:t>Region</w:t>
      </w:r>
      <w:r w:rsidR="0013032F">
        <w:t xml:space="preserve"> </w:t>
      </w:r>
      <w:r>
        <w:t>Plan</w:t>
      </w:r>
      <w:r w:rsidR="0013032F">
        <w:t xml:space="preserve"> </w:t>
      </w:r>
      <w:r>
        <w:t>refresh.</w:t>
      </w:r>
      <w:r w:rsidR="0013032F">
        <w:t xml:space="preserve"> </w:t>
      </w:r>
      <w:r>
        <w:t>The</w:t>
      </w:r>
      <w:r w:rsidR="0013032F">
        <w:t xml:space="preserve"> </w:t>
      </w:r>
      <w:r>
        <w:t>project</w:t>
      </w:r>
      <w:r w:rsidR="0013032F">
        <w:t xml:space="preserve"> </w:t>
      </w:r>
      <w:r>
        <w:t>aims</w:t>
      </w:r>
      <w:r w:rsidR="0013032F">
        <w:t xml:space="preserve"> </w:t>
      </w:r>
      <w:r>
        <w:t>to</w:t>
      </w:r>
      <w:r w:rsidR="0013032F">
        <w:t xml:space="preserve"> </w:t>
      </w:r>
      <w:r>
        <w:t>answer</w:t>
      </w:r>
      <w:r w:rsidR="0013032F">
        <w:t xml:space="preserve"> </w:t>
      </w:r>
      <w:r>
        <w:t>the</w:t>
      </w:r>
      <w:r w:rsidR="0013032F">
        <w:t xml:space="preserve"> </w:t>
      </w:r>
      <w:r>
        <w:t>question</w:t>
      </w:r>
      <w:r w:rsidR="0013032F">
        <w:t xml:space="preserve"> </w:t>
      </w:r>
      <w:r>
        <w:t>of</w:t>
      </w:r>
      <w:r w:rsidR="0013032F">
        <w:t xml:space="preserve"> </w:t>
      </w:r>
      <w:r>
        <w:t>‘What</w:t>
      </w:r>
      <w:r w:rsidR="0013032F">
        <w:t xml:space="preserve"> </w:t>
      </w:r>
      <w:r>
        <w:t>does</w:t>
      </w:r>
      <w:r w:rsidR="0013032F">
        <w:t xml:space="preserve"> </w:t>
      </w:r>
      <w:r>
        <w:t>good</w:t>
      </w:r>
      <w:r w:rsidR="0013032F">
        <w:t xml:space="preserve"> </w:t>
      </w:r>
      <w:r>
        <w:t>growth</w:t>
      </w:r>
      <w:r w:rsidR="0013032F">
        <w:t xml:space="preserve"> </w:t>
      </w:r>
      <w:r>
        <w:t>look</w:t>
      </w:r>
      <w:r w:rsidR="0013032F">
        <w:t xml:space="preserve"> </w:t>
      </w:r>
      <w:r>
        <w:t>like</w:t>
      </w:r>
      <w:r w:rsidR="0013032F">
        <w:t xml:space="preserve"> </w:t>
      </w:r>
      <w:r>
        <w:t>and</w:t>
      </w:r>
      <w:r w:rsidR="0013032F">
        <w:t xml:space="preserve"> </w:t>
      </w:r>
      <w:r>
        <w:t>how</w:t>
      </w:r>
      <w:r w:rsidR="0013032F">
        <w:t xml:space="preserve"> </w:t>
      </w:r>
      <w:r>
        <w:t>can</w:t>
      </w:r>
      <w:r w:rsidR="0013032F">
        <w:t xml:space="preserve"> </w:t>
      </w:r>
      <w:r>
        <w:t>we</w:t>
      </w:r>
      <w:r w:rsidR="0013032F">
        <w:t xml:space="preserve"> </w:t>
      </w:r>
      <w:r>
        <w:t>achieve</w:t>
      </w:r>
      <w:r w:rsidR="0013032F">
        <w:t xml:space="preserve"> </w:t>
      </w:r>
      <w:r>
        <w:t>this</w:t>
      </w:r>
      <w:r w:rsidR="0013032F">
        <w:t xml:space="preserve"> </w:t>
      </w:r>
      <w:r>
        <w:t>together?’</w:t>
      </w:r>
    </w:p>
    <w:p w14:paraId="4B5E5962" w14:textId="603B3E88" w:rsidR="00757772" w:rsidRDefault="00305D3C" w:rsidP="007B59C0">
      <w:pPr>
        <w:pStyle w:val="Bullet"/>
      </w:pPr>
      <w:r>
        <w:lastRenderedPageBreak/>
        <w:t>Through</w:t>
      </w:r>
      <w:r w:rsidR="0013032F">
        <w:t xml:space="preserve"> </w:t>
      </w:r>
      <w:r>
        <w:t>the</w:t>
      </w:r>
      <w:r w:rsidR="0013032F">
        <w:t xml:space="preserve"> </w:t>
      </w:r>
      <w:r>
        <w:t>Regional</w:t>
      </w:r>
      <w:r w:rsidR="0013032F">
        <w:t xml:space="preserve"> </w:t>
      </w:r>
      <w:r>
        <w:t>Partnership</w:t>
      </w:r>
      <w:r w:rsidR="0013032F">
        <w:t xml:space="preserve"> </w:t>
      </w:r>
      <w:r>
        <w:t>Development</w:t>
      </w:r>
      <w:r w:rsidR="0013032F">
        <w:t xml:space="preserve"> </w:t>
      </w:r>
      <w:r>
        <w:t>Fund</w:t>
      </w:r>
      <w:r w:rsidR="0013032F">
        <w:t xml:space="preserve"> </w:t>
      </w:r>
      <w:r>
        <w:t>the</w:t>
      </w:r>
      <w:r w:rsidR="0013032F">
        <w:t xml:space="preserve"> </w:t>
      </w:r>
      <w:r>
        <w:t>BRP</w:t>
      </w:r>
      <w:r w:rsidR="0013032F">
        <w:t xml:space="preserve"> </w:t>
      </w:r>
      <w:r>
        <w:t>is</w:t>
      </w:r>
      <w:r w:rsidR="0013032F">
        <w:t xml:space="preserve"> </w:t>
      </w:r>
      <w:r>
        <w:t>supporting</w:t>
      </w:r>
      <w:r w:rsidR="0013032F">
        <w:t xml:space="preserve"> </w:t>
      </w:r>
      <w:r>
        <w:t>the</w:t>
      </w:r>
      <w:r w:rsidR="0013032F">
        <w:t xml:space="preserve"> </w:t>
      </w:r>
      <w:r>
        <w:t>devel</w:t>
      </w:r>
      <w:r>
        <w:t>opment</w:t>
      </w:r>
      <w:r w:rsidR="0013032F">
        <w:t xml:space="preserve"> </w:t>
      </w:r>
      <w:r>
        <w:t>of</w:t>
      </w:r>
      <w:r w:rsidR="0013032F">
        <w:t xml:space="preserve"> </w:t>
      </w:r>
      <w:r>
        <w:t>a</w:t>
      </w:r>
      <w:r w:rsidR="0013032F">
        <w:t xml:space="preserve"> </w:t>
      </w:r>
      <w:r>
        <w:t>business</w:t>
      </w:r>
      <w:r w:rsidR="0013032F">
        <w:t xml:space="preserve"> </w:t>
      </w:r>
      <w:r>
        <w:t>case</w:t>
      </w:r>
      <w:r w:rsidR="0013032F">
        <w:t xml:space="preserve"> </w:t>
      </w:r>
      <w:r>
        <w:t>for</w:t>
      </w:r>
      <w:r w:rsidR="0013032F">
        <w:t xml:space="preserve"> </w:t>
      </w:r>
      <w:r>
        <w:t>a</w:t>
      </w:r>
      <w:r w:rsidR="0013032F">
        <w:t xml:space="preserve"> </w:t>
      </w:r>
      <w:r>
        <w:t>Circular</w:t>
      </w:r>
      <w:r w:rsidR="0013032F">
        <w:t xml:space="preserve"> </w:t>
      </w:r>
      <w:r>
        <w:t>Economy</w:t>
      </w:r>
      <w:r w:rsidR="0013032F">
        <w:t xml:space="preserve"> </w:t>
      </w:r>
      <w:r>
        <w:t>Commercialisation</w:t>
      </w:r>
      <w:r w:rsidR="0013032F">
        <w:t xml:space="preserve"> </w:t>
      </w:r>
      <w:r>
        <w:t>(CEC)</w:t>
      </w:r>
      <w:r w:rsidR="0013032F">
        <w:t xml:space="preserve"> </w:t>
      </w:r>
      <w:r>
        <w:t>Hub</w:t>
      </w:r>
      <w:r w:rsidR="0013032F">
        <w:t xml:space="preserve"> </w:t>
      </w:r>
      <w:r>
        <w:t>to</w:t>
      </w:r>
      <w:r w:rsidR="0013032F">
        <w:t xml:space="preserve"> </w:t>
      </w:r>
      <w:r>
        <w:t>develop</w:t>
      </w:r>
      <w:r w:rsidR="0013032F">
        <w:t xml:space="preserve"> </w:t>
      </w:r>
      <w:r>
        <w:t>local</w:t>
      </w:r>
      <w:r w:rsidR="0013032F">
        <w:t xml:space="preserve"> </w:t>
      </w:r>
      <w:r>
        <w:t>manufacturing</w:t>
      </w:r>
      <w:r w:rsidR="0013032F">
        <w:t xml:space="preserve"> </w:t>
      </w:r>
      <w:r>
        <w:t>capability,</w:t>
      </w:r>
      <w:r w:rsidR="0013032F">
        <w:t xml:space="preserve"> </w:t>
      </w:r>
      <w:r>
        <w:t>jobs</w:t>
      </w:r>
      <w:r w:rsidR="0013032F">
        <w:t xml:space="preserve"> </w:t>
      </w:r>
      <w:r>
        <w:t>and</w:t>
      </w:r>
      <w:r w:rsidR="0013032F">
        <w:t xml:space="preserve"> </w:t>
      </w:r>
      <w:r>
        <w:t>exports</w:t>
      </w:r>
      <w:r w:rsidR="0013032F">
        <w:t xml:space="preserve"> </w:t>
      </w:r>
      <w:r>
        <w:t>by</w:t>
      </w:r>
      <w:r w:rsidR="0013032F">
        <w:t xml:space="preserve"> </w:t>
      </w:r>
      <w:r>
        <w:t>taking</w:t>
      </w:r>
      <w:r w:rsidR="0013032F">
        <w:t xml:space="preserve"> </w:t>
      </w:r>
      <w:r>
        <w:t>innovative</w:t>
      </w:r>
      <w:r w:rsidR="0013032F">
        <w:t xml:space="preserve"> </w:t>
      </w:r>
      <w:r>
        <w:t>circular</w:t>
      </w:r>
      <w:r w:rsidR="0013032F">
        <w:t xml:space="preserve"> </w:t>
      </w:r>
      <w:r>
        <w:t>economy</w:t>
      </w:r>
      <w:r w:rsidR="0013032F">
        <w:t xml:space="preserve"> </w:t>
      </w:r>
      <w:r>
        <w:t>projects</w:t>
      </w:r>
      <w:r w:rsidR="0013032F">
        <w:t xml:space="preserve"> </w:t>
      </w:r>
      <w:r>
        <w:t>to</w:t>
      </w:r>
      <w:r w:rsidR="0013032F">
        <w:t xml:space="preserve"> </w:t>
      </w:r>
      <w:r>
        <w:t>commercial</w:t>
      </w:r>
      <w:r w:rsidR="0013032F">
        <w:t xml:space="preserve"> </w:t>
      </w:r>
      <w:r>
        <w:t>readiness</w:t>
      </w:r>
    </w:p>
    <w:p w14:paraId="7D97D166" w14:textId="4D644546" w:rsidR="00757772" w:rsidRDefault="00305D3C" w:rsidP="007B59C0">
      <w:pPr>
        <w:pStyle w:val="Bullet"/>
      </w:pPr>
      <w:r>
        <w:t>With</w:t>
      </w:r>
      <w:r w:rsidR="0013032F">
        <w:t xml:space="preserve"> </w:t>
      </w:r>
      <w:r>
        <w:t>funding</w:t>
      </w:r>
      <w:r w:rsidR="0013032F">
        <w:t xml:space="preserve"> </w:t>
      </w:r>
      <w:r>
        <w:t>support</w:t>
      </w:r>
      <w:r w:rsidR="0013032F">
        <w:t xml:space="preserve"> </w:t>
      </w:r>
      <w:r>
        <w:t>from</w:t>
      </w:r>
      <w:r w:rsidR="0013032F">
        <w:t xml:space="preserve"> </w:t>
      </w:r>
      <w:r>
        <w:t>the</w:t>
      </w:r>
      <w:r w:rsidR="0013032F">
        <w:t xml:space="preserve"> </w:t>
      </w:r>
      <w:r>
        <w:t>Regional</w:t>
      </w:r>
      <w:r w:rsidR="0013032F">
        <w:t xml:space="preserve"> </w:t>
      </w:r>
      <w:r>
        <w:t>Partnersh</w:t>
      </w:r>
      <w:r>
        <w:t>ip</w:t>
      </w:r>
      <w:r w:rsidR="0013032F">
        <w:t xml:space="preserve"> </w:t>
      </w:r>
      <w:r>
        <w:t>Development</w:t>
      </w:r>
      <w:r w:rsidR="0013032F">
        <w:t xml:space="preserve"> </w:t>
      </w:r>
      <w:r>
        <w:t>Fund,</w:t>
      </w:r>
      <w:r w:rsidR="0013032F">
        <w:t xml:space="preserve"> </w:t>
      </w:r>
      <w:r>
        <w:t>the</w:t>
      </w:r>
      <w:r w:rsidR="0013032F">
        <w:t xml:space="preserve"> </w:t>
      </w:r>
      <w:r>
        <w:t>BRP</w:t>
      </w:r>
      <w:r w:rsidR="0013032F">
        <w:t xml:space="preserve"> </w:t>
      </w:r>
      <w:r>
        <w:t>supported</w:t>
      </w:r>
      <w:r w:rsidR="0013032F">
        <w:t xml:space="preserve"> </w:t>
      </w:r>
      <w:r>
        <w:t>Brand</w:t>
      </w:r>
      <w:r w:rsidR="0013032F">
        <w:t xml:space="preserve"> </w:t>
      </w:r>
      <w:r>
        <w:t>Geelong</w:t>
      </w:r>
      <w:r w:rsidR="0013032F">
        <w:t xml:space="preserve"> </w:t>
      </w:r>
      <w:r>
        <w:t>Stage</w:t>
      </w:r>
      <w:r w:rsidR="0013032F">
        <w:t xml:space="preserve"> </w:t>
      </w:r>
      <w:r>
        <w:t>3,</w:t>
      </w:r>
      <w:r w:rsidR="0013032F">
        <w:t xml:space="preserve"> </w:t>
      </w:r>
      <w:r>
        <w:t>aiming</w:t>
      </w:r>
      <w:r w:rsidR="0013032F">
        <w:t xml:space="preserve"> </w:t>
      </w:r>
      <w:r>
        <w:t>to</w:t>
      </w:r>
      <w:r w:rsidR="0013032F">
        <w:t xml:space="preserve"> </w:t>
      </w:r>
      <w:r>
        <w:t>sustain</w:t>
      </w:r>
      <w:r w:rsidR="0013032F">
        <w:t xml:space="preserve"> </w:t>
      </w:r>
      <w:r>
        <w:t>the</w:t>
      </w:r>
      <w:r w:rsidR="0013032F">
        <w:t xml:space="preserve"> </w:t>
      </w:r>
      <w:r>
        <w:t>campaign’s</w:t>
      </w:r>
      <w:r w:rsidR="0013032F">
        <w:t xml:space="preserve"> </w:t>
      </w:r>
      <w:r>
        <w:t>momentum,</w:t>
      </w:r>
      <w:r w:rsidR="0013032F">
        <w:t xml:space="preserve"> </w:t>
      </w:r>
      <w:r>
        <w:t>ensure</w:t>
      </w:r>
      <w:r w:rsidR="0013032F">
        <w:t xml:space="preserve"> </w:t>
      </w:r>
      <w:r>
        <w:t>a</w:t>
      </w:r>
      <w:r w:rsidR="0013032F">
        <w:t xml:space="preserve"> </w:t>
      </w:r>
      <w:r>
        <w:t>cohesive,</w:t>
      </w:r>
      <w:r w:rsidR="0013032F">
        <w:t xml:space="preserve"> </w:t>
      </w:r>
      <w:r>
        <w:t>positive</w:t>
      </w:r>
      <w:r w:rsidR="0013032F">
        <w:t xml:space="preserve"> </w:t>
      </w:r>
      <w:r>
        <w:t>narrative</w:t>
      </w:r>
      <w:r w:rsidR="0013032F">
        <w:t xml:space="preserve"> </w:t>
      </w:r>
      <w:r>
        <w:t>showcasing</w:t>
      </w:r>
      <w:r w:rsidR="0013032F">
        <w:t xml:space="preserve"> </w:t>
      </w:r>
      <w:r>
        <w:t>Geelong</w:t>
      </w:r>
      <w:r w:rsidR="0013032F">
        <w:t xml:space="preserve"> </w:t>
      </w:r>
      <w:r>
        <w:t>and</w:t>
      </w:r>
      <w:r w:rsidR="0013032F">
        <w:t xml:space="preserve"> </w:t>
      </w:r>
      <w:r>
        <w:t>bolster</w:t>
      </w:r>
      <w:r w:rsidR="0013032F">
        <w:t xml:space="preserve"> </w:t>
      </w:r>
      <w:r>
        <w:t>community</w:t>
      </w:r>
      <w:r w:rsidR="0013032F">
        <w:t xml:space="preserve"> </w:t>
      </w:r>
      <w:r>
        <w:t>pride</w:t>
      </w:r>
    </w:p>
    <w:p w14:paraId="44493D3A" w14:textId="45B9A4F6" w:rsidR="00757772" w:rsidRDefault="00305D3C" w:rsidP="007B59C0">
      <w:pPr>
        <w:pStyle w:val="Bulletlast"/>
      </w:pPr>
      <w:r>
        <w:t>Worked</w:t>
      </w:r>
      <w:r w:rsidR="0013032F">
        <w:t xml:space="preserve"> </w:t>
      </w:r>
      <w:r>
        <w:t>with</w:t>
      </w:r>
      <w:r w:rsidR="0013032F">
        <w:t xml:space="preserve"> </w:t>
      </w:r>
      <w:r>
        <w:t>the</w:t>
      </w:r>
      <w:r w:rsidR="0013032F">
        <w:t xml:space="preserve"> </w:t>
      </w:r>
      <w:r>
        <w:t>chairs</w:t>
      </w:r>
      <w:r w:rsidR="0013032F">
        <w:t xml:space="preserve"> </w:t>
      </w:r>
      <w:r>
        <w:t>and</w:t>
      </w:r>
      <w:r w:rsidR="0013032F">
        <w:t xml:space="preserve"> </w:t>
      </w:r>
      <w:r>
        <w:t>deputy</w:t>
      </w:r>
      <w:r w:rsidR="0013032F">
        <w:t xml:space="preserve"> </w:t>
      </w:r>
      <w:r>
        <w:t>chairs</w:t>
      </w:r>
      <w:r w:rsidR="0013032F">
        <w:t xml:space="preserve"> </w:t>
      </w:r>
      <w:r>
        <w:t>of</w:t>
      </w:r>
      <w:r w:rsidR="0013032F">
        <w:t xml:space="preserve"> </w:t>
      </w:r>
      <w:r>
        <w:t>the</w:t>
      </w:r>
      <w:r w:rsidR="0013032F">
        <w:t xml:space="preserve"> </w:t>
      </w:r>
      <w:r>
        <w:t>Great</w:t>
      </w:r>
      <w:r w:rsidR="0013032F">
        <w:t xml:space="preserve"> </w:t>
      </w:r>
      <w:r>
        <w:t>South</w:t>
      </w:r>
      <w:r w:rsidR="0013032F">
        <w:t xml:space="preserve"> </w:t>
      </w:r>
      <w:r>
        <w:t>Coast</w:t>
      </w:r>
      <w:r w:rsidR="0013032F">
        <w:t xml:space="preserve"> </w:t>
      </w:r>
      <w:r>
        <w:t>Regional</w:t>
      </w:r>
      <w:r w:rsidR="0013032F">
        <w:t xml:space="preserve"> </w:t>
      </w:r>
      <w:r>
        <w:t>Partnership</w:t>
      </w:r>
      <w:r w:rsidR="0013032F">
        <w:t xml:space="preserve"> </w:t>
      </w:r>
      <w:r>
        <w:t>and</w:t>
      </w:r>
      <w:r w:rsidR="0013032F">
        <w:t xml:space="preserve"> </w:t>
      </w:r>
      <w:r>
        <w:t>RDA</w:t>
      </w:r>
      <w:r w:rsidR="0013032F">
        <w:t xml:space="preserve"> </w:t>
      </w:r>
      <w:r>
        <w:t>Barwon</w:t>
      </w:r>
      <w:r w:rsidR="0013032F">
        <w:t xml:space="preserve"> </w:t>
      </w:r>
      <w:r>
        <w:t>South</w:t>
      </w:r>
      <w:r w:rsidR="0013032F">
        <w:t xml:space="preserve"> </w:t>
      </w:r>
      <w:r>
        <w:t>West</w:t>
      </w:r>
      <w:r w:rsidR="0013032F">
        <w:t xml:space="preserve"> </w:t>
      </w:r>
      <w:r>
        <w:t>to</w:t>
      </w:r>
      <w:r w:rsidR="0013032F">
        <w:t xml:space="preserve"> </w:t>
      </w:r>
      <w:r>
        <w:t>advance</w:t>
      </w:r>
      <w:r w:rsidR="0013032F">
        <w:t xml:space="preserve"> </w:t>
      </w:r>
      <w:r>
        <w:t>advice</w:t>
      </w:r>
      <w:r w:rsidR="0013032F">
        <w:t xml:space="preserve"> </w:t>
      </w:r>
      <w:r>
        <w:t>on</w:t>
      </w:r>
      <w:r w:rsidR="0013032F">
        <w:t xml:space="preserve"> </w:t>
      </w:r>
      <w:r>
        <w:t>common</w:t>
      </w:r>
      <w:r w:rsidR="0013032F">
        <w:t xml:space="preserve"> </w:t>
      </w:r>
      <w:r>
        <w:t>priorities,</w:t>
      </w:r>
      <w:r w:rsidR="0013032F">
        <w:t xml:space="preserve"> </w:t>
      </w:r>
      <w:r>
        <w:t>such</w:t>
      </w:r>
      <w:r w:rsidR="0013032F">
        <w:t xml:space="preserve"> </w:t>
      </w:r>
      <w:r>
        <w:t>as</w:t>
      </w:r>
      <w:r w:rsidR="0013032F">
        <w:t xml:space="preserve"> </w:t>
      </w:r>
      <w:r>
        <w:t>accelerating</w:t>
      </w:r>
      <w:r w:rsidR="0013032F">
        <w:t xml:space="preserve"> </w:t>
      </w:r>
      <w:r>
        <w:t>the</w:t>
      </w:r>
      <w:r w:rsidR="0013032F">
        <w:t xml:space="preserve"> </w:t>
      </w:r>
      <w:r>
        <w:t>transition</w:t>
      </w:r>
      <w:r w:rsidR="0013032F">
        <w:t xml:space="preserve"> </w:t>
      </w:r>
      <w:r>
        <w:t>to</w:t>
      </w:r>
      <w:r w:rsidR="0013032F">
        <w:t xml:space="preserve"> </w:t>
      </w:r>
      <w:r>
        <w:t>a</w:t>
      </w:r>
      <w:r w:rsidR="0013032F">
        <w:t xml:space="preserve"> </w:t>
      </w:r>
      <w:r>
        <w:t>clean</w:t>
      </w:r>
      <w:r w:rsidR="0013032F">
        <w:t xml:space="preserve"> </w:t>
      </w:r>
      <w:r>
        <w:t>economy</w:t>
      </w:r>
      <w:r w:rsidR="0013032F">
        <w:t xml:space="preserve"> </w:t>
      </w:r>
      <w:r>
        <w:t>and</w:t>
      </w:r>
      <w:r w:rsidR="0013032F">
        <w:t xml:space="preserve"> </w:t>
      </w:r>
      <w:r>
        <w:t>addressing</w:t>
      </w:r>
      <w:r w:rsidR="0013032F">
        <w:t xml:space="preserve"> </w:t>
      </w:r>
      <w:r>
        <w:t>key</w:t>
      </w:r>
      <w:r w:rsidR="0013032F">
        <w:t xml:space="preserve"> </w:t>
      </w:r>
      <w:r>
        <w:t>worker</w:t>
      </w:r>
      <w:r w:rsidR="0013032F">
        <w:t xml:space="preserve"> </w:t>
      </w:r>
      <w:r>
        <w:t>housing</w:t>
      </w:r>
      <w:r w:rsidR="0013032F">
        <w:t xml:space="preserve"> </w:t>
      </w:r>
      <w:r>
        <w:t>shortages</w:t>
      </w:r>
      <w:r w:rsidR="0013032F">
        <w:t xml:space="preserve"> </w:t>
      </w:r>
      <w:r>
        <w:t>across</w:t>
      </w:r>
      <w:r w:rsidR="0013032F">
        <w:t xml:space="preserve"> </w:t>
      </w:r>
      <w:r>
        <w:t>the</w:t>
      </w:r>
      <w:r w:rsidR="0013032F">
        <w:t xml:space="preserve"> </w:t>
      </w:r>
      <w:r>
        <w:t>region.</w:t>
      </w:r>
    </w:p>
    <w:p w14:paraId="7DFA3912" w14:textId="219A477A" w:rsidR="008B00BC" w:rsidRDefault="008B00BC" w:rsidP="008B00BC">
      <w:pPr>
        <w:pStyle w:val="Bullet"/>
      </w:pPr>
      <w:r>
        <w:t>340,109 Population (2022)</w:t>
      </w:r>
    </w:p>
    <w:p w14:paraId="36B4CEF7" w14:textId="28DFCBDD" w:rsidR="008B00BC" w:rsidRDefault="008B00BC" w:rsidP="008B00BC">
      <w:pPr>
        <w:pStyle w:val="Bullet"/>
      </w:pPr>
      <w:r>
        <w:t>26.8% Population growth (2022–2036)</w:t>
      </w:r>
    </w:p>
    <w:p w14:paraId="2C9CA990" w14:textId="4650160C" w:rsidR="008B00BC" w:rsidRDefault="008B00BC" w:rsidP="008B00BC">
      <w:pPr>
        <w:pStyle w:val="Bulletlast"/>
      </w:pPr>
      <w:r>
        <w:t>$21.2B Gross Regional Product (2022)</w:t>
      </w:r>
    </w:p>
    <w:p w14:paraId="55315886" w14:textId="3DB71515" w:rsidR="00757772" w:rsidRPr="008B00BC" w:rsidRDefault="00305D3C" w:rsidP="008B00BC">
      <w:pPr>
        <w:pStyle w:val="Heading3"/>
      </w:pPr>
      <w:r w:rsidRPr="008B00BC">
        <w:t>Case</w:t>
      </w:r>
      <w:r w:rsidR="0013032F" w:rsidRPr="008B00BC">
        <w:t xml:space="preserve"> </w:t>
      </w:r>
      <w:r w:rsidRPr="008B00BC">
        <w:t>study:</w:t>
      </w:r>
    </w:p>
    <w:p w14:paraId="611DFDBF" w14:textId="5DE34017" w:rsidR="00757772" w:rsidRPr="008B00BC" w:rsidRDefault="00305D3C" w:rsidP="008B00BC">
      <w:pPr>
        <w:pStyle w:val="Normalbeforebullets"/>
        <w:rPr>
          <w:b/>
          <w:bCs/>
        </w:rPr>
      </w:pPr>
      <w:r w:rsidRPr="008B00BC">
        <w:rPr>
          <w:b/>
          <w:bCs/>
        </w:rPr>
        <w:t>Work</w:t>
      </w:r>
      <w:r w:rsidR="0013032F" w:rsidRPr="008B00BC">
        <w:rPr>
          <w:b/>
          <w:bCs/>
        </w:rPr>
        <w:t xml:space="preserve"> </w:t>
      </w:r>
      <w:r w:rsidRPr="008B00BC">
        <w:rPr>
          <w:b/>
          <w:bCs/>
        </w:rPr>
        <w:t>with</w:t>
      </w:r>
      <w:r w:rsidR="0013032F" w:rsidRPr="008B00BC">
        <w:rPr>
          <w:b/>
          <w:bCs/>
        </w:rPr>
        <w:t xml:space="preserve"> </w:t>
      </w:r>
      <w:r w:rsidRPr="008B00BC">
        <w:rPr>
          <w:b/>
          <w:bCs/>
        </w:rPr>
        <w:t>the</w:t>
      </w:r>
      <w:r w:rsidR="0013032F" w:rsidRPr="008B00BC">
        <w:rPr>
          <w:b/>
          <w:bCs/>
        </w:rPr>
        <w:t xml:space="preserve"> </w:t>
      </w:r>
      <w:proofErr w:type="spellStart"/>
      <w:r w:rsidRPr="008B00BC">
        <w:rPr>
          <w:b/>
          <w:bCs/>
        </w:rPr>
        <w:t>Wadawurrung</w:t>
      </w:r>
      <w:proofErr w:type="spellEnd"/>
      <w:r w:rsidR="0013032F" w:rsidRPr="008B00BC">
        <w:rPr>
          <w:b/>
          <w:bCs/>
        </w:rPr>
        <w:t xml:space="preserve"> </w:t>
      </w:r>
      <w:r w:rsidRPr="008B00BC">
        <w:rPr>
          <w:b/>
          <w:bCs/>
        </w:rPr>
        <w:t>Traditional</w:t>
      </w:r>
      <w:r w:rsidR="0013032F" w:rsidRPr="008B00BC">
        <w:rPr>
          <w:b/>
          <w:bCs/>
        </w:rPr>
        <w:t xml:space="preserve"> </w:t>
      </w:r>
      <w:r w:rsidRPr="008B00BC">
        <w:rPr>
          <w:b/>
          <w:bCs/>
        </w:rPr>
        <w:t>Owners</w:t>
      </w:r>
      <w:r w:rsidR="0013032F" w:rsidRPr="008B00BC">
        <w:rPr>
          <w:b/>
          <w:bCs/>
        </w:rPr>
        <w:t xml:space="preserve"> </w:t>
      </w:r>
      <w:r w:rsidRPr="008B00BC">
        <w:rPr>
          <w:b/>
          <w:bCs/>
        </w:rPr>
        <w:t>Aboriginal</w:t>
      </w:r>
      <w:r w:rsidR="0013032F" w:rsidRPr="008B00BC">
        <w:rPr>
          <w:b/>
          <w:bCs/>
        </w:rPr>
        <w:t xml:space="preserve"> </w:t>
      </w:r>
      <w:r w:rsidRPr="008B00BC">
        <w:rPr>
          <w:b/>
          <w:bCs/>
        </w:rPr>
        <w:t>Corporation</w:t>
      </w:r>
    </w:p>
    <w:p w14:paraId="569C65E5" w14:textId="2D06B417" w:rsidR="00757772" w:rsidRPr="008B00BC" w:rsidRDefault="00305D3C" w:rsidP="008B00BC">
      <w:r w:rsidRPr="008B00BC">
        <w:t>Through</w:t>
      </w:r>
      <w:r w:rsidR="0013032F" w:rsidRPr="008B00BC">
        <w:t xml:space="preserve"> </w:t>
      </w:r>
      <w:r w:rsidRPr="008B00BC">
        <w:t>the</w:t>
      </w:r>
      <w:r w:rsidR="0013032F" w:rsidRPr="008B00BC">
        <w:t xml:space="preserve"> </w:t>
      </w:r>
      <w:r w:rsidRPr="008B00BC">
        <w:t>Regional</w:t>
      </w:r>
      <w:r w:rsidR="0013032F" w:rsidRPr="008B00BC">
        <w:t xml:space="preserve"> </w:t>
      </w:r>
      <w:r w:rsidRPr="008B00BC">
        <w:t>Partnership</w:t>
      </w:r>
      <w:r w:rsidR="0013032F" w:rsidRPr="008B00BC">
        <w:t xml:space="preserve"> </w:t>
      </w:r>
      <w:r w:rsidRPr="008B00BC">
        <w:t>Development</w:t>
      </w:r>
      <w:r w:rsidR="0013032F" w:rsidRPr="008B00BC">
        <w:t xml:space="preserve"> </w:t>
      </w:r>
      <w:r w:rsidRPr="008B00BC">
        <w:t>Fund,</w:t>
      </w:r>
      <w:r w:rsidR="0013032F" w:rsidRPr="008B00BC">
        <w:t xml:space="preserve"> </w:t>
      </w:r>
      <w:r w:rsidRPr="008B00BC">
        <w:t>support</w:t>
      </w:r>
      <w:r w:rsidR="0013032F" w:rsidRPr="008B00BC">
        <w:t xml:space="preserve"> </w:t>
      </w:r>
      <w:r w:rsidRPr="008B00BC">
        <w:t>was</w:t>
      </w:r>
      <w:r w:rsidR="0013032F" w:rsidRPr="008B00BC">
        <w:t xml:space="preserve"> </w:t>
      </w:r>
      <w:r w:rsidRPr="008B00BC">
        <w:t>provided</w:t>
      </w:r>
      <w:r w:rsidR="0013032F" w:rsidRPr="008B00BC">
        <w:t xml:space="preserve"> </w:t>
      </w:r>
      <w:r w:rsidRPr="008B00BC">
        <w:t>to</w:t>
      </w:r>
      <w:r w:rsidR="0013032F" w:rsidRPr="008B00BC">
        <w:t xml:space="preserve"> </w:t>
      </w:r>
      <w:r w:rsidRPr="008B00BC">
        <w:t>Barwon</w:t>
      </w:r>
      <w:r w:rsidR="0013032F" w:rsidRPr="008B00BC">
        <w:t xml:space="preserve"> </w:t>
      </w:r>
      <w:r w:rsidRPr="008B00BC">
        <w:t>Water</w:t>
      </w:r>
      <w:r w:rsidR="0013032F" w:rsidRPr="008B00BC">
        <w:t xml:space="preserve"> </w:t>
      </w:r>
      <w:r w:rsidRPr="008B00BC">
        <w:t>to</w:t>
      </w:r>
      <w:r w:rsidR="0013032F" w:rsidRPr="008B00BC">
        <w:t xml:space="preserve"> </w:t>
      </w:r>
      <w:r w:rsidRPr="008B00BC">
        <w:t>work</w:t>
      </w:r>
      <w:r w:rsidR="0013032F" w:rsidRPr="008B00BC">
        <w:t xml:space="preserve"> </w:t>
      </w:r>
      <w:r w:rsidRPr="008B00BC">
        <w:t>with</w:t>
      </w:r>
      <w:r w:rsidR="0013032F" w:rsidRPr="008B00BC">
        <w:t xml:space="preserve"> </w:t>
      </w:r>
      <w:r w:rsidRPr="008B00BC">
        <w:t>the</w:t>
      </w:r>
      <w:r w:rsidR="0013032F" w:rsidRPr="008B00BC">
        <w:t xml:space="preserve"> </w:t>
      </w:r>
      <w:proofErr w:type="spellStart"/>
      <w:r w:rsidRPr="008B00BC">
        <w:t>Wadawurrung</w:t>
      </w:r>
      <w:proofErr w:type="spellEnd"/>
      <w:r w:rsidR="0013032F" w:rsidRPr="008B00BC">
        <w:t xml:space="preserve"> </w:t>
      </w:r>
      <w:r w:rsidRPr="008B00BC">
        <w:t>Traditional</w:t>
      </w:r>
      <w:r w:rsidR="0013032F" w:rsidRPr="008B00BC">
        <w:t xml:space="preserve"> </w:t>
      </w:r>
      <w:r w:rsidRPr="008B00BC">
        <w:t>Owners</w:t>
      </w:r>
      <w:r w:rsidR="0013032F" w:rsidRPr="008B00BC">
        <w:t xml:space="preserve"> </w:t>
      </w:r>
      <w:r w:rsidRPr="008B00BC">
        <w:t>Aboriginal</w:t>
      </w:r>
      <w:r w:rsidR="0013032F" w:rsidRPr="008B00BC">
        <w:t xml:space="preserve"> </w:t>
      </w:r>
      <w:r w:rsidRPr="008B00BC">
        <w:t>Corporation</w:t>
      </w:r>
      <w:r w:rsidR="0013032F" w:rsidRPr="008B00BC">
        <w:t xml:space="preserve"> </w:t>
      </w:r>
      <w:r w:rsidRPr="008B00BC">
        <w:t>in</w:t>
      </w:r>
      <w:r w:rsidR="0013032F" w:rsidRPr="008B00BC">
        <w:t xml:space="preserve"> </w:t>
      </w:r>
      <w:r w:rsidRPr="008B00BC">
        <w:t>conducting</w:t>
      </w:r>
      <w:r w:rsidR="0013032F" w:rsidRPr="008B00BC">
        <w:t xml:space="preserve"> </w:t>
      </w:r>
      <w:r w:rsidRPr="008B00BC">
        <w:t>essential</w:t>
      </w:r>
      <w:r w:rsidR="0013032F" w:rsidRPr="008B00BC">
        <w:t xml:space="preserve"> </w:t>
      </w:r>
      <w:r w:rsidRPr="008B00BC">
        <w:t>knowledge</w:t>
      </w:r>
      <w:r w:rsidR="0013032F" w:rsidRPr="008B00BC">
        <w:t xml:space="preserve"> </w:t>
      </w:r>
      <w:r w:rsidRPr="008B00BC">
        <w:t>gathering</w:t>
      </w:r>
      <w:r w:rsidR="0013032F" w:rsidRPr="008B00BC">
        <w:t xml:space="preserve"> </w:t>
      </w:r>
      <w:r w:rsidRPr="008B00BC">
        <w:t>activities</w:t>
      </w:r>
      <w:r w:rsidR="0013032F" w:rsidRPr="008B00BC">
        <w:t xml:space="preserve"> </w:t>
      </w:r>
      <w:r w:rsidRPr="008B00BC">
        <w:t>to</w:t>
      </w:r>
      <w:r w:rsidR="0013032F" w:rsidRPr="008B00BC">
        <w:t xml:space="preserve"> </w:t>
      </w:r>
      <w:r w:rsidRPr="008B00BC">
        <w:t>advance</w:t>
      </w:r>
      <w:r w:rsidR="0013032F" w:rsidRPr="008B00BC">
        <w:t xml:space="preserve"> </w:t>
      </w:r>
      <w:r w:rsidRPr="008B00BC">
        <w:t>the</w:t>
      </w:r>
      <w:r w:rsidR="0013032F" w:rsidRPr="008B00BC">
        <w:t xml:space="preserve"> </w:t>
      </w:r>
      <w:proofErr w:type="spellStart"/>
      <w:r w:rsidRPr="008B00BC">
        <w:t>Porronggitj</w:t>
      </w:r>
      <w:proofErr w:type="spellEnd"/>
      <w:r w:rsidR="0013032F" w:rsidRPr="008B00BC">
        <w:t xml:space="preserve"> </w:t>
      </w:r>
      <w:proofErr w:type="spellStart"/>
      <w:r w:rsidRPr="008B00BC">
        <w:t>Karrong</w:t>
      </w:r>
      <w:proofErr w:type="spellEnd"/>
      <w:r w:rsidR="0013032F" w:rsidRPr="008B00BC">
        <w:t xml:space="preserve"> </w:t>
      </w:r>
      <w:r w:rsidRPr="008B00BC">
        <w:t>project.</w:t>
      </w:r>
      <w:r w:rsidR="0013032F" w:rsidRPr="008B00BC">
        <w:t xml:space="preserve"> </w:t>
      </w:r>
    </w:p>
    <w:p w14:paraId="48FDF668" w14:textId="58E28473" w:rsidR="00757772" w:rsidRPr="008B00BC" w:rsidRDefault="00305D3C" w:rsidP="008B00BC">
      <w:proofErr w:type="spellStart"/>
      <w:r w:rsidRPr="008B00BC">
        <w:t>Porronggitj</w:t>
      </w:r>
      <w:proofErr w:type="spellEnd"/>
      <w:r w:rsidR="0013032F" w:rsidRPr="008B00BC">
        <w:t xml:space="preserve"> </w:t>
      </w:r>
      <w:proofErr w:type="spellStart"/>
      <w:r w:rsidRPr="008B00BC">
        <w:t>Karrong</w:t>
      </w:r>
      <w:proofErr w:type="spellEnd"/>
      <w:r w:rsidRPr="008B00BC">
        <w:t>,</w:t>
      </w:r>
      <w:r w:rsidR="0013032F" w:rsidRPr="008B00BC">
        <w:t xml:space="preserve"> </w:t>
      </w:r>
      <w:r w:rsidRPr="008B00BC">
        <w:t>a</w:t>
      </w:r>
      <w:r w:rsidR="0013032F" w:rsidRPr="008B00BC">
        <w:t xml:space="preserve"> </w:t>
      </w:r>
      <w:r w:rsidRPr="008B00BC">
        <w:t>Barwon</w:t>
      </w:r>
      <w:r w:rsidR="0013032F" w:rsidRPr="008B00BC">
        <w:t xml:space="preserve"> </w:t>
      </w:r>
      <w:r w:rsidRPr="008B00BC">
        <w:t>Regional</w:t>
      </w:r>
      <w:r w:rsidR="0013032F" w:rsidRPr="008B00BC">
        <w:t xml:space="preserve"> </w:t>
      </w:r>
      <w:r w:rsidRPr="008B00BC">
        <w:t>Partnership</w:t>
      </w:r>
      <w:r w:rsidR="0013032F" w:rsidRPr="008B00BC">
        <w:t xml:space="preserve"> </w:t>
      </w:r>
      <w:r w:rsidRPr="008B00BC">
        <w:t>priority</w:t>
      </w:r>
      <w:r w:rsidR="0013032F" w:rsidRPr="008B00BC">
        <w:t xml:space="preserve"> </w:t>
      </w:r>
      <w:r w:rsidRPr="008B00BC">
        <w:t>project,</w:t>
      </w:r>
      <w:r w:rsidR="0013032F" w:rsidRPr="008B00BC">
        <w:t xml:space="preserve"> </w:t>
      </w:r>
      <w:r w:rsidRPr="008B00BC">
        <w:t>aims</w:t>
      </w:r>
      <w:r w:rsidR="0013032F" w:rsidRPr="008B00BC">
        <w:t xml:space="preserve"> </w:t>
      </w:r>
      <w:r w:rsidRPr="008B00BC">
        <w:t>to</w:t>
      </w:r>
      <w:r w:rsidR="0013032F" w:rsidRPr="008B00BC">
        <w:t xml:space="preserve"> </w:t>
      </w:r>
      <w:r w:rsidRPr="008B00BC">
        <w:t>create</w:t>
      </w:r>
      <w:r w:rsidR="0013032F" w:rsidRPr="008B00BC">
        <w:t xml:space="preserve"> </w:t>
      </w:r>
      <w:r w:rsidRPr="008B00BC">
        <w:t>a</w:t>
      </w:r>
      <w:r w:rsidR="0013032F" w:rsidRPr="008B00BC">
        <w:t xml:space="preserve"> </w:t>
      </w:r>
      <w:r w:rsidRPr="008B00BC">
        <w:t>new</w:t>
      </w:r>
      <w:r w:rsidR="0013032F" w:rsidRPr="008B00BC">
        <w:t xml:space="preserve"> </w:t>
      </w:r>
      <w:r w:rsidRPr="008B00BC">
        <w:t>cultural,</w:t>
      </w:r>
      <w:r w:rsidR="0013032F" w:rsidRPr="008B00BC">
        <w:t xml:space="preserve"> </w:t>
      </w:r>
      <w:r w:rsidRPr="008B00BC">
        <w:t>re</w:t>
      </w:r>
      <w:r w:rsidRPr="008B00BC">
        <w:t>creational</w:t>
      </w:r>
      <w:r w:rsidR="0013032F" w:rsidRPr="008B00BC">
        <w:t xml:space="preserve"> </w:t>
      </w:r>
      <w:r w:rsidRPr="008B00BC">
        <w:t>and</w:t>
      </w:r>
      <w:r w:rsidR="0013032F" w:rsidRPr="008B00BC">
        <w:t xml:space="preserve"> </w:t>
      </w:r>
      <w:r w:rsidRPr="008B00BC">
        <w:t>community</w:t>
      </w:r>
      <w:r w:rsidR="0013032F" w:rsidRPr="008B00BC">
        <w:t xml:space="preserve"> </w:t>
      </w:r>
      <w:r w:rsidRPr="008B00BC">
        <w:t>precinct</w:t>
      </w:r>
      <w:r w:rsidR="0013032F" w:rsidRPr="008B00BC">
        <w:t xml:space="preserve"> </w:t>
      </w:r>
      <w:r w:rsidRPr="008B00BC">
        <w:t>that</w:t>
      </w:r>
      <w:r w:rsidR="0013032F" w:rsidRPr="008B00BC">
        <w:t xml:space="preserve"> </w:t>
      </w:r>
      <w:r w:rsidRPr="008B00BC">
        <w:t>respects</w:t>
      </w:r>
      <w:r w:rsidR="0013032F" w:rsidRPr="008B00BC">
        <w:t xml:space="preserve"> </w:t>
      </w:r>
      <w:r w:rsidRPr="008B00BC">
        <w:t>both</w:t>
      </w:r>
      <w:r w:rsidR="0013032F" w:rsidRPr="008B00BC">
        <w:t xml:space="preserve"> </w:t>
      </w:r>
      <w:r w:rsidRPr="008B00BC">
        <w:t>Aboriginal</w:t>
      </w:r>
      <w:r w:rsidR="0013032F" w:rsidRPr="008B00BC">
        <w:t xml:space="preserve"> </w:t>
      </w:r>
      <w:r w:rsidRPr="008B00BC">
        <w:t>culture</w:t>
      </w:r>
      <w:r w:rsidR="0013032F" w:rsidRPr="008B00BC">
        <w:t xml:space="preserve"> </w:t>
      </w:r>
      <w:r w:rsidRPr="008B00BC">
        <w:t>and</w:t>
      </w:r>
      <w:r w:rsidR="0013032F" w:rsidRPr="008B00BC">
        <w:t xml:space="preserve"> </w:t>
      </w:r>
      <w:r w:rsidRPr="008B00BC">
        <w:t>heritage,</w:t>
      </w:r>
      <w:r w:rsidR="0013032F" w:rsidRPr="008B00BC">
        <w:t xml:space="preserve"> </w:t>
      </w:r>
      <w:r w:rsidRPr="008B00BC">
        <w:t>as</w:t>
      </w:r>
      <w:r w:rsidR="0013032F" w:rsidRPr="008B00BC">
        <w:t xml:space="preserve"> </w:t>
      </w:r>
      <w:r w:rsidRPr="008B00BC">
        <w:t>well</w:t>
      </w:r>
      <w:r w:rsidR="0013032F" w:rsidRPr="008B00BC">
        <w:t xml:space="preserve"> </w:t>
      </w:r>
      <w:r w:rsidRPr="008B00BC">
        <w:t>as</w:t>
      </w:r>
      <w:r w:rsidR="0013032F" w:rsidRPr="008B00BC">
        <w:t xml:space="preserve"> </w:t>
      </w:r>
      <w:r w:rsidRPr="008B00BC">
        <w:t>European</w:t>
      </w:r>
      <w:r w:rsidR="0013032F" w:rsidRPr="008B00BC">
        <w:t xml:space="preserve"> </w:t>
      </w:r>
      <w:r w:rsidRPr="008B00BC">
        <w:t>heritage</w:t>
      </w:r>
      <w:r w:rsidR="0013032F" w:rsidRPr="008B00BC">
        <w:t xml:space="preserve"> </w:t>
      </w:r>
      <w:r w:rsidRPr="008B00BC">
        <w:t>values</w:t>
      </w:r>
      <w:r w:rsidR="0013032F" w:rsidRPr="008B00BC">
        <w:t xml:space="preserve"> </w:t>
      </w:r>
      <w:r w:rsidRPr="008B00BC">
        <w:t>of</w:t>
      </w:r>
      <w:r w:rsidR="0013032F" w:rsidRPr="008B00BC">
        <w:t xml:space="preserve"> </w:t>
      </w:r>
      <w:r w:rsidRPr="008B00BC">
        <w:t>the</w:t>
      </w:r>
      <w:r w:rsidR="0013032F" w:rsidRPr="008B00BC">
        <w:t xml:space="preserve"> </w:t>
      </w:r>
      <w:r w:rsidRPr="008B00BC">
        <w:t>aqueduct.</w:t>
      </w:r>
      <w:r w:rsidR="0013032F" w:rsidRPr="008B00BC">
        <w:t xml:space="preserve"> </w:t>
      </w:r>
      <w:r w:rsidRPr="008B00BC">
        <w:t>This</w:t>
      </w:r>
      <w:r w:rsidR="0013032F" w:rsidRPr="008B00BC">
        <w:t xml:space="preserve"> </w:t>
      </w:r>
      <w:r w:rsidRPr="008B00BC">
        <w:t>work</w:t>
      </w:r>
      <w:r w:rsidR="0013032F" w:rsidRPr="008B00BC">
        <w:t xml:space="preserve"> </w:t>
      </w:r>
      <w:r w:rsidRPr="008B00BC">
        <w:t>involved</w:t>
      </w:r>
      <w:r w:rsidR="0013032F" w:rsidRPr="008B00BC">
        <w:t xml:space="preserve"> </w:t>
      </w:r>
      <w:r w:rsidRPr="008B00BC">
        <w:t>essential</w:t>
      </w:r>
      <w:r w:rsidR="0013032F" w:rsidRPr="008B00BC">
        <w:t xml:space="preserve"> </w:t>
      </w:r>
      <w:r w:rsidRPr="008B00BC">
        <w:t>knowledge</w:t>
      </w:r>
      <w:r w:rsidR="0013032F" w:rsidRPr="008B00BC">
        <w:t xml:space="preserve"> </w:t>
      </w:r>
      <w:r w:rsidRPr="008B00BC">
        <w:t>gathering</w:t>
      </w:r>
      <w:r w:rsidR="0013032F" w:rsidRPr="008B00BC">
        <w:t xml:space="preserve"> </w:t>
      </w:r>
      <w:r w:rsidRPr="008B00BC">
        <w:t>activities,</w:t>
      </w:r>
      <w:r w:rsidR="0013032F" w:rsidRPr="008B00BC">
        <w:t xml:space="preserve"> </w:t>
      </w:r>
      <w:r w:rsidRPr="008B00BC">
        <w:t>including</w:t>
      </w:r>
      <w:r w:rsidR="0013032F" w:rsidRPr="008B00BC">
        <w:t xml:space="preserve"> </w:t>
      </w:r>
      <w:r w:rsidRPr="008B00BC">
        <w:t>developing</w:t>
      </w:r>
      <w:r w:rsidR="0013032F" w:rsidRPr="008B00BC">
        <w:t xml:space="preserve"> </w:t>
      </w:r>
      <w:r w:rsidRPr="008B00BC">
        <w:t>an</w:t>
      </w:r>
      <w:r w:rsidR="0013032F" w:rsidRPr="008B00BC">
        <w:t xml:space="preserve"> </w:t>
      </w:r>
      <w:r w:rsidRPr="008B00BC">
        <w:t>ecological</w:t>
      </w:r>
      <w:r w:rsidR="0013032F" w:rsidRPr="008B00BC">
        <w:t xml:space="preserve"> </w:t>
      </w:r>
      <w:r w:rsidRPr="008B00BC">
        <w:t>monitoring</w:t>
      </w:r>
      <w:r w:rsidR="0013032F" w:rsidRPr="008B00BC">
        <w:t xml:space="preserve"> </w:t>
      </w:r>
      <w:r w:rsidRPr="008B00BC">
        <w:t>framework</w:t>
      </w:r>
      <w:r w:rsidR="0013032F" w:rsidRPr="008B00BC">
        <w:t xml:space="preserve"> </w:t>
      </w:r>
      <w:r w:rsidRPr="008B00BC">
        <w:t>that</w:t>
      </w:r>
      <w:r w:rsidR="0013032F" w:rsidRPr="008B00BC">
        <w:t xml:space="preserve"> </w:t>
      </w:r>
      <w:r w:rsidRPr="008B00BC">
        <w:t>combined</w:t>
      </w:r>
      <w:r w:rsidR="0013032F" w:rsidRPr="008B00BC">
        <w:t xml:space="preserve"> </w:t>
      </w:r>
      <w:r w:rsidRPr="008B00BC">
        <w:t>scientific</w:t>
      </w:r>
      <w:r w:rsidR="0013032F" w:rsidRPr="008B00BC">
        <w:t xml:space="preserve"> </w:t>
      </w:r>
      <w:r w:rsidRPr="008B00BC">
        <w:t>and</w:t>
      </w:r>
      <w:r w:rsidR="0013032F" w:rsidRPr="008B00BC">
        <w:t xml:space="preserve"> </w:t>
      </w:r>
      <w:proofErr w:type="spellStart"/>
      <w:r w:rsidRPr="008B00BC">
        <w:t>Wadawurrung</w:t>
      </w:r>
      <w:proofErr w:type="spellEnd"/>
      <w:r w:rsidR="0013032F" w:rsidRPr="008B00BC">
        <w:t xml:space="preserve"> </w:t>
      </w:r>
      <w:r w:rsidRPr="008B00BC">
        <w:t>values</w:t>
      </w:r>
      <w:r w:rsidR="0013032F" w:rsidRPr="008B00BC">
        <w:t xml:space="preserve"> </w:t>
      </w:r>
      <w:r w:rsidRPr="008B00BC">
        <w:t>and</w:t>
      </w:r>
      <w:r w:rsidR="0013032F" w:rsidRPr="008B00BC">
        <w:t xml:space="preserve"> </w:t>
      </w:r>
      <w:r w:rsidRPr="008B00BC">
        <w:t>survey</w:t>
      </w:r>
      <w:r w:rsidR="0013032F" w:rsidRPr="008B00BC">
        <w:t xml:space="preserve"> </w:t>
      </w:r>
      <w:r w:rsidRPr="008B00BC">
        <w:t>methods;</w:t>
      </w:r>
      <w:r w:rsidR="0013032F" w:rsidRPr="008B00BC">
        <w:t xml:space="preserve"> </w:t>
      </w:r>
      <w:r w:rsidRPr="008B00BC">
        <w:t>conducting</w:t>
      </w:r>
      <w:r w:rsidR="0013032F" w:rsidRPr="008B00BC">
        <w:t xml:space="preserve"> </w:t>
      </w:r>
      <w:r w:rsidRPr="008B00BC">
        <w:t>a</w:t>
      </w:r>
      <w:r w:rsidR="0013032F" w:rsidRPr="008B00BC">
        <w:t xml:space="preserve"> </w:t>
      </w:r>
      <w:proofErr w:type="spellStart"/>
      <w:r w:rsidRPr="008B00BC">
        <w:t>Wadawurrung</w:t>
      </w:r>
      <w:proofErr w:type="spellEnd"/>
      <w:r w:rsidR="0013032F" w:rsidRPr="008B00BC">
        <w:t xml:space="preserve"> </w:t>
      </w:r>
      <w:r w:rsidRPr="008B00BC">
        <w:t>cultural</w:t>
      </w:r>
      <w:r w:rsidR="0013032F" w:rsidRPr="008B00BC">
        <w:t xml:space="preserve"> </w:t>
      </w:r>
      <w:r w:rsidRPr="008B00BC">
        <w:t>values</w:t>
      </w:r>
      <w:r w:rsidR="0013032F" w:rsidRPr="008B00BC">
        <w:t xml:space="preserve"> </w:t>
      </w:r>
      <w:r w:rsidRPr="008B00BC">
        <w:t>assessment</w:t>
      </w:r>
      <w:r w:rsidR="0013032F" w:rsidRPr="008B00BC">
        <w:t xml:space="preserve"> </w:t>
      </w:r>
      <w:r w:rsidRPr="008B00BC">
        <w:t>of</w:t>
      </w:r>
      <w:r w:rsidR="0013032F" w:rsidRPr="008B00BC">
        <w:t xml:space="preserve"> </w:t>
      </w:r>
      <w:r w:rsidRPr="008B00BC">
        <w:t>the</w:t>
      </w:r>
      <w:r w:rsidR="0013032F" w:rsidRPr="008B00BC">
        <w:t xml:space="preserve"> </w:t>
      </w:r>
      <w:r w:rsidRPr="008B00BC">
        <w:t>project</w:t>
      </w:r>
      <w:r w:rsidR="0013032F" w:rsidRPr="008B00BC">
        <w:t xml:space="preserve"> </w:t>
      </w:r>
      <w:r w:rsidRPr="008B00BC">
        <w:t>area;</w:t>
      </w:r>
      <w:r w:rsidR="0013032F" w:rsidRPr="008B00BC">
        <w:t xml:space="preserve"> </w:t>
      </w:r>
      <w:r w:rsidRPr="008B00BC">
        <w:t>and</w:t>
      </w:r>
      <w:r w:rsidR="0013032F" w:rsidRPr="008B00BC">
        <w:t xml:space="preserve"> </w:t>
      </w:r>
      <w:r w:rsidRPr="008B00BC">
        <w:t>creating</w:t>
      </w:r>
      <w:r w:rsidR="0013032F" w:rsidRPr="008B00BC">
        <w:t xml:space="preserve"> </w:t>
      </w:r>
      <w:r w:rsidRPr="008B00BC">
        <w:t>a</w:t>
      </w:r>
      <w:r w:rsidR="0013032F" w:rsidRPr="008B00BC">
        <w:t xml:space="preserve"> </w:t>
      </w:r>
      <w:r w:rsidRPr="008B00BC">
        <w:t>seasonal</w:t>
      </w:r>
      <w:r w:rsidR="0013032F" w:rsidRPr="008B00BC">
        <w:t xml:space="preserve"> </w:t>
      </w:r>
      <w:r w:rsidRPr="008B00BC">
        <w:t>calendar</w:t>
      </w:r>
      <w:r w:rsidR="0013032F" w:rsidRPr="008B00BC">
        <w:t xml:space="preserve"> </w:t>
      </w:r>
      <w:r w:rsidRPr="008B00BC">
        <w:t>to</w:t>
      </w:r>
      <w:r w:rsidR="0013032F" w:rsidRPr="008B00BC">
        <w:t xml:space="preserve"> </w:t>
      </w:r>
      <w:r w:rsidRPr="008B00BC">
        <w:t>understand</w:t>
      </w:r>
      <w:r w:rsidR="0013032F" w:rsidRPr="008B00BC">
        <w:t xml:space="preserve"> </w:t>
      </w:r>
      <w:r w:rsidRPr="008B00BC">
        <w:t>the</w:t>
      </w:r>
      <w:r w:rsidR="0013032F" w:rsidRPr="008B00BC">
        <w:t xml:space="preserve"> </w:t>
      </w:r>
      <w:r w:rsidRPr="008B00BC">
        <w:t>relationships</w:t>
      </w:r>
      <w:r w:rsidR="0013032F" w:rsidRPr="008B00BC">
        <w:t xml:space="preserve"> </w:t>
      </w:r>
      <w:r w:rsidRPr="008B00BC">
        <w:t>between</w:t>
      </w:r>
      <w:r w:rsidR="0013032F" w:rsidRPr="008B00BC">
        <w:t xml:space="preserve"> </w:t>
      </w:r>
      <w:r w:rsidRPr="008B00BC">
        <w:t>people</w:t>
      </w:r>
      <w:r w:rsidR="0013032F" w:rsidRPr="008B00BC">
        <w:t xml:space="preserve"> </w:t>
      </w:r>
      <w:r w:rsidRPr="008B00BC">
        <w:t>and</w:t>
      </w:r>
      <w:r w:rsidR="0013032F" w:rsidRPr="008B00BC">
        <w:t xml:space="preserve"> </w:t>
      </w:r>
      <w:r w:rsidRPr="008B00BC">
        <w:t>the</w:t>
      </w:r>
      <w:r w:rsidR="0013032F" w:rsidRPr="008B00BC">
        <w:t xml:space="preserve"> </w:t>
      </w:r>
      <w:r w:rsidRPr="008B00BC">
        <w:t>seasonal</w:t>
      </w:r>
      <w:r w:rsidR="0013032F" w:rsidRPr="008B00BC">
        <w:t xml:space="preserve"> </w:t>
      </w:r>
      <w:r w:rsidRPr="008B00BC">
        <w:t>cycles</w:t>
      </w:r>
      <w:r w:rsidR="0013032F" w:rsidRPr="008B00BC">
        <w:t xml:space="preserve"> </w:t>
      </w:r>
      <w:r w:rsidRPr="008B00BC">
        <w:t>of</w:t>
      </w:r>
      <w:r w:rsidR="0013032F" w:rsidRPr="008B00BC">
        <w:t xml:space="preserve"> </w:t>
      </w:r>
      <w:r w:rsidRPr="008B00BC">
        <w:t>resource</w:t>
      </w:r>
      <w:r w:rsidR="0013032F" w:rsidRPr="008B00BC">
        <w:t xml:space="preserve"> </w:t>
      </w:r>
      <w:r w:rsidRPr="008B00BC">
        <w:t>availability</w:t>
      </w:r>
      <w:r w:rsidR="0013032F" w:rsidRPr="008B00BC">
        <w:t xml:space="preserve"> </w:t>
      </w:r>
      <w:r w:rsidRPr="008B00BC">
        <w:t>on</w:t>
      </w:r>
      <w:r w:rsidR="0013032F" w:rsidRPr="008B00BC">
        <w:t xml:space="preserve"> </w:t>
      </w:r>
      <w:r w:rsidRPr="008B00BC">
        <w:t>the</w:t>
      </w:r>
      <w:r w:rsidR="0013032F" w:rsidRPr="008B00BC">
        <w:t xml:space="preserve"> </w:t>
      </w:r>
      <w:r w:rsidRPr="008B00BC">
        <w:t>site.</w:t>
      </w:r>
      <w:r w:rsidR="0013032F" w:rsidRPr="008B00BC">
        <w:t xml:space="preserve"> </w:t>
      </w:r>
      <w:r w:rsidRPr="008B00BC">
        <w:t>The</w:t>
      </w:r>
      <w:r w:rsidR="0013032F" w:rsidRPr="008B00BC">
        <w:t xml:space="preserve"> </w:t>
      </w:r>
      <w:r w:rsidRPr="008B00BC">
        <w:t>project</w:t>
      </w:r>
      <w:r w:rsidR="0013032F" w:rsidRPr="008B00BC">
        <w:t xml:space="preserve"> </w:t>
      </w:r>
      <w:r w:rsidRPr="008B00BC">
        <w:t>is</w:t>
      </w:r>
      <w:r w:rsidR="0013032F" w:rsidRPr="008B00BC">
        <w:t xml:space="preserve"> </w:t>
      </w:r>
      <w:r w:rsidRPr="008B00BC">
        <w:t>due</w:t>
      </w:r>
      <w:r w:rsidR="0013032F" w:rsidRPr="008B00BC">
        <w:t xml:space="preserve"> </w:t>
      </w:r>
      <w:r w:rsidRPr="008B00BC">
        <w:t>for</w:t>
      </w:r>
      <w:r w:rsidR="0013032F" w:rsidRPr="008B00BC">
        <w:t xml:space="preserve"> </w:t>
      </w:r>
      <w:r w:rsidRPr="008B00BC">
        <w:t>completion</w:t>
      </w:r>
      <w:r w:rsidR="0013032F" w:rsidRPr="008B00BC">
        <w:t xml:space="preserve"> </w:t>
      </w:r>
      <w:r w:rsidRPr="008B00BC">
        <w:t>by</w:t>
      </w:r>
      <w:r w:rsidR="0013032F" w:rsidRPr="008B00BC">
        <w:t xml:space="preserve"> </w:t>
      </w:r>
      <w:r w:rsidRPr="008B00BC">
        <w:t>December</w:t>
      </w:r>
      <w:r w:rsidR="0013032F" w:rsidRPr="008B00BC">
        <w:t xml:space="preserve"> </w:t>
      </w:r>
      <w:r w:rsidRPr="008B00BC">
        <w:t>2023.</w:t>
      </w:r>
    </w:p>
    <w:p w14:paraId="51E2C30E" w14:textId="4ED07262" w:rsidR="00757772" w:rsidRDefault="00305D3C" w:rsidP="008B00BC">
      <w:pPr>
        <w:pStyle w:val="Heading2"/>
      </w:pPr>
      <w:bookmarkStart w:id="17" w:name="_Toc149566563"/>
      <w:r>
        <w:t>Great</w:t>
      </w:r>
      <w:r w:rsidR="0013032F">
        <w:t xml:space="preserve"> </w:t>
      </w:r>
      <w:r>
        <w:t>South</w:t>
      </w:r>
      <w:r w:rsidR="0013032F">
        <w:t xml:space="preserve"> </w:t>
      </w:r>
      <w:r>
        <w:t>Coast</w:t>
      </w:r>
      <w:bookmarkEnd w:id="17"/>
    </w:p>
    <w:p w14:paraId="0361D0AC" w14:textId="0B2B1128" w:rsidR="00757772" w:rsidRDefault="00305D3C" w:rsidP="008B00BC">
      <w:pPr>
        <w:rPr>
          <w:spacing w:val="-5"/>
        </w:rPr>
      </w:pPr>
      <w:r>
        <w:rPr>
          <w:spacing w:val="-5"/>
        </w:rPr>
        <w:t>In</w:t>
      </w:r>
      <w:r w:rsidR="0013032F">
        <w:rPr>
          <w:spacing w:val="-5"/>
        </w:rPr>
        <w:t xml:space="preserve"> </w:t>
      </w:r>
      <w:r>
        <w:rPr>
          <w:spacing w:val="-5"/>
        </w:rPr>
        <w:t>2022–23,</w:t>
      </w:r>
      <w:r w:rsidR="0013032F">
        <w:rPr>
          <w:spacing w:val="-5"/>
        </w:rPr>
        <w:t xml:space="preserve"> </w:t>
      </w:r>
      <w:r>
        <w:rPr>
          <w:spacing w:val="-5"/>
        </w:rPr>
        <w:t>the</w:t>
      </w:r>
      <w:r w:rsidR="0013032F">
        <w:rPr>
          <w:spacing w:val="-5"/>
        </w:rPr>
        <w:t xml:space="preserve"> </w:t>
      </w:r>
      <w:r>
        <w:rPr>
          <w:spacing w:val="-5"/>
        </w:rPr>
        <w:t>Great</w:t>
      </w:r>
      <w:r w:rsidR="0013032F">
        <w:rPr>
          <w:spacing w:val="-5"/>
        </w:rPr>
        <w:t xml:space="preserve"> </w:t>
      </w:r>
      <w:r>
        <w:rPr>
          <w:spacing w:val="-5"/>
        </w:rPr>
        <w:t>South</w:t>
      </w:r>
      <w:r w:rsidR="0013032F">
        <w:rPr>
          <w:spacing w:val="-5"/>
        </w:rPr>
        <w:t xml:space="preserve"> </w:t>
      </w:r>
      <w:r>
        <w:rPr>
          <w:spacing w:val="-5"/>
        </w:rPr>
        <w:t>Coast</w:t>
      </w:r>
      <w:r w:rsidR="0013032F">
        <w:rPr>
          <w:spacing w:val="-5"/>
        </w:rPr>
        <w:t xml:space="preserve"> </w:t>
      </w:r>
      <w:r>
        <w:rPr>
          <w:spacing w:val="-5"/>
        </w:rPr>
        <w:t>Regional</w:t>
      </w:r>
      <w:r w:rsidR="0013032F">
        <w:rPr>
          <w:spacing w:val="-5"/>
        </w:rPr>
        <w:t xml:space="preserve"> </w:t>
      </w:r>
      <w:r>
        <w:rPr>
          <w:spacing w:val="-5"/>
        </w:rPr>
        <w:t>Partnership</w:t>
      </w:r>
      <w:r w:rsidR="0013032F">
        <w:rPr>
          <w:spacing w:val="-5"/>
        </w:rPr>
        <w:t xml:space="preserve"> </w:t>
      </w:r>
      <w:r>
        <w:rPr>
          <w:spacing w:val="-5"/>
        </w:rPr>
        <w:t>(GSCRP)</w:t>
      </w:r>
      <w:r w:rsidR="0013032F">
        <w:rPr>
          <w:spacing w:val="-5"/>
        </w:rPr>
        <w:t xml:space="preserve"> </w:t>
      </w:r>
      <w:r>
        <w:rPr>
          <w:spacing w:val="-5"/>
        </w:rPr>
        <w:t>focused</w:t>
      </w:r>
      <w:r w:rsidR="0013032F">
        <w:rPr>
          <w:spacing w:val="-5"/>
        </w:rPr>
        <w:t xml:space="preserve"> </w:t>
      </w:r>
      <w:r>
        <w:rPr>
          <w:spacing w:val="-5"/>
        </w:rPr>
        <w:t>on</w:t>
      </w:r>
      <w:r w:rsidR="0013032F">
        <w:rPr>
          <w:spacing w:val="-5"/>
        </w:rPr>
        <w:t xml:space="preserve"> </w:t>
      </w:r>
      <w:r>
        <w:rPr>
          <w:spacing w:val="-5"/>
        </w:rPr>
        <w:t>advocating</w:t>
      </w:r>
      <w:r w:rsidR="0013032F">
        <w:rPr>
          <w:spacing w:val="-5"/>
        </w:rPr>
        <w:t xml:space="preserve"> </w:t>
      </w:r>
      <w:r>
        <w:rPr>
          <w:spacing w:val="-5"/>
        </w:rPr>
        <w:t>to</w:t>
      </w:r>
      <w:r w:rsidR="0013032F">
        <w:rPr>
          <w:spacing w:val="-5"/>
        </w:rPr>
        <w:t xml:space="preserve"> </w:t>
      </w:r>
      <w:r>
        <w:rPr>
          <w:spacing w:val="-5"/>
        </w:rPr>
        <w:t>government</w:t>
      </w:r>
      <w:r w:rsidR="0013032F">
        <w:rPr>
          <w:spacing w:val="-5"/>
        </w:rPr>
        <w:t xml:space="preserve"> </w:t>
      </w:r>
      <w:r>
        <w:t>for</w:t>
      </w:r>
      <w:r w:rsidR="0013032F">
        <w:t xml:space="preserve"> </w:t>
      </w:r>
      <w:r>
        <w:t>priorities</w:t>
      </w:r>
      <w:r w:rsidR="0013032F">
        <w:t xml:space="preserve"> </w:t>
      </w:r>
      <w:r>
        <w:t>that</w:t>
      </w:r>
      <w:r w:rsidR="0013032F">
        <w:t xml:space="preserve"> </w:t>
      </w:r>
      <w:r>
        <w:t>will</w:t>
      </w:r>
      <w:r w:rsidR="0013032F">
        <w:t xml:space="preserve"> </w:t>
      </w:r>
      <w:r>
        <w:t>help</w:t>
      </w:r>
      <w:r w:rsidR="0013032F">
        <w:t xml:space="preserve"> </w:t>
      </w:r>
      <w:r>
        <w:t>unlock</w:t>
      </w:r>
      <w:r w:rsidR="0013032F">
        <w:t xml:space="preserve"> </w:t>
      </w:r>
      <w:r>
        <w:t>the</w:t>
      </w:r>
      <w:r w:rsidR="0013032F">
        <w:t xml:space="preserve"> </w:t>
      </w:r>
      <w:r>
        <w:t>region’s</w:t>
      </w:r>
      <w:r w:rsidR="0013032F">
        <w:t xml:space="preserve"> </w:t>
      </w:r>
      <w:r>
        <w:t>potential.</w:t>
      </w:r>
      <w:r w:rsidR="0013032F">
        <w:t xml:space="preserve"> </w:t>
      </w:r>
      <w:r>
        <w:t>The</w:t>
      </w:r>
      <w:r w:rsidR="0013032F">
        <w:t xml:space="preserve"> </w:t>
      </w:r>
      <w:r>
        <w:t>priorities</w:t>
      </w:r>
      <w:r w:rsidR="0013032F">
        <w:t xml:space="preserve"> </w:t>
      </w:r>
      <w:r>
        <w:t>were</w:t>
      </w:r>
      <w:r w:rsidR="0013032F">
        <w:t xml:space="preserve"> </w:t>
      </w:r>
      <w:r>
        <w:t>based</w:t>
      </w:r>
      <w:r w:rsidR="0013032F">
        <w:t xml:space="preserve"> </w:t>
      </w:r>
      <w:r>
        <w:t>on</w:t>
      </w:r>
      <w:r w:rsidR="0013032F">
        <w:t xml:space="preserve"> </w:t>
      </w:r>
      <w:r>
        <w:t>regional</w:t>
      </w:r>
      <w:r w:rsidR="0013032F">
        <w:t xml:space="preserve"> </w:t>
      </w:r>
      <w:r>
        <w:t>evidence</w:t>
      </w:r>
      <w:r w:rsidR="0013032F">
        <w:t xml:space="preserve"> </w:t>
      </w:r>
      <w:r>
        <w:rPr>
          <w:spacing w:val="-2"/>
        </w:rPr>
        <w:t>and</w:t>
      </w:r>
      <w:r w:rsidR="0013032F">
        <w:rPr>
          <w:spacing w:val="-2"/>
        </w:rPr>
        <w:t xml:space="preserve"> </w:t>
      </w:r>
      <w:r>
        <w:rPr>
          <w:spacing w:val="-2"/>
        </w:rPr>
        <w:t>research,</w:t>
      </w:r>
      <w:r w:rsidR="0013032F">
        <w:rPr>
          <w:spacing w:val="-2"/>
        </w:rPr>
        <w:t xml:space="preserve"> </w:t>
      </w:r>
      <w:r>
        <w:rPr>
          <w:spacing w:val="-2"/>
        </w:rPr>
        <w:t>and</w:t>
      </w:r>
      <w:r w:rsidR="0013032F">
        <w:rPr>
          <w:spacing w:val="-2"/>
        </w:rPr>
        <w:t xml:space="preserve"> </w:t>
      </w:r>
      <w:r>
        <w:rPr>
          <w:spacing w:val="-2"/>
        </w:rPr>
        <w:t>included</w:t>
      </w:r>
      <w:r w:rsidR="0013032F">
        <w:rPr>
          <w:spacing w:val="-2"/>
        </w:rPr>
        <w:t xml:space="preserve"> </w:t>
      </w:r>
      <w:r>
        <w:rPr>
          <w:spacing w:val="-2"/>
        </w:rPr>
        <w:t>clean</w:t>
      </w:r>
      <w:r w:rsidR="0013032F">
        <w:rPr>
          <w:spacing w:val="-2"/>
        </w:rPr>
        <w:t xml:space="preserve"> </w:t>
      </w:r>
      <w:r>
        <w:rPr>
          <w:spacing w:val="-2"/>
        </w:rPr>
        <w:t>energy,</w:t>
      </w:r>
      <w:r w:rsidR="0013032F">
        <w:rPr>
          <w:spacing w:val="-2"/>
        </w:rPr>
        <w:t xml:space="preserve"> </w:t>
      </w:r>
      <w:r>
        <w:rPr>
          <w:spacing w:val="-2"/>
        </w:rPr>
        <w:t>high-value</w:t>
      </w:r>
      <w:r w:rsidR="0013032F">
        <w:rPr>
          <w:spacing w:val="-2"/>
        </w:rPr>
        <w:t xml:space="preserve"> </w:t>
      </w:r>
      <w:r>
        <w:rPr>
          <w:spacing w:val="-2"/>
        </w:rPr>
        <w:t>agriculture</w:t>
      </w:r>
      <w:r w:rsidR="0013032F">
        <w:rPr>
          <w:spacing w:val="-2"/>
        </w:rPr>
        <w:t xml:space="preserve"> </w:t>
      </w:r>
      <w:r>
        <w:rPr>
          <w:spacing w:val="-2"/>
        </w:rPr>
        <w:t>and</w:t>
      </w:r>
      <w:r w:rsidR="0013032F">
        <w:rPr>
          <w:spacing w:val="-2"/>
        </w:rPr>
        <w:t xml:space="preserve"> </w:t>
      </w:r>
      <w:r>
        <w:rPr>
          <w:spacing w:val="-2"/>
        </w:rPr>
        <w:t>key</w:t>
      </w:r>
      <w:r w:rsidR="0013032F">
        <w:rPr>
          <w:spacing w:val="-2"/>
        </w:rPr>
        <w:t xml:space="preserve"> </w:t>
      </w:r>
      <w:r>
        <w:rPr>
          <w:spacing w:val="-2"/>
        </w:rPr>
        <w:t>worker</w:t>
      </w:r>
      <w:r w:rsidR="0013032F">
        <w:rPr>
          <w:spacing w:val="-2"/>
        </w:rPr>
        <w:t xml:space="preserve"> </w:t>
      </w:r>
      <w:r>
        <w:rPr>
          <w:spacing w:val="-2"/>
        </w:rPr>
        <w:t>housing.</w:t>
      </w:r>
    </w:p>
    <w:p w14:paraId="5A8F0F21" w14:textId="778FB6A9" w:rsidR="00757772" w:rsidRDefault="00305D3C" w:rsidP="008B00BC">
      <w:pPr>
        <w:pStyle w:val="Heading3"/>
      </w:pPr>
      <w:r>
        <w:lastRenderedPageBreak/>
        <w:t>Regional</w:t>
      </w:r>
      <w:r w:rsidR="0013032F">
        <w:t xml:space="preserve"> </w:t>
      </w:r>
      <w:r>
        <w:t>priorities:</w:t>
      </w:r>
    </w:p>
    <w:p w14:paraId="3D444B1E" w14:textId="0A3E5E37" w:rsidR="00757772" w:rsidRDefault="00305D3C" w:rsidP="008B00BC">
      <w:pPr>
        <w:pStyle w:val="Bullet"/>
      </w:pPr>
      <w:r w:rsidRPr="008B00BC">
        <w:rPr>
          <w:b/>
          <w:bCs/>
        </w:rPr>
        <w:t>Enable</w:t>
      </w:r>
      <w:r w:rsidR="0013032F" w:rsidRPr="008B00BC">
        <w:rPr>
          <w:b/>
          <w:bCs/>
        </w:rPr>
        <w:t xml:space="preserve"> </w:t>
      </w:r>
      <w:r w:rsidRPr="008B00BC">
        <w:rPr>
          <w:b/>
          <w:bCs/>
        </w:rPr>
        <w:t>high-value</w:t>
      </w:r>
      <w:r w:rsidR="0013032F" w:rsidRPr="008B00BC">
        <w:rPr>
          <w:b/>
          <w:bCs/>
        </w:rPr>
        <w:t xml:space="preserve"> </w:t>
      </w:r>
      <w:r w:rsidRPr="008B00BC">
        <w:rPr>
          <w:b/>
          <w:bCs/>
        </w:rPr>
        <w:t>agriculture</w:t>
      </w:r>
      <w:r w:rsidR="0013032F">
        <w:t xml:space="preserve"> </w:t>
      </w:r>
      <w:r>
        <w:t>–</w:t>
      </w:r>
      <w:r w:rsidR="0013032F">
        <w:t xml:space="preserve"> </w:t>
      </w:r>
      <w:r>
        <w:t>to</w:t>
      </w:r>
      <w:r w:rsidR="0013032F">
        <w:t xml:space="preserve"> </w:t>
      </w:r>
      <w:r>
        <w:t>drive</w:t>
      </w:r>
      <w:r w:rsidR="0013032F">
        <w:t xml:space="preserve"> </w:t>
      </w:r>
      <w:r>
        <w:t>efficiency</w:t>
      </w:r>
      <w:r w:rsidR="0013032F">
        <w:t xml:space="preserve"> </w:t>
      </w:r>
      <w:r>
        <w:t>gains</w:t>
      </w:r>
      <w:r w:rsidR="0013032F">
        <w:t xml:space="preserve"> </w:t>
      </w:r>
      <w:r>
        <w:t>and</w:t>
      </w:r>
      <w:r w:rsidR="0013032F">
        <w:t xml:space="preserve"> </w:t>
      </w:r>
      <w:r>
        <w:t>growth</w:t>
      </w:r>
      <w:r w:rsidR="0013032F">
        <w:t xml:space="preserve"> </w:t>
      </w:r>
      <w:r>
        <w:t>in</w:t>
      </w:r>
      <w:r w:rsidR="0013032F">
        <w:t xml:space="preserve"> </w:t>
      </w:r>
      <w:r>
        <w:t>agriculture,</w:t>
      </w:r>
      <w:r w:rsidR="0013032F">
        <w:t xml:space="preserve"> </w:t>
      </w:r>
      <w:r>
        <w:t>the</w:t>
      </w:r>
      <w:r w:rsidR="0013032F">
        <w:t xml:space="preserve"> </w:t>
      </w:r>
      <w:r>
        <w:t>partnership</w:t>
      </w:r>
      <w:r w:rsidR="0013032F">
        <w:t xml:space="preserve"> </w:t>
      </w:r>
      <w:r>
        <w:t>seeks</w:t>
      </w:r>
      <w:r w:rsidR="0013032F">
        <w:t xml:space="preserve"> </w:t>
      </w:r>
      <w:r>
        <w:t>water</w:t>
      </w:r>
      <w:r w:rsidR="0013032F">
        <w:t xml:space="preserve"> </w:t>
      </w:r>
      <w:r>
        <w:t>reform,</w:t>
      </w:r>
      <w:r w:rsidR="0013032F">
        <w:t xml:space="preserve"> </w:t>
      </w:r>
      <w:r>
        <w:t>improved</w:t>
      </w:r>
      <w:r w:rsidR="0013032F">
        <w:t xml:space="preserve"> </w:t>
      </w:r>
      <w:r>
        <w:t>road</w:t>
      </w:r>
      <w:r w:rsidR="0013032F">
        <w:t xml:space="preserve"> </w:t>
      </w:r>
      <w:r>
        <w:t>networks</w:t>
      </w:r>
      <w:r w:rsidR="0013032F">
        <w:t xml:space="preserve"> </w:t>
      </w:r>
      <w:r>
        <w:t>and</w:t>
      </w:r>
      <w:r w:rsidR="0013032F">
        <w:t xml:space="preserve"> </w:t>
      </w:r>
      <w:r>
        <w:t>adoption</w:t>
      </w:r>
      <w:r w:rsidR="0013032F">
        <w:t xml:space="preserve"> </w:t>
      </w:r>
      <w:r>
        <w:t>of</w:t>
      </w:r>
      <w:r w:rsidR="0013032F">
        <w:t xml:space="preserve"> </w:t>
      </w:r>
      <w:r>
        <w:t>new</w:t>
      </w:r>
      <w:r w:rsidR="0013032F">
        <w:t xml:space="preserve"> </w:t>
      </w:r>
      <w:r>
        <w:t>technologies.</w:t>
      </w:r>
      <w:r w:rsidR="0013032F">
        <w:t xml:space="preserve"> </w:t>
      </w:r>
      <w:r>
        <w:t>The</w:t>
      </w:r>
      <w:r w:rsidR="0013032F">
        <w:t xml:space="preserve"> </w:t>
      </w:r>
      <w:r>
        <w:t>partnership</w:t>
      </w:r>
      <w:r w:rsidR="0013032F">
        <w:t xml:space="preserve"> </w:t>
      </w:r>
      <w:r>
        <w:rPr>
          <w:spacing w:val="2"/>
        </w:rPr>
        <w:t>advocated</w:t>
      </w:r>
      <w:r w:rsidR="0013032F">
        <w:rPr>
          <w:spacing w:val="2"/>
        </w:rPr>
        <w:t xml:space="preserve"> </w:t>
      </w:r>
      <w:r>
        <w:rPr>
          <w:spacing w:val="2"/>
        </w:rPr>
        <w:t>for</w:t>
      </w:r>
      <w:r w:rsidR="0013032F">
        <w:rPr>
          <w:spacing w:val="2"/>
        </w:rPr>
        <w:t xml:space="preserve"> </w:t>
      </w:r>
      <w:r>
        <w:rPr>
          <w:spacing w:val="2"/>
        </w:rPr>
        <w:t>water</w:t>
      </w:r>
      <w:r w:rsidR="0013032F">
        <w:rPr>
          <w:spacing w:val="2"/>
        </w:rPr>
        <w:t xml:space="preserve"> </w:t>
      </w:r>
      <w:r>
        <w:rPr>
          <w:spacing w:val="2"/>
        </w:rPr>
        <w:t>policy</w:t>
      </w:r>
      <w:r w:rsidR="0013032F">
        <w:rPr>
          <w:spacing w:val="2"/>
        </w:rPr>
        <w:t xml:space="preserve"> </w:t>
      </w:r>
      <w:r>
        <w:rPr>
          <w:spacing w:val="2"/>
        </w:rPr>
        <w:t>reform,</w:t>
      </w:r>
      <w:r w:rsidR="0013032F">
        <w:rPr>
          <w:spacing w:val="2"/>
        </w:rPr>
        <w:t xml:space="preserve"> </w:t>
      </w:r>
      <w:r>
        <w:rPr>
          <w:spacing w:val="2"/>
        </w:rPr>
        <w:t>funding</w:t>
      </w:r>
      <w:r w:rsidR="0013032F">
        <w:rPr>
          <w:spacing w:val="2"/>
        </w:rPr>
        <w:t xml:space="preserve"> </w:t>
      </w:r>
      <w:r>
        <w:rPr>
          <w:spacing w:val="2"/>
        </w:rPr>
        <w:t>for</w:t>
      </w:r>
      <w:r w:rsidR="0013032F">
        <w:rPr>
          <w:spacing w:val="2"/>
        </w:rPr>
        <w:t xml:space="preserve"> </w:t>
      </w:r>
      <w:r>
        <w:rPr>
          <w:spacing w:val="2"/>
        </w:rPr>
        <w:t>digital</w:t>
      </w:r>
      <w:r w:rsidR="0013032F">
        <w:rPr>
          <w:spacing w:val="2"/>
        </w:rPr>
        <w:t xml:space="preserve"> </w:t>
      </w:r>
      <w:r>
        <w:rPr>
          <w:spacing w:val="2"/>
        </w:rPr>
        <w:t>connectivity</w:t>
      </w:r>
      <w:r w:rsidR="0013032F">
        <w:rPr>
          <w:spacing w:val="2"/>
        </w:rPr>
        <w:t xml:space="preserve"> </w:t>
      </w:r>
      <w:r>
        <w:rPr>
          <w:spacing w:val="2"/>
        </w:rPr>
        <w:t>and</w:t>
      </w:r>
      <w:r w:rsidR="0013032F">
        <w:rPr>
          <w:spacing w:val="2"/>
        </w:rPr>
        <w:t xml:space="preserve"> </w:t>
      </w:r>
      <w:r>
        <w:rPr>
          <w:spacing w:val="2"/>
        </w:rPr>
        <w:t>technology</w:t>
      </w:r>
      <w:r w:rsidR="0013032F">
        <w:rPr>
          <w:spacing w:val="2"/>
        </w:rPr>
        <w:t xml:space="preserve"> </w:t>
      </w:r>
      <w:r>
        <w:rPr>
          <w:spacing w:val="2"/>
        </w:rPr>
        <w:t>adoption</w:t>
      </w:r>
      <w:r w:rsidR="0013032F">
        <w:rPr>
          <w:spacing w:val="2"/>
        </w:rPr>
        <w:t xml:space="preserve"> </w:t>
      </w:r>
      <w:r>
        <w:rPr>
          <w:spacing w:val="2"/>
        </w:rPr>
        <w:t>on</w:t>
      </w:r>
      <w:r w:rsidR="0013032F">
        <w:rPr>
          <w:spacing w:val="2"/>
        </w:rPr>
        <w:t xml:space="preserve"> </w:t>
      </w:r>
      <w:r>
        <w:rPr>
          <w:spacing w:val="2"/>
        </w:rPr>
        <w:t>farms,</w:t>
      </w:r>
      <w:r w:rsidR="0013032F">
        <w:rPr>
          <w:spacing w:val="2"/>
        </w:rPr>
        <w:t xml:space="preserve"> </w:t>
      </w:r>
      <w:r>
        <w:rPr>
          <w:spacing w:val="2"/>
        </w:rPr>
        <w:t>along</w:t>
      </w:r>
      <w:r w:rsidR="0013032F">
        <w:rPr>
          <w:spacing w:val="2"/>
        </w:rPr>
        <w:t xml:space="preserve"> </w:t>
      </w:r>
      <w:r>
        <w:rPr>
          <w:spacing w:val="2"/>
        </w:rPr>
        <w:t>with</w:t>
      </w:r>
      <w:r w:rsidR="0013032F">
        <w:rPr>
          <w:spacing w:val="2"/>
        </w:rPr>
        <w:t xml:space="preserve"> </w:t>
      </w:r>
      <w:r>
        <w:rPr>
          <w:spacing w:val="2"/>
        </w:rPr>
        <w:t>prioritised</w:t>
      </w:r>
      <w:r w:rsidR="0013032F">
        <w:rPr>
          <w:spacing w:val="2"/>
        </w:rPr>
        <w:t xml:space="preserve"> </w:t>
      </w:r>
      <w:r>
        <w:rPr>
          <w:spacing w:val="2"/>
        </w:rPr>
        <w:t>investmen</w:t>
      </w:r>
      <w:r>
        <w:rPr>
          <w:spacing w:val="2"/>
        </w:rPr>
        <w:t>t</w:t>
      </w:r>
      <w:r w:rsidR="0013032F">
        <w:rPr>
          <w:spacing w:val="2"/>
        </w:rPr>
        <w:t xml:space="preserve"> </w:t>
      </w:r>
      <w:r>
        <w:rPr>
          <w:spacing w:val="2"/>
        </w:rPr>
        <w:t>in</w:t>
      </w:r>
      <w:r w:rsidR="0013032F">
        <w:rPr>
          <w:spacing w:val="2"/>
        </w:rPr>
        <w:t xml:space="preserve"> </w:t>
      </w:r>
      <w:r>
        <w:t>the</w:t>
      </w:r>
      <w:r w:rsidR="0013032F">
        <w:t xml:space="preserve"> </w:t>
      </w:r>
      <w:r>
        <w:t>region’s</w:t>
      </w:r>
      <w:r w:rsidR="0013032F">
        <w:t xml:space="preserve"> </w:t>
      </w:r>
      <w:r>
        <w:t>nationally</w:t>
      </w:r>
      <w:r w:rsidR="0013032F">
        <w:t xml:space="preserve"> </w:t>
      </w:r>
      <w:r>
        <w:t>significant</w:t>
      </w:r>
      <w:r w:rsidR="0013032F">
        <w:t xml:space="preserve"> </w:t>
      </w:r>
      <w:r>
        <w:t>road</w:t>
      </w:r>
      <w:r w:rsidR="0013032F">
        <w:t xml:space="preserve"> </w:t>
      </w:r>
      <w:r>
        <w:t>network</w:t>
      </w:r>
    </w:p>
    <w:p w14:paraId="0002877B" w14:textId="21897A09" w:rsidR="00757772" w:rsidRDefault="00305D3C" w:rsidP="008B00BC">
      <w:pPr>
        <w:pStyle w:val="Bullet"/>
      </w:pPr>
      <w:r w:rsidRPr="008B00BC">
        <w:rPr>
          <w:b/>
          <w:bCs/>
        </w:rPr>
        <w:t>Improve</w:t>
      </w:r>
      <w:r w:rsidR="0013032F" w:rsidRPr="008B00BC">
        <w:rPr>
          <w:b/>
          <w:bCs/>
        </w:rPr>
        <w:t xml:space="preserve"> </w:t>
      </w:r>
      <w:r w:rsidRPr="008B00BC">
        <w:rPr>
          <w:b/>
          <w:bCs/>
        </w:rPr>
        <w:t>housing</w:t>
      </w:r>
      <w:r w:rsidR="0013032F" w:rsidRPr="008B00BC">
        <w:rPr>
          <w:b/>
          <w:bCs/>
        </w:rPr>
        <w:t xml:space="preserve"> </w:t>
      </w:r>
      <w:r w:rsidRPr="008B00BC">
        <w:rPr>
          <w:b/>
          <w:bCs/>
        </w:rPr>
        <w:t>supply</w:t>
      </w:r>
      <w:r w:rsidR="0013032F" w:rsidRPr="008B00BC">
        <w:rPr>
          <w:b/>
          <w:bCs/>
        </w:rPr>
        <w:t xml:space="preserve"> </w:t>
      </w:r>
      <w:r w:rsidRPr="008B00BC">
        <w:rPr>
          <w:b/>
          <w:bCs/>
        </w:rPr>
        <w:t>and</w:t>
      </w:r>
      <w:r w:rsidR="0013032F" w:rsidRPr="008B00BC">
        <w:rPr>
          <w:b/>
          <w:bCs/>
        </w:rPr>
        <w:t xml:space="preserve"> </w:t>
      </w:r>
      <w:r w:rsidRPr="008B00BC">
        <w:rPr>
          <w:b/>
          <w:bCs/>
        </w:rPr>
        <w:t>affordability</w:t>
      </w:r>
      <w:r w:rsidR="0013032F" w:rsidRPr="008B00BC">
        <w:t xml:space="preserve"> </w:t>
      </w:r>
      <w:r>
        <w:t>–</w:t>
      </w:r>
      <w:r w:rsidR="0013032F">
        <w:t xml:space="preserve"> </w:t>
      </w:r>
      <w:r>
        <w:t>to</w:t>
      </w:r>
      <w:r w:rsidR="0013032F">
        <w:t xml:space="preserve"> </w:t>
      </w:r>
      <w:r>
        <w:t>address</w:t>
      </w:r>
      <w:r w:rsidR="0013032F">
        <w:t xml:space="preserve"> </w:t>
      </w:r>
      <w:r>
        <w:t>workforce</w:t>
      </w:r>
      <w:r w:rsidR="0013032F">
        <w:t xml:space="preserve"> </w:t>
      </w:r>
      <w:r>
        <w:t>shortages,</w:t>
      </w:r>
      <w:r w:rsidR="0013032F">
        <w:t xml:space="preserve"> </w:t>
      </w:r>
      <w:r>
        <w:t>the</w:t>
      </w:r>
      <w:r w:rsidR="0013032F">
        <w:t xml:space="preserve"> </w:t>
      </w:r>
      <w:r>
        <w:t>GSCRP</w:t>
      </w:r>
      <w:r w:rsidR="0013032F">
        <w:t xml:space="preserve"> </w:t>
      </w:r>
      <w:r>
        <w:t>supported</w:t>
      </w:r>
      <w:r w:rsidR="0013032F">
        <w:t xml:space="preserve"> </w:t>
      </w:r>
      <w:r>
        <w:t>interventions</w:t>
      </w:r>
      <w:r w:rsidR="0013032F">
        <w:t xml:space="preserve"> </w:t>
      </w:r>
      <w:r>
        <w:t>outlined</w:t>
      </w:r>
      <w:r w:rsidR="0013032F">
        <w:t xml:space="preserve"> </w:t>
      </w:r>
      <w:r>
        <w:t>in</w:t>
      </w:r>
      <w:r w:rsidR="0013032F">
        <w:t xml:space="preserve"> </w:t>
      </w:r>
      <w:r>
        <w:t>the</w:t>
      </w:r>
      <w:r w:rsidR="0013032F">
        <w:t xml:space="preserve"> </w:t>
      </w:r>
      <w:r>
        <w:t>Barwon</w:t>
      </w:r>
      <w:r w:rsidR="0013032F">
        <w:t xml:space="preserve"> </w:t>
      </w:r>
      <w:r>
        <w:t>South</w:t>
      </w:r>
      <w:r w:rsidR="0013032F">
        <w:t xml:space="preserve"> </w:t>
      </w:r>
      <w:r>
        <w:t>West</w:t>
      </w:r>
      <w:r w:rsidR="0013032F">
        <w:t xml:space="preserve"> </w:t>
      </w:r>
      <w:r>
        <w:t>Key</w:t>
      </w:r>
      <w:r w:rsidR="0013032F">
        <w:t xml:space="preserve"> </w:t>
      </w:r>
      <w:r>
        <w:t>Worker</w:t>
      </w:r>
      <w:r w:rsidR="0013032F">
        <w:t xml:space="preserve"> </w:t>
      </w:r>
      <w:r>
        <w:t>Action</w:t>
      </w:r>
      <w:r w:rsidR="0013032F">
        <w:t xml:space="preserve"> </w:t>
      </w:r>
      <w:r>
        <w:t>Plan,</w:t>
      </w:r>
      <w:r w:rsidR="0013032F">
        <w:t xml:space="preserve"> </w:t>
      </w:r>
      <w:r>
        <w:t>including</w:t>
      </w:r>
      <w:r w:rsidR="0013032F">
        <w:t xml:space="preserve"> </w:t>
      </w:r>
      <w:r>
        <w:t>funding</w:t>
      </w:r>
      <w:r w:rsidR="0013032F">
        <w:t xml:space="preserve"> </w:t>
      </w:r>
      <w:r>
        <w:t>for</w:t>
      </w:r>
      <w:r w:rsidR="0013032F">
        <w:t xml:space="preserve"> </w:t>
      </w:r>
      <w:r>
        <w:t>seasonal</w:t>
      </w:r>
      <w:r w:rsidR="0013032F">
        <w:t xml:space="preserve"> </w:t>
      </w:r>
      <w:r>
        <w:t>worker</w:t>
      </w:r>
      <w:r w:rsidR="0013032F">
        <w:t xml:space="preserve"> </w:t>
      </w:r>
      <w:r>
        <w:t>housing,</w:t>
      </w:r>
      <w:r w:rsidR="0013032F">
        <w:t xml:space="preserve"> </w:t>
      </w:r>
      <w:r>
        <w:t>bridging</w:t>
      </w:r>
      <w:r w:rsidR="0013032F">
        <w:t xml:space="preserve"> </w:t>
      </w:r>
      <w:r>
        <w:t>the</w:t>
      </w:r>
      <w:r w:rsidR="0013032F">
        <w:t xml:space="preserve"> </w:t>
      </w:r>
      <w:r>
        <w:t>construction-revenue</w:t>
      </w:r>
      <w:r w:rsidR="0013032F">
        <w:t xml:space="preserve"> </w:t>
      </w:r>
      <w:r>
        <w:t>gap</w:t>
      </w:r>
      <w:r w:rsidR="0013032F">
        <w:t xml:space="preserve"> </w:t>
      </w:r>
      <w:r>
        <w:t>for</w:t>
      </w:r>
      <w:r w:rsidR="0013032F">
        <w:t xml:space="preserve"> </w:t>
      </w:r>
      <w:r>
        <w:t>key</w:t>
      </w:r>
      <w:r w:rsidR="0013032F">
        <w:t xml:space="preserve"> </w:t>
      </w:r>
      <w:r>
        <w:t>worker</w:t>
      </w:r>
      <w:r w:rsidR="0013032F">
        <w:t xml:space="preserve"> </w:t>
      </w:r>
      <w:r>
        <w:t>dwellings,</w:t>
      </w:r>
      <w:r w:rsidR="0013032F">
        <w:t xml:space="preserve"> </w:t>
      </w:r>
      <w:r>
        <w:t>and</w:t>
      </w:r>
      <w:r w:rsidR="0013032F">
        <w:t xml:space="preserve"> </w:t>
      </w:r>
      <w:r>
        <w:t>planning</w:t>
      </w:r>
      <w:r w:rsidR="0013032F">
        <w:t xml:space="preserve"> </w:t>
      </w:r>
      <w:r>
        <w:t>facilitation</w:t>
      </w:r>
      <w:r w:rsidR="0013032F">
        <w:t xml:space="preserve"> </w:t>
      </w:r>
      <w:r>
        <w:t>and</w:t>
      </w:r>
      <w:r w:rsidR="0013032F">
        <w:t xml:space="preserve"> </w:t>
      </w:r>
      <w:r>
        <w:t>delivery.</w:t>
      </w:r>
    </w:p>
    <w:p w14:paraId="7C143B64" w14:textId="45EA6EDB" w:rsidR="00757772" w:rsidRDefault="00305D3C" w:rsidP="008B00BC">
      <w:pPr>
        <w:pStyle w:val="Bulletlast"/>
      </w:pPr>
      <w:r w:rsidRPr="008B00BC">
        <w:rPr>
          <w:b/>
          <w:bCs/>
        </w:rPr>
        <w:t>Lead</w:t>
      </w:r>
      <w:r w:rsidR="0013032F" w:rsidRPr="008B00BC">
        <w:rPr>
          <w:b/>
          <w:bCs/>
        </w:rPr>
        <w:t xml:space="preserve"> </w:t>
      </w:r>
      <w:r w:rsidRPr="008B00BC">
        <w:rPr>
          <w:b/>
          <w:bCs/>
        </w:rPr>
        <w:t>in</w:t>
      </w:r>
      <w:r w:rsidR="0013032F" w:rsidRPr="008B00BC">
        <w:rPr>
          <w:b/>
          <w:bCs/>
        </w:rPr>
        <w:t xml:space="preserve"> </w:t>
      </w:r>
      <w:r w:rsidRPr="008B00BC">
        <w:rPr>
          <w:b/>
          <w:bCs/>
        </w:rPr>
        <w:t>green</w:t>
      </w:r>
      <w:r w:rsidR="0013032F" w:rsidRPr="008B00BC">
        <w:rPr>
          <w:b/>
          <w:bCs/>
        </w:rPr>
        <w:t xml:space="preserve"> </w:t>
      </w:r>
      <w:r w:rsidRPr="008B00BC">
        <w:rPr>
          <w:b/>
          <w:bCs/>
        </w:rPr>
        <w:t>hydrogen</w:t>
      </w:r>
      <w:r w:rsidR="0013032F">
        <w:t xml:space="preserve"> </w:t>
      </w:r>
      <w:r>
        <w:t>–</w:t>
      </w:r>
      <w:r w:rsidR="0013032F">
        <w:t xml:space="preserve"> </w:t>
      </w:r>
      <w:r>
        <w:t>the</w:t>
      </w:r>
      <w:r w:rsidR="0013032F">
        <w:t xml:space="preserve"> </w:t>
      </w:r>
      <w:r>
        <w:t>region</w:t>
      </w:r>
      <w:r w:rsidR="0013032F">
        <w:t xml:space="preserve"> </w:t>
      </w:r>
      <w:r>
        <w:t>aims</w:t>
      </w:r>
      <w:r w:rsidR="0013032F">
        <w:t xml:space="preserve"> </w:t>
      </w:r>
      <w:r>
        <w:t>to</w:t>
      </w:r>
      <w:r w:rsidR="0013032F">
        <w:t xml:space="preserve"> </w:t>
      </w:r>
      <w:r>
        <w:t>become</w:t>
      </w:r>
      <w:r w:rsidR="0013032F">
        <w:t xml:space="preserve"> </w:t>
      </w:r>
      <w:r>
        <w:t>a</w:t>
      </w:r>
      <w:r w:rsidR="0013032F">
        <w:t xml:space="preserve"> </w:t>
      </w:r>
      <w:r>
        <w:t>global</w:t>
      </w:r>
      <w:r w:rsidR="0013032F">
        <w:t xml:space="preserve"> </w:t>
      </w:r>
      <w:r>
        <w:t>leader</w:t>
      </w:r>
      <w:r w:rsidR="0013032F">
        <w:t xml:space="preserve"> </w:t>
      </w:r>
      <w:r>
        <w:t>in</w:t>
      </w:r>
      <w:r w:rsidR="0013032F">
        <w:t xml:space="preserve"> </w:t>
      </w:r>
      <w:r>
        <w:t>sustainable</w:t>
      </w:r>
      <w:r w:rsidR="0013032F">
        <w:t xml:space="preserve"> </w:t>
      </w:r>
      <w:r>
        <w:t>transport,</w:t>
      </w:r>
      <w:r w:rsidR="0013032F">
        <w:t xml:space="preserve"> </w:t>
      </w:r>
      <w:r>
        <w:t>tourism</w:t>
      </w:r>
      <w:r w:rsidR="0013032F">
        <w:t xml:space="preserve"> </w:t>
      </w:r>
      <w:r>
        <w:t>and</w:t>
      </w:r>
      <w:r w:rsidR="0013032F">
        <w:t xml:space="preserve"> </w:t>
      </w:r>
      <w:r>
        <w:t>renewable</w:t>
      </w:r>
      <w:r w:rsidR="0013032F">
        <w:t xml:space="preserve"> </w:t>
      </w:r>
      <w:r>
        <w:t>energy</w:t>
      </w:r>
      <w:r w:rsidR="0013032F">
        <w:t xml:space="preserve"> </w:t>
      </w:r>
      <w:r>
        <w:t>production</w:t>
      </w:r>
      <w:r w:rsidR="0013032F">
        <w:t xml:space="preserve"> </w:t>
      </w:r>
      <w:r>
        <w:t>by</w:t>
      </w:r>
      <w:r w:rsidR="0013032F">
        <w:t xml:space="preserve"> </w:t>
      </w:r>
      <w:r>
        <w:t>progressing</w:t>
      </w:r>
      <w:r w:rsidR="0013032F">
        <w:t xml:space="preserve"> </w:t>
      </w:r>
      <w:r>
        <w:t>the</w:t>
      </w:r>
      <w:r w:rsidR="0013032F">
        <w:t xml:space="preserve"> </w:t>
      </w:r>
      <w:r>
        <w:t>hydrogen</w:t>
      </w:r>
      <w:r w:rsidR="0013032F">
        <w:t xml:space="preserve"> </w:t>
      </w:r>
      <w:r>
        <w:t>heavy</w:t>
      </w:r>
      <w:r w:rsidR="0013032F">
        <w:t xml:space="preserve"> </w:t>
      </w:r>
      <w:r>
        <w:t>vehicle</w:t>
      </w:r>
      <w:r w:rsidR="0013032F">
        <w:t xml:space="preserve"> </w:t>
      </w:r>
      <w:r>
        <w:t>mobility</w:t>
      </w:r>
      <w:r w:rsidR="0013032F">
        <w:t xml:space="preserve"> </w:t>
      </w:r>
      <w:r>
        <w:t>transition.</w:t>
      </w:r>
      <w:r w:rsidR="0013032F">
        <w:t xml:space="preserve"> </w:t>
      </w:r>
      <w:r>
        <w:t>The</w:t>
      </w:r>
      <w:r w:rsidR="0013032F">
        <w:t xml:space="preserve"> </w:t>
      </w:r>
      <w:r>
        <w:t>partnership</w:t>
      </w:r>
      <w:r w:rsidR="0013032F">
        <w:t xml:space="preserve"> </w:t>
      </w:r>
      <w:r>
        <w:t>advocated</w:t>
      </w:r>
      <w:r w:rsidR="0013032F">
        <w:t xml:space="preserve"> </w:t>
      </w:r>
      <w:r>
        <w:t>for</w:t>
      </w:r>
      <w:r w:rsidR="0013032F">
        <w:t xml:space="preserve"> </w:t>
      </w:r>
      <w:r>
        <w:t>funding</w:t>
      </w:r>
      <w:r w:rsidR="0013032F">
        <w:t xml:space="preserve"> </w:t>
      </w:r>
      <w:r>
        <w:t>for</w:t>
      </w:r>
      <w:r w:rsidR="0013032F">
        <w:t xml:space="preserve"> </w:t>
      </w:r>
      <w:r>
        <w:t>a</w:t>
      </w:r>
      <w:r w:rsidR="0013032F">
        <w:t xml:space="preserve"> </w:t>
      </w:r>
      <w:r>
        <w:t>portable</w:t>
      </w:r>
      <w:r w:rsidR="0013032F">
        <w:t xml:space="preserve"> </w:t>
      </w:r>
      <w:r>
        <w:t>hydrogen</w:t>
      </w:r>
      <w:r w:rsidR="0013032F">
        <w:t xml:space="preserve"> </w:t>
      </w:r>
      <w:r>
        <w:t>refueller,</w:t>
      </w:r>
      <w:r w:rsidR="0013032F">
        <w:t xml:space="preserve"> </w:t>
      </w:r>
      <w:r>
        <w:t>a</w:t>
      </w:r>
      <w:r w:rsidR="0013032F">
        <w:t xml:space="preserve"> </w:t>
      </w:r>
      <w:r>
        <w:t>mobile</w:t>
      </w:r>
      <w:r w:rsidR="0013032F">
        <w:t xml:space="preserve"> </w:t>
      </w:r>
      <w:r>
        <w:t>hydrogen</w:t>
      </w:r>
      <w:r w:rsidR="0013032F">
        <w:t xml:space="preserve"> </w:t>
      </w:r>
      <w:r>
        <w:t>hub</w:t>
      </w:r>
      <w:r w:rsidR="0013032F">
        <w:t xml:space="preserve"> </w:t>
      </w:r>
      <w:r>
        <w:t>and</w:t>
      </w:r>
      <w:r w:rsidR="0013032F">
        <w:t xml:space="preserve"> </w:t>
      </w:r>
      <w:r>
        <w:t>policy</w:t>
      </w:r>
      <w:r w:rsidR="0013032F">
        <w:t xml:space="preserve"> </w:t>
      </w:r>
      <w:r>
        <w:t>support</w:t>
      </w:r>
      <w:r w:rsidR="0013032F">
        <w:t xml:space="preserve"> </w:t>
      </w:r>
      <w:r>
        <w:t>for</w:t>
      </w:r>
      <w:r w:rsidR="0013032F">
        <w:t xml:space="preserve"> </w:t>
      </w:r>
      <w:r>
        <w:t>the</w:t>
      </w:r>
      <w:r w:rsidR="0013032F">
        <w:t xml:space="preserve"> </w:t>
      </w:r>
      <w:r>
        <w:t>Warrnambool</w:t>
      </w:r>
      <w:r w:rsidR="0013032F">
        <w:t xml:space="preserve"> </w:t>
      </w:r>
      <w:r>
        <w:t>Hydrogen</w:t>
      </w:r>
      <w:r w:rsidR="0013032F">
        <w:t xml:space="preserve"> </w:t>
      </w:r>
      <w:r>
        <w:t>Mobility</w:t>
      </w:r>
      <w:r w:rsidR="0013032F">
        <w:t xml:space="preserve"> </w:t>
      </w:r>
      <w:r>
        <w:t>project.</w:t>
      </w:r>
      <w:r w:rsidR="0013032F">
        <w:t xml:space="preserve"> </w:t>
      </w:r>
    </w:p>
    <w:p w14:paraId="7DDCEC39" w14:textId="77777777" w:rsidR="00757772" w:rsidRDefault="00305D3C" w:rsidP="008B00BC">
      <w:pPr>
        <w:pStyle w:val="Heading3"/>
      </w:pPr>
      <w:r>
        <w:t>Highlights:</w:t>
      </w:r>
    </w:p>
    <w:p w14:paraId="1F5F53E0" w14:textId="73BA43F2" w:rsidR="00757772" w:rsidRDefault="00305D3C" w:rsidP="008B00BC">
      <w:pPr>
        <w:pStyle w:val="Bullet"/>
      </w:pPr>
      <w:r>
        <w:t>Partnered</w:t>
      </w:r>
      <w:r w:rsidR="0013032F">
        <w:t xml:space="preserve"> </w:t>
      </w:r>
      <w:r>
        <w:t>with</w:t>
      </w:r>
      <w:r w:rsidR="0013032F">
        <w:t xml:space="preserve"> </w:t>
      </w:r>
      <w:r>
        <w:t>RDA</w:t>
      </w:r>
      <w:r w:rsidR="0013032F">
        <w:t xml:space="preserve"> </w:t>
      </w:r>
      <w:r>
        <w:t>Barwon</w:t>
      </w:r>
      <w:r w:rsidR="0013032F">
        <w:t xml:space="preserve"> </w:t>
      </w:r>
      <w:r>
        <w:t>South</w:t>
      </w:r>
      <w:r w:rsidR="0013032F">
        <w:t xml:space="preserve"> </w:t>
      </w:r>
      <w:r>
        <w:t>West</w:t>
      </w:r>
      <w:r w:rsidR="0013032F">
        <w:t xml:space="preserve"> </w:t>
      </w:r>
      <w:r>
        <w:t>to</w:t>
      </w:r>
      <w:r w:rsidR="0013032F">
        <w:t xml:space="preserve"> </w:t>
      </w:r>
      <w:r>
        <w:t>better</w:t>
      </w:r>
      <w:r w:rsidR="0013032F">
        <w:t xml:space="preserve"> </w:t>
      </w:r>
      <w:r>
        <w:t>understand</w:t>
      </w:r>
      <w:r w:rsidR="0013032F">
        <w:t xml:space="preserve"> </w:t>
      </w:r>
      <w:r>
        <w:t>the</w:t>
      </w:r>
      <w:r w:rsidR="0013032F">
        <w:t xml:space="preserve"> </w:t>
      </w:r>
      <w:r>
        <w:t>aspirations,</w:t>
      </w:r>
      <w:r w:rsidR="0013032F">
        <w:t xml:space="preserve"> </w:t>
      </w:r>
      <w:r>
        <w:t>opportunities</w:t>
      </w:r>
      <w:r w:rsidR="0013032F">
        <w:t xml:space="preserve"> </w:t>
      </w:r>
      <w:r>
        <w:t>and</w:t>
      </w:r>
      <w:r w:rsidR="0013032F">
        <w:t xml:space="preserve"> </w:t>
      </w:r>
      <w:r>
        <w:t>associated</w:t>
      </w:r>
      <w:r w:rsidR="0013032F">
        <w:t xml:space="preserve"> </w:t>
      </w:r>
      <w:r>
        <w:t>barriers</w:t>
      </w:r>
      <w:r w:rsidR="0013032F">
        <w:t xml:space="preserve"> </w:t>
      </w:r>
      <w:r>
        <w:t>preventing</w:t>
      </w:r>
      <w:r w:rsidR="0013032F">
        <w:t xml:space="preserve"> </w:t>
      </w:r>
      <w:r>
        <w:t>higher-value</w:t>
      </w:r>
      <w:r w:rsidR="0013032F">
        <w:t xml:space="preserve"> </w:t>
      </w:r>
      <w:r>
        <w:t>and</w:t>
      </w:r>
      <w:r w:rsidR="0013032F">
        <w:t xml:space="preserve"> </w:t>
      </w:r>
      <w:r>
        <w:t>value</w:t>
      </w:r>
      <w:r>
        <w:noBreakHyphen/>
        <w:t>add</w:t>
      </w:r>
      <w:r w:rsidR="0013032F">
        <w:t xml:space="preserve"> </w:t>
      </w:r>
      <w:r>
        <w:t>opportunities</w:t>
      </w:r>
      <w:r w:rsidR="0013032F">
        <w:t xml:space="preserve"> </w:t>
      </w:r>
      <w:r>
        <w:t>in</w:t>
      </w:r>
      <w:r w:rsidR="0013032F">
        <w:t xml:space="preserve"> </w:t>
      </w:r>
      <w:r>
        <w:t>the</w:t>
      </w:r>
      <w:r w:rsidR="0013032F">
        <w:t xml:space="preserve"> </w:t>
      </w:r>
      <w:r>
        <w:t>food</w:t>
      </w:r>
      <w:r w:rsidR="0013032F">
        <w:t xml:space="preserve"> </w:t>
      </w:r>
      <w:r>
        <w:t>and</w:t>
      </w:r>
      <w:r w:rsidR="0013032F">
        <w:t xml:space="preserve"> </w:t>
      </w:r>
      <w:r>
        <w:t>fibre</w:t>
      </w:r>
      <w:r w:rsidR="0013032F">
        <w:t xml:space="preserve"> </w:t>
      </w:r>
      <w:r>
        <w:t>sector</w:t>
      </w:r>
      <w:r w:rsidR="0013032F">
        <w:t xml:space="preserve"> </w:t>
      </w:r>
      <w:r>
        <w:t>from</w:t>
      </w:r>
      <w:r w:rsidR="0013032F">
        <w:t xml:space="preserve"> </w:t>
      </w:r>
      <w:r>
        <w:t>being</w:t>
      </w:r>
      <w:r w:rsidR="0013032F">
        <w:t xml:space="preserve"> </w:t>
      </w:r>
      <w:r>
        <w:t>realised</w:t>
      </w:r>
    </w:p>
    <w:p w14:paraId="272173F2" w14:textId="5725E69A" w:rsidR="00757772" w:rsidRDefault="00305D3C" w:rsidP="008B00BC">
      <w:pPr>
        <w:pStyle w:val="Bullet"/>
      </w:pPr>
      <w:r>
        <w:t>Facilitated</w:t>
      </w:r>
      <w:r w:rsidR="0013032F">
        <w:t xml:space="preserve"> </w:t>
      </w:r>
      <w:r>
        <w:t>opportunities</w:t>
      </w:r>
      <w:r w:rsidR="0013032F">
        <w:t xml:space="preserve"> </w:t>
      </w:r>
      <w:r>
        <w:t>that</w:t>
      </w:r>
      <w:r w:rsidR="0013032F">
        <w:t xml:space="preserve"> </w:t>
      </w:r>
      <w:r>
        <w:t>aligned</w:t>
      </w:r>
      <w:r w:rsidR="0013032F">
        <w:t xml:space="preserve"> </w:t>
      </w:r>
      <w:r>
        <w:t>with</w:t>
      </w:r>
      <w:r w:rsidR="0013032F">
        <w:t xml:space="preserve"> </w:t>
      </w:r>
      <w:r>
        <w:t>Great</w:t>
      </w:r>
      <w:r w:rsidR="0013032F">
        <w:t xml:space="preserve"> </w:t>
      </w:r>
      <w:r>
        <w:t>South</w:t>
      </w:r>
      <w:r w:rsidR="0013032F">
        <w:t xml:space="preserve"> </w:t>
      </w:r>
      <w:r>
        <w:t>Coast</w:t>
      </w:r>
      <w:r w:rsidR="0013032F">
        <w:t xml:space="preserve"> </w:t>
      </w:r>
      <w:r>
        <w:t>Economic</w:t>
      </w:r>
      <w:r w:rsidR="0013032F">
        <w:t xml:space="preserve"> </w:t>
      </w:r>
      <w:r>
        <w:t>Futures</w:t>
      </w:r>
      <w:r w:rsidR="0013032F">
        <w:t xml:space="preserve"> </w:t>
      </w:r>
      <w:r>
        <w:t>to</w:t>
      </w:r>
      <w:r w:rsidR="0013032F">
        <w:t xml:space="preserve"> </w:t>
      </w:r>
      <w:r>
        <w:t>diversify</w:t>
      </w:r>
      <w:r w:rsidR="0013032F">
        <w:t xml:space="preserve"> </w:t>
      </w:r>
      <w:r>
        <w:t>the</w:t>
      </w:r>
      <w:r w:rsidR="0013032F">
        <w:t xml:space="preserve"> </w:t>
      </w:r>
      <w:r>
        <w:t>region’s</w:t>
      </w:r>
      <w:r w:rsidR="0013032F">
        <w:t xml:space="preserve"> </w:t>
      </w:r>
      <w:r>
        <w:t>visitor</w:t>
      </w:r>
      <w:r w:rsidR="0013032F">
        <w:t xml:space="preserve"> </w:t>
      </w:r>
      <w:r>
        <w:t>economy</w:t>
      </w:r>
      <w:r w:rsidR="0013032F">
        <w:t xml:space="preserve"> </w:t>
      </w:r>
      <w:r>
        <w:t>and</w:t>
      </w:r>
      <w:r w:rsidR="0013032F">
        <w:t xml:space="preserve"> </w:t>
      </w:r>
      <w:r>
        <w:t>high</w:t>
      </w:r>
      <w:r w:rsidR="0013032F">
        <w:t xml:space="preserve"> </w:t>
      </w:r>
      <w:r>
        <w:t>value</w:t>
      </w:r>
      <w:r w:rsidR="0013032F">
        <w:t xml:space="preserve"> </w:t>
      </w:r>
      <w:r>
        <w:t>agriculture</w:t>
      </w:r>
      <w:r w:rsidR="0013032F">
        <w:t xml:space="preserve"> </w:t>
      </w:r>
      <w:r>
        <w:t>and</w:t>
      </w:r>
      <w:r w:rsidR="0013032F">
        <w:t xml:space="preserve"> </w:t>
      </w:r>
      <w:r>
        <w:t>clean</w:t>
      </w:r>
      <w:r w:rsidR="0013032F">
        <w:t xml:space="preserve"> </w:t>
      </w:r>
      <w:r>
        <w:t>energy</w:t>
      </w:r>
      <w:r w:rsidR="0013032F">
        <w:t xml:space="preserve"> </w:t>
      </w:r>
      <w:r>
        <w:t>investment,</w:t>
      </w:r>
      <w:r w:rsidR="0013032F">
        <w:t xml:space="preserve"> </w:t>
      </w:r>
      <w:r>
        <w:t>including</w:t>
      </w:r>
      <w:r w:rsidR="0013032F">
        <w:t xml:space="preserve"> </w:t>
      </w:r>
      <w:r>
        <w:t>working</w:t>
      </w:r>
      <w:r w:rsidR="0013032F">
        <w:t xml:space="preserve"> </w:t>
      </w:r>
      <w:r>
        <w:t>with</w:t>
      </w:r>
      <w:r w:rsidR="0013032F">
        <w:t xml:space="preserve"> </w:t>
      </w:r>
      <w:r>
        <w:t>investors</w:t>
      </w:r>
      <w:r w:rsidR="0013032F">
        <w:t xml:space="preserve"> </w:t>
      </w:r>
      <w:r>
        <w:t>and</w:t>
      </w:r>
      <w:r w:rsidR="0013032F">
        <w:t xml:space="preserve"> </w:t>
      </w:r>
      <w:r>
        <w:t>developing</w:t>
      </w:r>
      <w:r w:rsidR="0013032F">
        <w:t xml:space="preserve"> </w:t>
      </w:r>
      <w:r>
        <w:t>a</w:t>
      </w:r>
      <w:r w:rsidR="0013032F">
        <w:t xml:space="preserve"> </w:t>
      </w:r>
      <w:r>
        <w:t>prospectus</w:t>
      </w:r>
      <w:r w:rsidR="0013032F">
        <w:t xml:space="preserve"> </w:t>
      </w:r>
      <w:r>
        <w:t>for</w:t>
      </w:r>
      <w:r w:rsidR="0013032F">
        <w:t xml:space="preserve"> </w:t>
      </w:r>
      <w:r>
        <w:t>geothermal</w:t>
      </w:r>
      <w:r w:rsidR="0013032F">
        <w:t xml:space="preserve"> </w:t>
      </w:r>
      <w:r>
        <w:t>tourism</w:t>
      </w:r>
      <w:r w:rsidR="0013032F">
        <w:t xml:space="preserve"> </w:t>
      </w:r>
      <w:r>
        <w:t>investment</w:t>
      </w:r>
    </w:p>
    <w:p w14:paraId="4969CDE6" w14:textId="2F4A85C0" w:rsidR="00757772" w:rsidRDefault="00305D3C" w:rsidP="008B00BC">
      <w:pPr>
        <w:pStyle w:val="Bullet"/>
      </w:pPr>
      <w:r>
        <w:t>Facilitated</w:t>
      </w:r>
      <w:r w:rsidR="0013032F">
        <w:t xml:space="preserve"> </w:t>
      </w:r>
      <w:r>
        <w:t>discussions</w:t>
      </w:r>
      <w:r w:rsidR="0013032F">
        <w:t xml:space="preserve"> </w:t>
      </w:r>
      <w:r>
        <w:t>with</w:t>
      </w:r>
      <w:r w:rsidR="0013032F">
        <w:t xml:space="preserve"> </w:t>
      </w:r>
      <w:r>
        <w:t>private</w:t>
      </w:r>
      <w:r w:rsidR="0013032F">
        <w:t xml:space="preserve"> </w:t>
      </w:r>
      <w:r>
        <w:t>sector</w:t>
      </w:r>
      <w:r w:rsidR="0013032F">
        <w:t xml:space="preserve"> </w:t>
      </w:r>
      <w:r>
        <w:t>and</w:t>
      </w:r>
      <w:r w:rsidR="0013032F">
        <w:t xml:space="preserve"> </w:t>
      </w:r>
      <w:r>
        <w:t>representatives</w:t>
      </w:r>
      <w:r w:rsidR="0013032F">
        <w:t xml:space="preserve"> </w:t>
      </w:r>
      <w:r>
        <w:t>from</w:t>
      </w:r>
      <w:r w:rsidR="0013032F">
        <w:t xml:space="preserve"> </w:t>
      </w:r>
      <w:r>
        <w:t>the</w:t>
      </w:r>
      <w:r w:rsidR="0013032F">
        <w:t xml:space="preserve"> </w:t>
      </w:r>
      <w:r>
        <w:t>Victorian</w:t>
      </w:r>
      <w:r w:rsidR="0013032F">
        <w:t xml:space="preserve"> </w:t>
      </w:r>
      <w:r>
        <w:t>Government</w:t>
      </w:r>
      <w:r w:rsidR="0013032F">
        <w:t xml:space="preserve"> </w:t>
      </w:r>
      <w:r>
        <w:t>on</w:t>
      </w:r>
      <w:r w:rsidR="0013032F">
        <w:t xml:space="preserve"> </w:t>
      </w:r>
      <w:r>
        <w:t>opportunities</w:t>
      </w:r>
      <w:r w:rsidR="0013032F">
        <w:t xml:space="preserve"> </w:t>
      </w:r>
      <w:r>
        <w:t>for</w:t>
      </w:r>
      <w:r w:rsidR="0013032F">
        <w:t xml:space="preserve"> </w:t>
      </w:r>
      <w:r>
        <w:t>and</w:t>
      </w:r>
      <w:r w:rsidR="0013032F">
        <w:t xml:space="preserve"> </w:t>
      </w:r>
      <w:r>
        <w:t>barriers</w:t>
      </w:r>
      <w:r w:rsidR="0013032F">
        <w:t xml:space="preserve"> </w:t>
      </w:r>
      <w:r>
        <w:t>to</w:t>
      </w:r>
      <w:r w:rsidR="0013032F">
        <w:t xml:space="preserve"> </w:t>
      </w:r>
      <w:r>
        <w:t>the</w:t>
      </w:r>
      <w:r w:rsidR="0013032F">
        <w:t xml:space="preserve"> </w:t>
      </w:r>
      <w:r>
        <w:t>clean</w:t>
      </w:r>
      <w:r w:rsidR="0013032F">
        <w:t xml:space="preserve"> </w:t>
      </w:r>
      <w:r>
        <w:t>energy</w:t>
      </w:r>
      <w:r w:rsidR="0013032F">
        <w:t xml:space="preserve"> </w:t>
      </w:r>
      <w:r>
        <w:t>sector</w:t>
      </w:r>
      <w:r w:rsidR="0013032F">
        <w:t xml:space="preserve"> </w:t>
      </w:r>
      <w:r>
        <w:t>in</w:t>
      </w:r>
      <w:r w:rsidR="0013032F">
        <w:t xml:space="preserve"> </w:t>
      </w:r>
      <w:r>
        <w:t>the</w:t>
      </w:r>
      <w:r w:rsidR="0013032F">
        <w:t xml:space="preserve"> </w:t>
      </w:r>
      <w:r>
        <w:t>Great</w:t>
      </w:r>
      <w:r w:rsidR="0013032F">
        <w:t xml:space="preserve"> </w:t>
      </w:r>
      <w:r>
        <w:t>South</w:t>
      </w:r>
      <w:r w:rsidR="0013032F">
        <w:t xml:space="preserve"> </w:t>
      </w:r>
      <w:r>
        <w:t>Coast.</w:t>
      </w:r>
      <w:r w:rsidR="0013032F">
        <w:t xml:space="preserve"> </w:t>
      </w:r>
      <w:r>
        <w:t>As</w:t>
      </w:r>
      <w:r w:rsidR="0013032F">
        <w:t xml:space="preserve"> </w:t>
      </w:r>
      <w:r>
        <w:t>these</w:t>
      </w:r>
      <w:r w:rsidR="0013032F">
        <w:t xml:space="preserve"> </w:t>
      </w:r>
      <w:r>
        <w:t>conversations</w:t>
      </w:r>
      <w:r w:rsidR="0013032F">
        <w:t xml:space="preserve"> </w:t>
      </w:r>
      <w:r>
        <w:t>continue,</w:t>
      </w:r>
      <w:r w:rsidR="0013032F">
        <w:t xml:space="preserve"> </w:t>
      </w:r>
      <w:r>
        <w:t>GSCRP</w:t>
      </w:r>
      <w:r w:rsidR="0013032F">
        <w:t xml:space="preserve"> </w:t>
      </w:r>
      <w:r>
        <w:t>is</w:t>
      </w:r>
      <w:r w:rsidR="0013032F">
        <w:t xml:space="preserve"> </w:t>
      </w:r>
      <w:r>
        <w:t>partnering</w:t>
      </w:r>
      <w:r w:rsidR="0013032F">
        <w:t xml:space="preserve"> </w:t>
      </w:r>
      <w:r>
        <w:t>with</w:t>
      </w:r>
      <w:r w:rsidR="0013032F">
        <w:t xml:space="preserve"> </w:t>
      </w:r>
      <w:r>
        <w:t>RDA</w:t>
      </w:r>
      <w:r w:rsidR="0013032F">
        <w:t xml:space="preserve"> </w:t>
      </w:r>
      <w:r>
        <w:t>Barwon</w:t>
      </w:r>
      <w:r w:rsidR="0013032F">
        <w:t xml:space="preserve"> </w:t>
      </w:r>
      <w:r>
        <w:t>South</w:t>
      </w:r>
      <w:r w:rsidR="0013032F">
        <w:t xml:space="preserve"> </w:t>
      </w:r>
      <w:r>
        <w:t>West</w:t>
      </w:r>
      <w:r w:rsidR="0013032F">
        <w:t xml:space="preserve"> </w:t>
      </w:r>
      <w:r>
        <w:t>to</w:t>
      </w:r>
      <w:r w:rsidR="0013032F">
        <w:t xml:space="preserve"> </w:t>
      </w:r>
      <w:r>
        <w:t>undertake</w:t>
      </w:r>
      <w:r w:rsidR="0013032F">
        <w:t xml:space="preserve"> </w:t>
      </w:r>
      <w:r>
        <w:t>analysis</w:t>
      </w:r>
      <w:r w:rsidR="0013032F">
        <w:t xml:space="preserve"> </w:t>
      </w:r>
      <w:r>
        <w:t>that</w:t>
      </w:r>
      <w:r w:rsidR="0013032F">
        <w:t xml:space="preserve"> </w:t>
      </w:r>
      <w:r>
        <w:t>will</w:t>
      </w:r>
      <w:r w:rsidR="0013032F">
        <w:t xml:space="preserve"> </w:t>
      </w:r>
      <w:r>
        <w:t>inform</w:t>
      </w:r>
      <w:r w:rsidR="0013032F">
        <w:t xml:space="preserve"> </w:t>
      </w:r>
      <w:r>
        <w:t>advice</w:t>
      </w:r>
      <w:r w:rsidR="0013032F">
        <w:t xml:space="preserve"> </w:t>
      </w:r>
      <w:r>
        <w:t>to</w:t>
      </w:r>
      <w:r w:rsidR="0013032F">
        <w:t xml:space="preserve"> </w:t>
      </w:r>
      <w:r>
        <w:t>all</w:t>
      </w:r>
      <w:r w:rsidR="0013032F">
        <w:t xml:space="preserve"> </w:t>
      </w:r>
      <w:r>
        <w:t>levels</w:t>
      </w:r>
      <w:r w:rsidR="0013032F">
        <w:t xml:space="preserve"> </w:t>
      </w:r>
      <w:r>
        <w:t>of</w:t>
      </w:r>
      <w:r w:rsidR="0013032F">
        <w:t xml:space="preserve"> </w:t>
      </w:r>
      <w:r>
        <w:t>government</w:t>
      </w:r>
      <w:r w:rsidR="0013032F">
        <w:t xml:space="preserve"> </w:t>
      </w:r>
      <w:r>
        <w:t>on</w:t>
      </w:r>
      <w:r w:rsidR="0013032F">
        <w:t xml:space="preserve"> </w:t>
      </w:r>
      <w:r>
        <w:t>enablers</w:t>
      </w:r>
      <w:r w:rsidR="0013032F">
        <w:t xml:space="preserve"> </w:t>
      </w:r>
      <w:r>
        <w:t>required</w:t>
      </w:r>
      <w:r w:rsidR="0013032F">
        <w:t xml:space="preserve"> </w:t>
      </w:r>
      <w:r>
        <w:t>to</w:t>
      </w:r>
      <w:r w:rsidR="0013032F">
        <w:t xml:space="preserve"> </w:t>
      </w:r>
      <w:r>
        <w:t>grow</w:t>
      </w:r>
      <w:r w:rsidR="0013032F">
        <w:t xml:space="preserve"> </w:t>
      </w:r>
      <w:r>
        <w:t>the</w:t>
      </w:r>
      <w:r w:rsidR="0013032F">
        <w:t xml:space="preserve"> </w:t>
      </w:r>
      <w:r>
        <w:t>clean</w:t>
      </w:r>
      <w:r w:rsidR="0013032F">
        <w:t xml:space="preserve"> </w:t>
      </w:r>
      <w:r>
        <w:t>energy</w:t>
      </w:r>
      <w:r w:rsidR="0013032F">
        <w:t xml:space="preserve"> </w:t>
      </w:r>
      <w:r>
        <w:t>sector</w:t>
      </w:r>
      <w:r w:rsidR="0013032F">
        <w:t xml:space="preserve"> </w:t>
      </w:r>
      <w:r>
        <w:t>in</w:t>
      </w:r>
      <w:r w:rsidR="0013032F">
        <w:t xml:space="preserve"> </w:t>
      </w:r>
      <w:r>
        <w:t>the</w:t>
      </w:r>
      <w:r w:rsidR="0013032F">
        <w:t xml:space="preserve"> </w:t>
      </w:r>
      <w:r>
        <w:t>region</w:t>
      </w:r>
    </w:p>
    <w:p w14:paraId="7B0CD93A" w14:textId="3AB0A288" w:rsidR="00757772" w:rsidRDefault="00305D3C" w:rsidP="008B00BC">
      <w:pPr>
        <w:pStyle w:val="Bullet"/>
      </w:pPr>
      <w:r>
        <w:t>Through</w:t>
      </w:r>
      <w:r w:rsidR="0013032F">
        <w:t xml:space="preserve"> </w:t>
      </w:r>
      <w:r>
        <w:t>funding</w:t>
      </w:r>
      <w:r w:rsidR="0013032F">
        <w:t xml:space="preserve"> </w:t>
      </w:r>
      <w:r>
        <w:t>provided</w:t>
      </w:r>
      <w:r w:rsidR="0013032F">
        <w:t xml:space="preserve"> </w:t>
      </w:r>
      <w:r>
        <w:t>by</w:t>
      </w:r>
      <w:r w:rsidR="0013032F">
        <w:t xml:space="preserve"> </w:t>
      </w:r>
      <w:r>
        <w:t>the</w:t>
      </w:r>
      <w:r w:rsidR="0013032F">
        <w:t xml:space="preserve"> </w:t>
      </w:r>
      <w:r>
        <w:t>Regional</w:t>
      </w:r>
      <w:r w:rsidR="0013032F">
        <w:t xml:space="preserve"> </w:t>
      </w:r>
      <w:r>
        <w:t>Partnership</w:t>
      </w:r>
      <w:r w:rsidR="0013032F">
        <w:t xml:space="preserve"> </w:t>
      </w:r>
      <w:r>
        <w:t>Development</w:t>
      </w:r>
      <w:r w:rsidR="0013032F">
        <w:t xml:space="preserve"> </w:t>
      </w:r>
      <w:r>
        <w:t>Fund,</w:t>
      </w:r>
      <w:r w:rsidR="0013032F">
        <w:t xml:space="preserve"> </w:t>
      </w:r>
      <w:r>
        <w:t>GSCRP</w:t>
      </w:r>
      <w:r w:rsidR="0013032F">
        <w:t xml:space="preserve"> </w:t>
      </w:r>
      <w:r>
        <w:t>led</w:t>
      </w:r>
      <w:r w:rsidR="0013032F">
        <w:t xml:space="preserve"> </w:t>
      </w:r>
      <w:r>
        <w:t>consultation</w:t>
      </w:r>
      <w:r w:rsidR="0013032F">
        <w:t xml:space="preserve"> </w:t>
      </w:r>
      <w:r>
        <w:t>with</w:t>
      </w:r>
      <w:r w:rsidR="0013032F">
        <w:t xml:space="preserve"> </w:t>
      </w:r>
      <w:r>
        <w:t>more</w:t>
      </w:r>
      <w:r w:rsidR="0013032F">
        <w:t xml:space="preserve"> </w:t>
      </w:r>
      <w:r>
        <w:t>than</w:t>
      </w:r>
      <w:r w:rsidR="0013032F">
        <w:t xml:space="preserve"> </w:t>
      </w:r>
      <w:r>
        <w:t>200</w:t>
      </w:r>
      <w:r w:rsidR="0013032F">
        <w:t xml:space="preserve"> </w:t>
      </w:r>
      <w:r>
        <w:t>community</w:t>
      </w:r>
      <w:r w:rsidR="0013032F">
        <w:t xml:space="preserve"> </w:t>
      </w:r>
      <w:r>
        <w:t>and</w:t>
      </w:r>
      <w:r w:rsidR="0013032F">
        <w:t xml:space="preserve"> </w:t>
      </w:r>
      <w:r>
        <w:t>industry</w:t>
      </w:r>
      <w:r w:rsidR="0013032F">
        <w:t xml:space="preserve"> </w:t>
      </w:r>
      <w:r>
        <w:t>stakeholders</w:t>
      </w:r>
      <w:r w:rsidR="0013032F">
        <w:t xml:space="preserve"> </w:t>
      </w:r>
      <w:r>
        <w:t>in</w:t>
      </w:r>
      <w:r w:rsidR="0013032F">
        <w:t xml:space="preserve"> </w:t>
      </w:r>
      <w:r>
        <w:t>2022–23</w:t>
      </w:r>
      <w:r w:rsidR="0013032F">
        <w:t xml:space="preserve"> </w:t>
      </w:r>
      <w:r>
        <w:t>to</w:t>
      </w:r>
      <w:r w:rsidR="0013032F">
        <w:t xml:space="preserve"> </w:t>
      </w:r>
      <w:r>
        <w:t>inform</w:t>
      </w:r>
      <w:r w:rsidR="0013032F">
        <w:t xml:space="preserve"> </w:t>
      </w:r>
      <w:r>
        <w:t>actions</w:t>
      </w:r>
      <w:r w:rsidR="0013032F">
        <w:t xml:space="preserve"> </w:t>
      </w:r>
      <w:r>
        <w:t>and</w:t>
      </w:r>
      <w:r w:rsidR="0013032F">
        <w:t xml:space="preserve"> </w:t>
      </w:r>
      <w:r>
        <w:t>advice</w:t>
      </w:r>
      <w:r w:rsidR="0013032F">
        <w:t xml:space="preserve"> </w:t>
      </w:r>
      <w:r>
        <w:t>on</w:t>
      </w:r>
      <w:r w:rsidR="0013032F">
        <w:t xml:space="preserve"> </w:t>
      </w:r>
      <w:r>
        <w:t>Regional</w:t>
      </w:r>
      <w:r w:rsidR="0013032F">
        <w:t xml:space="preserve"> </w:t>
      </w:r>
      <w:r>
        <w:t>Partnership</w:t>
      </w:r>
      <w:r w:rsidR="0013032F">
        <w:t xml:space="preserve"> </w:t>
      </w:r>
      <w:r>
        <w:t>priorities.</w:t>
      </w:r>
      <w:r w:rsidR="0013032F">
        <w:t xml:space="preserve"> </w:t>
      </w:r>
      <w:r>
        <w:t>Consultations</w:t>
      </w:r>
      <w:r w:rsidR="0013032F">
        <w:t xml:space="preserve"> </w:t>
      </w:r>
      <w:r>
        <w:t>included</w:t>
      </w:r>
      <w:r w:rsidR="0013032F">
        <w:t xml:space="preserve"> </w:t>
      </w:r>
      <w:r>
        <w:t>Great</w:t>
      </w:r>
      <w:r w:rsidR="0013032F">
        <w:t xml:space="preserve"> </w:t>
      </w:r>
      <w:r>
        <w:t>South</w:t>
      </w:r>
      <w:r w:rsidR="0013032F">
        <w:t xml:space="preserve"> </w:t>
      </w:r>
      <w:r>
        <w:t>Coast</w:t>
      </w:r>
      <w:r w:rsidR="0013032F">
        <w:t xml:space="preserve"> </w:t>
      </w:r>
      <w:r>
        <w:t>Economic</w:t>
      </w:r>
      <w:r w:rsidR="0013032F">
        <w:t xml:space="preserve"> </w:t>
      </w:r>
      <w:r>
        <w:t>Futures,</w:t>
      </w:r>
      <w:r w:rsidR="0013032F">
        <w:t xml:space="preserve"> </w:t>
      </w:r>
      <w:r>
        <w:t>Great</w:t>
      </w:r>
      <w:r w:rsidR="0013032F">
        <w:t xml:space="preserve"> </w:t>
      </w:r>
      <w:r>
        <w:t>South</w:t>
      </w:r>
      <w:r w:rsidR="0013032F">
        <w:t xml:space="preserve"> </w:t>
      </w:r>
      <w:r>
        <w:t>Coast</w:t>
      </w:r>
      <w:r w:rsidR="0013032F">
        <w:t xml:space="preserve"> </w:t>
      </w:r>
      <w:r>
        <w:t>Social</w:t>
      </w:r>
      <w:r w:rsidR="0013032F">
        <w:t xml:space="preserve"> </w:t>
      </w:r>
      <w:r>
        <w:t>Futures,</w:t>
      </w:r>
      <w:r w:rsidR="0013032F">
        <w:t xml:space="preserve"> </w:t>
      </w:r>
      <w:r>
        <w:t>and</w:t>
      </w:r>
      <w:r w:rsidR="0013032F">
        <w:t xml:space="preserve"> </w:t>
      </w:r>
      <w:r>
        <w:t>Unlocking</w:t>
      </w:r>
      <w:r w:rsidR="0013032F">
        <w:t xml:space="preserve"> </w:t>
      </w:r>
      <w:r>
        <w:t>Value</w:t>
      </w:r>
      <w:r w:rsidR="0013032F">
        <w:t xml:space="preserve"> </w:t>
      </w:r>
      <w:r>
        <w:t>in</w:t>
      </w:r>
      <w:r w:rsidR="0013032F">
        <w:t xml:space="preserve"> </w:t>
      </w:r>
      <w:r>
        <w:t>Great</w:t>
      </w:r>
      <w:r w:rsidR="0013032F">
        <w:t xml:space="preserve"> </w:t>
      </w:r>
      <w:r>
        <w:t>South</w:t>
      </w:r>
      <w:r w:rsidR="0013032F">
        <w:t xml:space="preserve"> </w:t>
      </w:r>
      <w:r>
        <w:t>Coast</w:t>
      </w:r>
      <w:r w:rsidR="0013032F">
        <w:t xml:space="preserve"> </w:t>
      </w:r>
      <w:r>
        <w:t>Food</w:t>
      </w:r>
      <w:r w:rsidR="0013032F">
        <w:t xml:space="preserve"> </w:t>
      </w:r>
      <w:r>
        <w:t>and</w:t>
      </w:r>
      <w:r w:rsidR="0013032F">
        <w:t xml:space="preserve"> </w:t>
      </w:r>
      <w:r>
        <w:t>Fibre</w:t>
      </w:r>
      <w:r w:rsidR="0013032F">
        <w:t xml:space="preserve"> </w:t>
      </w:r>
      <w:r>
        <w:t>focus</w:t>
      </w:r>
      <w:r w:rsidR="0013032F">
        <w:t xml:space="preserve"> </w:t>
      </w:r>
      <w:r>
        <w:t>areas</w:t>
      </w:r>
    </w:p>
    <w:p w14:paraId="36F67CC2" w14:textId="45B7D78A" w:rsidR="00757772" w:rsidRPr="008B00BC" w:rsidRDefault="00305D3C" w:rsidP="008B00BC">
      <w:pPr>
        <w:pStyle w:val="Bulletlast"/>
        <w:rPr>
          <w:rFonts w:ascii="VIC Light" w:hAnsi="VIC Light" w:cs="VIC Light"/>
        </w:rPr>
      </w:pPr>
      <w:r>
        <w:t>Worked</w:t>
      </w:r>
      <w:r w:rsidR="0013032F">
        <w:t xml:space="preserve"> </w:t>
      </w:r>
      <w:r>
        <w:t>with</w:t>
      </w:r>
      <w:r w:rsidR="0013032F">
        <w:t xml:space="preserve"> </w:t>
      </w:r>
      <w:r>
        <w:t>the</w:t>
      </w:r>
      <w:r w:rsidR="0013032F">
        <w:t xml:space="preserve"> </w:t>
      </w:r>
      <w:r>
        <w:t>chairs</w:t>
      </w:r>
      <w:r w:rsidR="0013032F">
        <w:t xml:space="preserve"> </w:t>
      </w:r>
      <w:r>
        <w:t>and</w:t>
      </w:r>
      <w:r w:rsidR="0013032F">
        <w:t xml:space="preserve"> </w:t>
      </w:r>
      <w:r>
        <w:t>deputy</w:t>
      </w:r>
      <w:r w:rsidR="0013032F">
        <w:t xml:space="preserve"> </w:t>
      </w:r>
      <w:r>
        <w:t>chairs</w:t>
      </w:r>
      <w:r w:rsidR="0013032F">
        <w:t xml:space="preserve"> </w:t>
      </w:r>
      <w:r>
        <w:t>of</w:t>
      </w:r>
      <w:r w:rsidR="0013032F">
        <w:t xml:space="preserve"> </w:t>
      </w:r>
      <w:r>
        <w:t>the</w:t>
      </w:r>
      <w:r w:rsidR="0013032F">
        <w:t xml:space="preserve"> </w:t>
      </w:r>
      <w:r>
        <w:t>Barwon</w:t>
      </w:r>
      <w:r w:rsidR="0013032F">
        <w:t xml:space="preserve"> </w:t>
      </w:r>
      <w:r>
        <w:t>Regional</w:t>
      </w:r>
      <w:r w:rsidR="0013032F">
        <w:t xml:space="preserve"> </w:t>
      </w:r>
      <w:r>
        <w:t>Partnership</w:t>
      </w:r>
      <w:r w:rsidR="0013032F">
        <w:t xml:space="preserve"> </w:t>
      </w:r>
      <w:r>
        <w:t>and</w:t>
      </w:r>
      <w:r w:rsidR="0013032F">
        <w:t xml:space="preserve"> </w:t>
      </w:r>
      <w:r>
        <w:t>RDA</w:t>
      </w:r>
      <w:r w:rsidR="0013032F">
        <w:t xml:space="preserve"> </w:t>
      </w:r>
      <w:r>
        <w:t>Barwon</w:t>
      </w:r>
      <w:r w:rsidR="0013032F">
        <w:t xml:space="preserve"> </w:t>
      </w:r>
      <w:r>
        <w:t>South</w:t>
      </w:r>
      <w:r w:rsidR="0013032F">
        <w:t xml:space="preserve"> </w:t>
      </w:r>
      <w:r>
        <w:t>West</w:t>
      </w:r>
      <w:r w:rsidR="0013032F">
        <w:t xml:space="preserve"> </w:t>
      </w:r>
      <w:r>
        <w:t>to</w:t>
      </w:r>
      <w:r w:rsidR="0013032F">
        <w:t xml:space="preserve"> </w:t>
      </w:r>
      <w:r>
        <w:t>advance</w:t>
      </w:r>
      <w:r w:rsidR="0013032F">
        <w:t xml:space="preserve"> </w:t>
      </w:r>
      <w:r>
        <w:t>advice</w:t>
      </w:r>
      <w:r w:rsidR="0013032F">
        <w:t xml:space="preserve"> </w:t>
      </w:r>
      <w:r>
        <w:t>on</w:t>
      </w:r>
      <w:r w:rsidR="0013032F">
        <w:t xml:space="preserve"> </w:t>
      </w:r>
      <w:r>
        <w:t>common</w:t>
      </w:r>
      <w:r w:rsidR="0013032F">
        <w:t xml:space="preserve"> </w:t>
      </w:r>
      <w:r>
        <w:t>priorities,</w:t>
      </w:r>
      <w:r w:rsidR="0013032F">
        <w:t xml:space="preserve"> </w:t>
      </w:r>
      <w:r>
        <w:t>such</w:t>
      </w:r>
      <w:r w:rsidR="0013032F">
        <w:t xml:space="preserve"> </w:t>
      </w:r>
      <w:r>
        <w:t>as</w:t>
      </w:r>
      <w:r w:rsidR="0013032F">
        <w:t xml:space="preserve"> </w:t>
      </w:r>
      <w:r>
        <w:t>accelerating</w:t>
      </w:r>
      <w:r w:rsidR="0013032F">
        <w:t xml:space="preserve"> </w:t>
      </w:r>
      <w:r>
        <w:t>the</w:t>
      </w:r>
      <w:r w:rsidR="0013032F">
        <w:t xml:space="preserve"> </w:t>
      </w:r>
      <w:r>
        <w:t>transition</w:t>
      </w:r>
      <w:r w:rsidR="0013032F">
        <w:t xml:space="preserve"> </w:t>
      </w:r>
      <w:r>
        <w:t>to</w:t>
      </w:r>
      <w:r w:rsidR="0013032F">
        <w:t xml:space="preserve"> </w:t>
      </w:r>
      <w:r>
        <w:t>a</w:t>
      </w:r>
      <w:r w:rsidR="0013032F">
        <w:t xml:space="preserve"> </w:t>
      </w:r>
      <w:r>
        <w:t>clean</w:t>
      </w:r>
      <w:r w:rsidR="0013032F">
        <w:t xml:space="preserve"> </w:t>
      </w:r>
      <w:r>
        <w:t>economy</w:t>
      </w:r>
      <w:r w:rsidR="0013032F">
        <w:t xml:space="preserve"> </w:t>
      </w:r>
      <w:r>
        <w:t>and</w:t>
      </w:r>
      <w:r w:rsidR="0013032F">
        <w:t xml:space="preserve"> </w:t>
      </w:r>
      <w:r>
        <w:t>addressing</w:t>
      </w:r>
      <w:r w:rsidR="0013032F">
        <w:t xml:space="preserve"> </w:t>
      </w:r>
      <w:r>
        <w:t>key</w:t>
      </w:r>
      <w:r w:rsidR="0013032F">
        <w:t xml:space="preserve"> </w:t>
      </w:r>
      <w:r>
        <w:t>worker</w:t>
      </w:r>
      <w:r w:rsidR="0013032F">
        <w:t xml:space="preserve"> </w:t>
      </w:r>
      <w:r>
        <w:t>housing</w:t>
      </w:r>
      <w:r w:rsidR="0013032F">
        <w:t xml:space="preserve"> </w:t>
      </w:r>
      <w:r>
        <w:t>shortages</w:t>
      </w:r>
      <w:r w:rsidR="0013032F">
        <w:t xml:space="preserve"> </w:t>
      </w:r>
      <w:r>
        <w:t>across</w:t>
      </w:r>
      <w:r w:rsidR="0013032F">
        <w:t xml:space="preserve"> </w:t>
      </w:r>
      <w:r>
        <w:t>the</w:t>
      </w:r>
      <w:r w:rsidR="0013032F">
        <w:t xml:space="preserve"> </w:t>
      </w:r>
      <w:r>
        <w:t>region.</w:t>
      </w:r>
    </w:p>
    <w:p w14:paraId="38D4A512" w14:textId="0A69FDE8" w:rsidR="008B00BC" w:rsidRDefault="008B00BC" w:rsidP="008B00BC">
      <w:pPr>
        <w:pStyle w:val="Bullet"/>
        <w:keepNext/>
      </w:pPr>
      <w:r>
        <w:lastRenderedPageBreak/>
        <w:t>105,345 Population (2022)</w:t>
      </w:r>
    </w:p>
    <w:p w14:paraId="1F3E53A6" w14:textId="7290777B" w:rsidR="008B00BC" w:rsidRDefault="008B00BC" w:rsidP="008B00BC">
      <w:pPr>
        <w:pStyle w:val="Bullet"/>
      </w:pPr>
      <w:r>
        <w:t>2.2% Population growth (2022–2036)</w:t>
      </w:r>
    </w:p>
    <w:p w14:paraId="2B448BB1" w14:textId="14E17BAA" w:rsidR="008B00BC" w:rsidRDefault="0013570A" w:rsidP="0013570A">
      <w:pPr>
        <w:pStyle w:val="Bulletlast"/>
      </w:pPr>
      <w:r>
        <w:t>$6.8B Gross Regional Product (2022)</w:t>
      </w:r>
    </w:p>
    <w:p w14:paraId="291CED87" w14:textId="3C60B22C" w:rsidR="00757772" w:rsidRPr="00F22F9E" w:rsidRDefault="00305D3C" w:rsidP="0013570A">
      <w:pPr>
        <w:pStyle w:val="Heading3"/>
      </w:pPr>
      <w:r w:rsidRPr="00F22F9E">
        <w:t>Case</w:t>
      </w:r>
      <w:r w:rsidR="0013032F">
        <w:t xml:space="preserve"> </w:t>
      </w:r>
      <w:r w:rsidRPr="00F22F9E">
        <w:t>study:</w:t>
      </w:r>
    </w:p>
    <w:p w14:paraId="55D11FB8" w14:textId="6637703D" w:rsidR="00757772" w:rsidRPr="0013570A" w:rsidRDefault="00305D3C" w:rsidP="0013570A">
      <w:pPr>
        <w:rPr>
          <w:b/>
          <w:bCs/>
        </w:rPr>
      </w:pPr>
      <w:r w:rsidRPr="0013570A">
        <w:rPr>
          <w:b/>
          <w:bCs/>
        </w:rPr>
        <w:t>Great</w:t>
      </w:r>
      <w:r w:rsidR="0013032F" w:rsidRPr="0013570A">
        <w:rPr>
          <w:b/>
          <w:bCs/>
        </w:rPr>
        <w:t xml:space="preserve"> </w:t>
      </w:r>
      <w:r w:rsidRPr="0013570A">
        <w:rPr>
          <w:b/>
          <w:bCs/>
        </w:rPr>
        <w:t>South</w:t>
      </w:r>
      <w:r w:rsidR="0013032F" w:rsidRPr="0013570A">
        <w:rPr>
          <w:b/>
          <w:bCs/>
        </w:rPr>
        <w:t xml:space="preserve"> </w:t>
      </w:r>
      <w:r w:rsidRPr="0013570A">
        <w:rPr>
          <w:b/>
          <w:bCs/>
        </w:rPr>
        <w:t>Coast</w:t>
      </w:r>
      <w:r w:rsidR="0013032F" w:rsidRPr="0013570A">
        <w:rPr>
          <w:b/>
          <w:bCs/>
        </w:rPr>
        <w:t xml:space="preserve"> </w:t>
      </w:r>
      <w:r w:rsidRPr="0013570A">
        <w:rPr>
          <w:b/>
          <w:bCs/>
        </w:rPr>
        <w:t>Social</w:t>
      </w:r>
      <w:r w:rsidR="0013032F" w:rsidRPr="0013570A">
        <w:rPr>
          <w:b/>
          <w:bCs/>
        </w:rPr>
        <w:t xml:space="preserve"> </w:t>
      </w:r>
      <w:r w:rsidRPr="0013570A">
        <w:rPr>
          <w:b/>
          <w:bCs/>
        </w:rPr>
        <w:t>Futures</w:t>
      </w:r>
    </w:p>
    <w:p w14:paraId="52BAC137" w14:textId="2951EB12" w:rsidR="00757772" w:rsidRPr="0013570A" w:rsidRDefault="00305D3C" w:rsidP="0013570A">
      <w:pPr>
        <w:pStyle w:val="Normalbeforebullets"/>
      </w:pPr>
      <w:r w:rsidRPr="0013570A">
        <w:t>Funded</w:t>
      </w:r>
      <w:r w:rsidR="0013032F" w:rsidRPr="0013570A">
        <w:t xml:space="preserve"> </w:t>
      </w:r>
      <w:r w:rsidRPr="0013570A">
        <w:t>through</w:t>
      </w:r>
      <w:r w:rsidR="0013032F" w:rsidRPr="0013570A">
        <w:t xml:space="preserve"> </w:t>
      </w:r>
      <w:r w:rsidRPr="0013570A">
        <w:t>the</w:t>
      </w:r>
      <w:r w:rsidR="0013032F" w:rsidRPr="0013570A">
        <w:t xml:space="preserve"> </w:t>
      </w:r>
      <w:r w:rsidRPr="0013570A">
        <w:t>Regional</w:t>
      </w:r>
      <w:r w:rsidR="0013032F" w:rsidRPr="0013570A">
        <w:t xml:space="preserve"> </w:t>
      </w:r>
      <w:r w:rsidRPr="0013570A">
        <w:t>Partnership</w:t>
      </w:r>
      <w:r w:rsidR="0013032F" w:rsidRPr="0013570A">
        <w:t xml:space="preserve"> </w:t>
      </w:r>
      <w:r w:rsidRPr="0013570A">
        <w:t>Development</w:t>
      </w:r>
      <w:r w:rsidR="0013032F" w:rsidRPr="0013570A">
        <w:t xml:space="preserve"> </w:t>
      </w:r>
      <w:r w:rsidRPr="0013570A">
        <w:t>Fund,</w:t>
      </w:r>
      <w:r w:rsidR="0013032F" w:rsidRPr="0013570A">
        <w:t xml:space="preserve"> </w:t>
      </w:r>
      <w:r w:rsidRPr="0013570A">
        <w:t>the</w:t>
      </w:r>
      <w:r w:rsidR="0013032F" w:rsidRPr="0013570A">
        <w:t xml:space="preserve"> </w:t>
      </w:r>
      <w:r w:rsidRPr="0013570A">
        <w:t>Great</w:t>
      </w:r>
      <w:r w:rsidR="0013032F" w:rsidRPr="0013570A">
        <w:t xml:space="preserve"> </w:t>
      </w:r>
      <w:r w:rsidRPr="0013570A">
        <w:t>South</w:t>
      </w:r>
      <w:r w:rsidR="0013032F" w:rsidRPr="0013570A">
        <w:t xml:space="preserve"> </w:t>
      </w:r>
      <w:r w:rsidRPr="0013570A">
        <w:t>Coast</w:t>
      </w:r>
      <w:r w:rsidR="0013032F" w:rsidRPr="0013570A">
        <w:t xml:space="preserve"> </w:t>
      </w:r>
      <w:r w:rsidRPr="0013570A">
        <w:t>Social</w:t>
      </w:r>
      <w:r w:rsidR="0013032F" w:rsidRPr="0013570A">
        <w:t xml:space="preserve"> </w:t>
      </w:r>
      <w:r w:rsidRPr="0013570A">
        <w:t>Futures</w:t>
      </w:r>
      <w:r w:rsidR="0013032F" w:rsidRPr="0013570A">
        <w:t xml:space="preserve"> </w:t>
      </w:r>
      <w:r w:rsidRPr="0013570A">
        <w:t>report</w:t>
      </w:r>
      <w:r w:rsidR="0013032F" w:rsidRPr="0013570A">
        <w:t xml:space="preserve"> </w:t>
      </w:r>
      <w:r w:rsidRPr="0013570A">
        <w:t>was</w:t>
      </w:r>
      <w:r w:rsidR="0013032F" w:rsidRPr="0013570A">
        <w:t xml:space="preserve"> </w:t>
      </w:r>
      <w:r w:rsidRPr="0013570A">
        <w:t>delivered</w:t>
      </w:r>
      <w:r w:rsidR="0013032F" w:rsidRPr="0013570A">
        <w:t xml:space="preserve"> </w:t>
      </w:r>
      <w:r w:rsidRPr="0013570A">
        <w:t>this</w:t>
      </w:r>
      <w:r w:rsidR="0013032F" w:rsidRPr="0013570A">
        <w:t xml:space="preserve"> </w:t>
      </w:r>
      <w:r w:rsidRPr="0013570A">
        <w:t>year,</w:t>
      </w:r>
      <w:r w:rsidR="0013032F" w:rsidRPr="0013570A">
        <w:t xml:space="preserve"> </w:t>
      </w:r>
      <w:r w:rsidRPr="0013570A">
        <w:t>providing</w:t>
      </w:r>
      <w:r w:rsidR="0013032F" w:rsidRPr="0013570A">
        <w:t xml:space="preserve"> </w:t>
      </w:r>
      <w:r w:rsidRPr="0013570A">
        <w:t>insights</w:t>
      </w:r>
      <w:r w:rsidR="0013032F" w:rsidRPr="0013570A">
        <w:t xml:space="preserve"> </w:t>
      </w:r>
      <w:r w:rsidRPr="0013570A">
        <w:t>into</w:t>
      </w:r>
      <w:r w:rsidR="0013032F" w:rsidRPr="0013570A">
        <w:t xml:space="preserve"> </w:t>
      </w:r>
      <w:r w:rsidRPr="0013570A">
        <w:t>how</w:t>
      </w:r>
      <w:r w:rsidR="0013032F" w:rsidRPr="0013570A">
        <w:t xml:space="preserve"> </w:t>
      </w:r>
      <w:r w:rsidRPr="0013570A">
        <w:t>to</w:t>
      </w:r>
      <w:r w:rsidR="0013032F" w:rsidRPr="0013570A">
        <w:t xml:space="preserve"> </w:t>
      </w:r>
      <w:r w:rsidRPr="0013570A">
        <w:t>uplift</w:t>
      </w:r>
      <w:r w:rsidR="0013032F" w:rsidRPr="0013570A">
        <w:t xml:space="preserve"> </w:t>
      </w:r>
      <w:r w:rsidRPr="0013570A">
        <w:t>place-based</w:t>
      </w:r>
      <w:r w:rsidR="0013032F" w:rsidRPr="0013570A">
        <w:t xml:space="preserve"> </w:t>
      </w:r>
      <w:r w:rsidRPr="0013570A">
        <w:t>economic</w:t>
      </w:r>
      <w:r w:rsidR="0013032F" w:rsidRPr="0013570A">
        <w:t xml:space="preserve"> </w:t>
      </w:r>
      <w:r w:rsidRPr="0013570A">
        <w:t>participation</w:t>
      </w:r>
      <w:r w:rsidR="0013032F" w:rsidRPr="0013570A">
        <w:t xml:space="preserve"> </w:t>
      </w:r>
      <w:r w:rsidRPr="0013570A">
        <w:t>and</w:t>
      </w:r>
      <w:r w:rsidR="0013032F" w:rsidRPr="0013570A">
        <w:t xml:space="preserve"> </w:t>
      </w:r>
      <w:r w:rsidRPr="0013570A">
        <w:t>increase</w:t>
      </w:r>
      <w:r w:rsidR="0013032F" w:rsidRPr="0013570A">
        <w:t xml:space="preserve"> </w:t>
      </w:r>
      <w:r w:rsidRPr="0013570A">
        <w:t>economic</w:t>
      </w:r>
      <w:r w:rsidR="0013032F" w:rsidRPr="0013570A">
        <w:t xml:space="preserve"> </w:t>
      </w:r>
      <w:r w:rsidRPr="0013570A">
        <w:t>outcomes</w:t>
      </w:r>
      <w:r w:rsidR="0013032F" w:rsidRPr="0013570A">
        <w:t xml:space="preserve"> </w:t>
      </w:r>
      <w:r w:rsidRPr="0013570A">
        <w:t>for</w:t>
      </w:r>
      <w:r w:rsidR="0013032F" w:rsidRPr="0013570A">
        <w:t xml:space="preserve"> </w:t>
      </w:r>
      <w:r w:rsidRPr="0013570A">
        <w:t>all</w:t>
      </w:r>
      <w:r w:rsidR="0013032F" w:rsidRPr="0013570A">
        <w:t xml:space="preserve"> </w:t>
      </w:r>
      <w:r w:rsidRPr="0013570A">
        <w:t>community</w:t>
      </w:r>
      <w:r w:rsidR="0013032F" w:rsidRPr="0013570A">
        <w:t xml:space="preserve"> </w:t>
      </w:r>
      <w:r w:rsidRPr="0013570A">
        <w:t>members</w:t>
      </w:r>
      <w:r w:rsidR="0013032F" w:rsidRPr="0013570A">
        <w:t xml:space="preserve"> </w:t>
      </w:r>
      <w:r w:rsidRPr="0013570A">
        <w:t>in</w:t>
      </w:r>
      <w:r w:rsidR="0013032F" w:rsidRPr="0013570A">
        <w:t xml:space="preserve"> </w:t>
      </w:r>
      <w:r w:rsidRPr="0013570A">
        <w:t>the</w:t>
      </w:r>
      <w:r w:rsidR="0013032F" w:rsidRPr="0013570A">
        <w:t xml:space="preserve"> </w:t>
      </w:r>
      <w:r w:rsidRPr="0013570A">
        <w:t>region.</w:t>
      </w:r>
      <w:r w:rsidR="0013032F" w:rsidRPr="0013570A">
        <w:t xml:space="preserve"> </w:t>
      </w:r>
      <w:r w:rsidRPr="0013570A">
        <w:t>While</w:t>
      </w:r>
      <w:r w:rsidR="0013032F" w:rsidRPr="0013570A">
        <w:t xml:space="preserve"> </w:t>
      </w:r>
      <w:r w:rsidRPr="0013570A">
        <w:t>the</w:t>
      </w:r>
      <w:r w:rsidR="0013032F" w:rsidRPr="0013570A">
        <w:t xml:space="preserve"> </w:t>
      </w:r>
      <w:r w:rsidRPr="0013570A">
        <w:t>region</w:t>
      </w:r>
      <w:r w:rsidR="0013032F" w:rsidRPr="0013570A">
        <w:t xml:space="preserve"> </w:t>
      </w:r>
      <w:r w:rsidRPr="0013570A">
        <w:t>had</w:t>
      </w:r>
      <w:r w:rsidR="0013032F" w:rsidRPr="0013570A">
        <w:t xml:space="preserve"> </w:t>
      </w:r>
      <w:r w:rsidRPr="0013570A">
        <w:t>low</w:t>
      </w:r>
      <w:r w:rsidR="0013032F" w:rsidRPr="0013570A">
        <w:t xml:space="preserve"> </w:t>
      </w:r>
      <w:r w:rsidRPr="0013570A">
        <w:t>unemployment</w:t>
      </w:r>
      <w:r w:rsidR="0013032F" w:rsidRPr="0013570A">
        <w:t xml:space="preserve"> </w:t>
      </w:r>
      <w:r w:rsidRPr="0013570A">
        <w:t>rates,</w:t>
      </w:r>
      <w:r w:rsidR="0013032F" w:rsidRPr="0013570A">
        <w:t xml:space="preserve"> </w:t>
      </w:r>
      <w:r w:rsidRPr="0013570A">
        <w:t>some</w:t>
      </w:r>
      <w:r w:rsidR="0013032F" w:rsidRPr="0013570A">
        <w:t xml:space="preserve"> </w:t>
      </w:r>
      <w:r w:rsidRPr="0013570A">
        <w:t>areas</w:t>
      </w:r>
      <w:r w:rsidR="0013032F" w:rsidRPr="0013570A">
        <w:t xml:space="preserve"> </w:t>
      </w:r>
      <w:r w:rsidRPr="0013570A">
        <w:t>still</w:t>
      </w:r>
      <w:r w:rsidR="0013032F" w:rsidRPr="0013570A">
        <w:t xml:space="preserve"> </w:t>
      </w:r>
      <w:r w:rsidRPr="0013570A">
        <w:t>struggled</w:t>
      </w:r>
      <w:r w:rsidR="0013032F" w:rsidRPr="0013570A">
        <w:t xml:space="preserve"> </w:t>
      </w:r>
      <w:r w:rsidRPr="0013570A">
        <w:t>with</w:t>
      </w:r>
      <w:r w:rsidR="0013032F" w:rsidRPr="0013570A">
        <w:t xml:space="preserve"> </w:t>
      </w:r>
      <w:r w:rsidRPr="0013570A">
        <w:t>disadvantage</w:t>
      </w:r>
      <w:r w:rsidR="0013032F" w:rsidRPr="0013570A">
        <w:t xml:space="preserve"> </w:t>
      </w:r>
      <w:r w:rsidRPr="0013570A">
        <w:t>and</w:t>
      </w:r>
      <w:r w:rsidR="0013032F" w:rsidRPr="0013570A">
        <w:t xml:space="preserve"> </w:t>
      </w:r>
      <w:r w:rsidRPr="0013570A">
        <w:t>poverty,</w:t>
      </w:r>
      <w:r w:rsidR="0013032F" w:rsidRPr="0013570A">
        <w:t xml:space="preserve"> </w:t>
      </w:r>
      <w:r w:rsidRPr="0013570A">
        <w:t>with</w:t>
      </w:r>
      <w:r w:rsidR="0013032F" w:rsidRPr="0013570A">
        <w:t xml:space="preserve"> </w:t>
      </w:r>
      <w:r w:rsidRPr="0013570A">
        <w:t>low</w:t>
      </w:r>
      <w:r w:rsidR="0013032F" w:rsidRPr="0013570A">
        <w:t xml:space="preserve"> </w:t>
      </w:r>
      <w:r w:rsidRPr="0013570A">
        <w:t>rates</w:t>
      </w:r>
      <w:r w:rsidR="0013032F" w:rsidRPr="0013570A">
        <w:t xml:space="preserve"> </w:t>
      </w:r>
      <w:r w:rsidRPr="0013570A">
        <w:t>of</w:t>
      </w:r>
      <w:r w:rsidR="0013032F" w:rsidRPr="0013570A">
        <w:t xml:space="preserve"> </w:t>
      </w:r>
      <w:r w:rsidRPr="0013570A">
        <w:t>education</w:t>
      </w:r>
      <w:r w:rsidR="0013032F" w:rsidRPr="0013570A">
        <w:t xml:space="preserve"> </w:t>
      </w:r>
      <w:r w:rsidRPr="0013570A">
        <w:t>and</w:t>
      </w:r>
      <w:r w:rsidR="0013032F" w:rsidRPr="0013570A">
        <w:t xml:space="preserve"> </w:t>
      </w:r>
      <w:r w:rsidRPr="0013570A">
        <w:t>employment</w:t>
      </w:r>
      <w:r w:rsidR="0013032F" w:rsidRPr="0013570A">
        <w:t xml:space="preserve"> </w:t>
      </w:r>
      <w:r w:rsidRPr="0013570A">
        <w:t>participation.</w:t>
      </w:r>
      <w:r w:rsidR="0013032F" w:rsidRPr="0013570A">
        <w:t xml:space="preserve"> </w:t>
      </w:r>
      <w:r w:rsidRPr="0013570A">
        <w:t>To</w:t>
      </w:r>
      <w:r w:rsidR="0013032F" w:rsidRPr="0013570A">
        <w:t xml:space="preserve"> </w:t>
      </w:r>
      <w:r w:rsidRPr="0013570A">
        <w:t>tackle</w:t>
      </w:r>
      <w:r w:rsidR="0013032F" w:rsidRPr="0013570A">
        <w:t xml:space="preserve"> </w:t>
      </w:r>
      <w:r w:rsidRPr="0013570A">
        <w:t>these</w:t>
      </w:r>
      <w:r w:rsidR="0013032F" w:rsidRPr="0013570A">
        <w:t xml:space="preserve"> </w:t>
      </w:r>
      <w:r w:rsidRPr="0013570A">
        <w:t>inequities,</w:t>
      </w:r>
      <w:r w:rsidR="0013032F" w:rsidRPr="0013570A">
        <w:t xml:space="preserve"> </w:t>
      </w:r>
      <w:r w:rsidRPr="0013570A">
        <w:t>the</w:t>
      </w:r>
      <w:r w:rsidR="0013032F" w:rsidRPr="0013570A">
        <w:t xml:space="preserve"> </w:t>
      </w:r>
      <w:r w:rsidRPr="0013570A">
        <w:t>report</w:t>
      </w:r>
      <w:r w:rsidR="0013032F" w:rsidRPr="0013570A">
        <w:t xml:space="preserve"> </w:t>
      </w:r>
      <w:r w:rsidRPr="0013570A">
        <w:t>offers</w:t>
      </w:r>
      <w:r w:rsidR="0013032F" w:rsidRPr="0013570A">
        <w:t xml:space="preserve"> </w:t>
      </w:r>
      <w:r w:rsidRPr="0013570A">
        <w:t>tangible</w:t>
      </w:r>
      <w:r w:rsidR="0013032F" w:rsidRPr="0013570A">
        <w:t xml:space="preserve"> </w:t>
      </w:r>
      <w:r w:rsidRPr="0013570A">
        <w:t>advice</w:t>
      </w:r>
      <w:r w:rsidR="0013032F" w:rsidRPr="0013570A">
        <w:t xml:space="preserve"> </w:t>
      </w:r>
      <w:r w:rsidRPr="0013570A">
        <w:t>and</w:t>
      </w:r>
      <w:r w:rsidR="0013032F" w:rsidRPr="0013570A">
        <w:t xml:space="preserve"> </w:t>
      </w:r>
      <w:r w:rsidRPr="0013570A">
        <w:t>strategies</w:t>
      </w:r>
      <w:r w:rsidR="0013032F" w:rsidRPr="0013570A">
        <w:t xml:space="preserve"> </w:t>
      </w:r>
      <w:r w:rsidRPr="0013570A">
        <w:t>on:</w:t>
      </w:r>
      <w:r w:rsidR="0013032F" w:rsidRPr="0013570A">
        <w:t xml:space="preserve"> </w:t>
      </w:r>
    </w:p>
    <w:p w14:paraId="61933FFB" w14:textId="46B3E1DD" w:rsidR="00757772" w:rsidRPr="0013570A" w:rsidRDefault="00305D3C" w:rsidP="0013570A">
      <w:pPr>
        <w:pStyle w:val="Bullet"/>
      </w:pPr>
      <w:r w:rsidRPr="0013570A">
        <w:t>optimising</w:t>
      </w:r>
      <w:r w:rsidR="0013032F" w:rsidRPr="0013570A">
        <w:t xml:space="preserve"> </w:t>
      </w:r>
      <w:r w:rsidRPr="0013570A">
        <w:t>the</w:t>
      </w:r>
      <w:r w:rsidR="0013032F" w:rsidRPr="0013570A">
        <w:t xml:space="preserve"> </w:t>
      </w:r>
      <w:r w:rsidRPr="0013570A">
        <w:t>benefits</w:t>
      </w:r>
      <w:r w:rsidR="0013032F" w:rsidRPr="0013570A">
        <w:t xml:space="preserve"> </w:t>
      </w:r>
      <w:r w:rsidRPr="0013570A">
        <w:t>to</w:t>
      </w:r>
      <w:r w:rsidR="0013032F" w:rsidRPr="0013570A">
        <w:t xml:space="preserve"> </w:t>
      </w:r>
      <w:r w:rsidRPr="0013570A">
        <w:t>the</w:t>
      </w:r>
      <w:r w:rsidR="0013032F" w:rsidRPr="0013570A">
        <w:t xml:space="preserve"> </w:t>
      </w:r>
      <w:r w:rsidRPr="0013570A">
        <w:t>region</w:t>
      </w:r>
      <w:r w:rsidR="0013032F" w:rsidRPr="0013570A">
        <w:t xml:space="preserve"> </w:t>
      </w:r>
      <w:r w:rsidRPr="0013570A">
        <w:t>from</w:t>
      </w:r>
      <w:r w:rsidR="0013032F" w:rsidRPr="0013570A">
        <w:t xml:space="preserve"> </w:t>
      </w:r>
      <w:r w:rsidRPr="0013570A">
        <w:t>the</w:t>
      </w:r>
      <w:r w:rsidR="0013032F" w:rsidRPr="0013570A">
        <w:t xml:space="preserve"> </w:t>
      </w:r>
      <w:r w:rsidRPr="0013570A">
        <w:t>Victorian</w:t>
      </w:r>
      <w:r w:rsidR="0013032F" w:rsidRPr="0013570A">
        <w:t xml:space="preserve"> </w:t>
      </w:r>
      <w:r w:rsidRPr="0013570A">
        <w:t>Government’s</w:t>
      </w:r>
      <w:r w:rsidR="0013032F" w:rsidRPr="0013570A">
        <w:t xml:space="preserve"> </w:t>
      </w:r>
      <w:r w:rsidRPr="0013570A">
        <w:t>Social</w:t>
      </w:r>
      <w:r w:rsidR="0013032F" w:rsidRPr="0013570A">
        <w:t xml:space="preserve"> </w:t>
      </w:r>
      <w:r w:rsidRPr="0013570A">
        <w:t>Procurement</w:t>
      </w:r>
      <w:r w:rsidR="0013032F" w:rsidRPr="0013570A">
        <w:t xml:space="preserve"> </w:t>
      </w:r>
      <w:r w:rsidRPr="0013570A">
        <w:t>Framework</w:t>
      </w:r>
      <w:r w:rsidR="0013032F" w:rsidRPr="0013570A">
        <w:t xml:space="preserve"> </w:t>
      </w:r>
      <w:r w:rsidRPr="0013570A">
        <w:t>by</w:t>
      </w:r>
      <w:r w:rsidR="0013032F" w:rsidRPr="0013570A">
        <w:t xml:space="preserve"> </w:t>
      </w:r>
      <w:r w:rsidRPr="0013570A">
        <w:t>leveraging</w:t>
      </w:r>
      <w:r w:rsidR="0013032F" w:rsidRPr="0013570A">
        <w:t xml:space="preserve"> </w:t>
      </w:r>
      <w:r w:rsidRPr="0013570A">
        <w:t>industry’s</w:t>
      </w:r>
      <w:r w:rsidR="0013032F" w:rsidRPr="0013570A">
        <w:t xml:space="preserve"> </w:t>
      </w:r>
      <w:r w:rsidRPr="0013570A">
        <w:t>need</w:t>
      </w:r>
      <w:r w:rsidR="0013032F" w:rsidRPr="0013570A">
        <w:t xml:space="preserve"> </w:t>
      </w:r>
      <w:r w:rsidRPr="0013570A">
        <w:t>to</w:t>
      </w:r>
      <w:r w:rsidR="0013032F" w:rsidRPr="0013570A">
        <w:t xml:space="preserve"> </w:t>
      </w:r>
      <w:r w:rsidRPr="0013570A">
        <w:t>create</w:t>
      </w:r>
      <w:r w:rsidR="0013032F" w:rsidRPr="0013570A">
        <w:t xml:space="preserve"> </w:t>
      </w:r>
      <w:r w:rsidRPr="0013570A">
        <w:t>social</w:t>
      </w:r>
      <w:r w:rsidR="0013032F" w:rsidRPr="0013570A">
        <w:t xml:space="preserve"> </w:t>
      </w:r>
      <w:r w:rsidRPr="0013570A">
        <w:t>licence</w:t>
      </w:r>
      <w:r w:rsidR="0013032F" w:rsidRPr="0013570A">
        <w:t xml:space="preserve"> </w:t>
      </w:r>
      <w:r w:rsidRPr="0013570A">
        <w:t>in</w:t>
      </w:r>
      <w:r w:rsidR="0013032F" w:rsidRPr="0013570A">
        <w:t xml:space="preserve"> </w:t>
      </w:r>
      <w:r w:rsidRPr="0013570A">
        <w:t>local</w:t>
      </w:r>
      <w:r w:rsidR="0013032F" w:rsidRPr="0013570A">
        <w:t xml:space="preserve"> </w:t>
      </w:r>
      <w:r w:rsidRPr="0013570A">
        <w:t>communities</w:t>
      </w:r>
      <w:r w:rsidR="0013032F" w:rsidRPr="0013570A">
        <w:t xml:space="preserve"> </w:t>
      </w:r>
      <w:r w:rsidRPr="0013570A">
        <w:t>through</w:t>
      </w:r>
      <w:r w:rsidR="0013032F" w:rsidRPr="0013570A">
        <w:t xml:space="preserve"> </w:t>
      </w:r>
      <w:r w:rsidRPr="0013570A">
        <w:t>the</w:t>
      </w:r>
      <w:r w:rsidR="0013032F" w:rsidRPr="0013570A">
        <w:t xml:space="preserve"> </w:t>
      </w:r>
      <w:r w:rsidRPr="0013570A">
        <w:t>Community</w:t>
      </w:r>
      <w:r w:rsidR="0013032F" w:rsidRPr="0013570A">
        <w:t xml:space="preserve"> </w:t>
      </w:r>
      <w:r w:rsidRPr="0013570A">
        <w:t>Benefit</w:t>
      </w:r>
      <w:r w:rsidR="0013032F" w:rsidRPr="0013570A">
        <w:t xml:space="preserve"> </w:t>
      </w:r>
      <w:r w:rsidRPr="0013570A">
        <w:t>Fund/s</w:t>
      </w:r>
    </w:p>
    <w:p w14:paraId="690A7AB0" w14:textId="7DECAA55" w:rsidR="00757772" w:rsidRPr="0013570A" w:rsidRDefault="00305D3C" w:rsidP="0013570A">
      <w:pPr>
        <w:pStyle w:val="Bullet"/>
      </w:pPr>
      <w:r w:rsidRPr="0013570A">
        <w:t>equipping</w:t>
      </w:r>
      <w:r w:rsidR="0013032F" w:rsidRPr="0013570A">
        <w:t xml:space="preserve"> </w:t>
      </w:r>
      <w:r w:rsidRPr="0013570A">
        <w:t>local</w:t>
      </w:r>
      <w:r w:rsidR="0013032F" w:rsidRPr="0013570A">
        <w:t xml:space="preserve"> </w:t>
      </w:r>
      <w:r w:rsidRPr="0013570A">
        <w:t>businesses</w:t>
      </w:r>
      <w:r w:rsidR="0013032F" w:rsidRPr="0013570A">
        <w:t xml:space="preserve"> </w:t>
      </w:r>
      <w:r w:rsidRPr="0013570A">
        <w:t>with</w:t>
      </w:r>
      <w:r w:rsidR="0013032F" w:rsidRPr="0013570A">
        <w:t xml:space="preserve"> </w:t>
      </w:r>
      <w:r w:rsidRPr="0013570A">
        <w:t>the</w:t>
      </w:r>
      <w:r w:rsidR="0013032F" w:rsidRPr="0013570A">
        <w:t xml:space="preserve"> </w:t>
      </w:r>
      <w:r w:rsidRPr="0013570A">
        <w:t>capability</w:t>
      </w:r>
      <w:r w:rsidR="0013032F" w:rsidRPr="0013570A">
        <w:t xml:space="preserve"> </w:t>
      </w:r>
      <w:r w:rsidRPr="0013570A">
        <w:t>to</w:t>
      </w:r>
      <w:r w:rsidR="0013032F" w:rsidRPr="0013570A">
        <w:t xml:space="preserve"> </w:t>
      </w:r>
      <w:r w:rsidRPr="0013570A">
        <w:t>engage</w:t>
      </w:r>
      <w:r w:rsidR="0013032F" w:rsidRPr="0013570A">
        <w:t xml:space="preserve"> </w:t>
      </w:r>
      <w:r w:rsidRPr="0013570A">
        <w:t>vulnerable</w:t>
      </w:r>
      <w:r w:rsidR="0013032F" w:rsidRPr="0013570A">
        <w:t xml:space="preserve"> </w:t>
      </w:r>
      <w:r w:rsidRPr="0013570A">
        <w:t>cohorts</w:t>
      </w:r>
      <w:r w:rsidR="0013032F" w:rsidRPr="0013570A">
        <w:t xml:space="preserve"> </w:t>
      </w:r>
      <w:r w:rsidRPr="0013570A">
        <w:t>in</w:t>
      </w:r>
      <w:r w:rsidR="0013032F" w:rsidRPr="0013570A">
        <w:t xml:space="preserve"> </w:t>
      </w:r>
      <w:r w:rsidRPr="0013570A">
        <w:t>sustainable</w:t>
      </w:r>
      <w:r w:rsidR="0013032F" w:rsidRPr="0013570A">
        <w:t xml:space="preserve"> </w:t>
      </w:r>
      <w:r w:rsidRPr="0013570A">
        <w:t>employment</w:t>
      </w:r>
      <w:r w:rsidR="0013032F" w:rsidRPr="0013570A">
        <w:t xml:space="preserve"> </w:t>
      </w:r>
      <w:r w:rsidRPr="0013570A">
        <w:t>and</w:t>
      </w:r>
      <w:r w:rsidR="0013032F" w:rsidRPr="0013570A">
        <w:t xml:space="preserve"> </w:t>
      </w:r>
      <w:r w:rsidRPr="0013570A">
        <w:t>actively</w:t>
      </w:r>
      <w:r w:rsidR="0013032F" w:rsidRPr="0013570A">
        <w:t xml:space="preserve"> </w:t>
      </w:r>
      <w:r w:rsidRPr="0013570A">
        <w:t>participate</w:t>
      </w:r>
      <w:r w:rsidR="0013032F" w:rsidRPr="0013570A">
        <w:t xml:space="preserve"> </w:t>
      </w:r>
      <w:r w:rsidRPr="0013570A">
        <w:t>in</w:t>
      </w:r>
      <w:r w:rsidR="0013032F" w:rsidRPr="0013570A">
        <w:t xml:space="preserve"> </w:t>
      </w:r>
      <w:r w:rsidRPr="0013570A">
        <w:t>large</w:t>
      </w:r>
      <w:r w:rsidR="0013032F" w:rsidRPr="0013570A">
        <w:t xml:space="preserve"> </w:t>
      </w:r>
      <w:r w:rsidRPr="0013570A">
        <w:t>infrastructure</w:t>
      </w:r>
      <w:r w:rsidR="0013032F" w:rsidRPr="0013570A">
        <w:t xml:space="preserve"> </w:t>
      </w:r>
      <w:r w:rsidRPr="0013570A">
        <w:t>projects</w:t>
      </w:r>
      <w:r w:rsidR="0013032F" w:rsidRPr="0013570A">
        <w:t xml:space="preserve"> </w:t>
      </w:r>
      <w:r w:rsidRPr="0013570A">
        <w:t>for</w:t>
      </w:r>
      <w:r w:rsidR="0013032F" w:rsidRPr="0013570A">
        <w:t xml:space="preserve"> </w:t>
      </w:r>
      <w:r w:rsidRPr="0013570A">
        <w:t>the</w:t>
      </w:r>
      <w:r w:rsidR="0013032F" w:rsidRPr="0013570A">
        <w:t xml:space="preserve"> </w:t>
      </w:r>
      <w:r w:rsidRPr="0013570A">
        <w:t>benefit</w:t>
      </w:r>
      <w:r w:rsidR="0013032F" w:rsidRPr="0013570A">
        <w:t xml:space="preserve"> </w:t>
      </w:r>
      <w:r w:rsidRPr="0013570A">
        <w:t>of</w:t>
      </w:r>
      <w:r w:rsidR="0013032F" w:rsidRPr="0013570A">
        <w:t xml:space="preserve"> </w:t>
      </w:r>
      <w:r w:rsidRPr="0013570A">
        <w:t>the</w:t>
      </w:r>
      <w:r w:rsidR="0013032F" w:rsidRPr="0013570A">
        <w:t xml:space="preserve"> </w:t>
      </w:r>
      <w:r w:rsidRPr="0013570A">
        <w:t>region</w:t>
      </w:r>
    </w:p>
    <w:p w14:paraId="5211B177" w14:textId="23FBDB42" w:rsidR="00757772" w:rsidRPr="0013570A" w:rsidRDefault="00305D3C" w:rsidP="0013570A">
      <w:pPr>
        <w:pStyle w:val="Bulletlast"/>
      </w:pPr>
      <w:r w:rsidRPr="0013570A">
        <w:t>strengthening</w:t>
      </w:r>
      <w:r w:rsidR="0013032F" w:rsidRPr="0013570A">
        <w:t xml:space="preserve"> </w:t>
      </w:r>
      <w:r w:rsidRPr="0013570A">
        <w:t>families,</w:t>
      </w:r>
      <w:r w:rsidR="0013032F" w:rsidRPr="0013570A">
        <w:t xml:space="preserve"> </w:t>
      </w:r>
      <w:r w:rsidRPr="0013570A">
        <w:t>carers</w:t>
      </w:r>
      <w:r w:rsidR="0013032F" w:rsidRPr="0013570A">
        <w:t xml:space="preserve"> </w:t>
      </w:r>
      <w:r w:rsidRPr="0013570A">
        <w:t>and</w:t>
      </w:r>
      <w:r w:rsidR="0013032F" w:rsidRPr="0013570A">
        <w:t xml:space="preserve"> </w:t>
      </w:r>
      <w:r w:rsidRPr="0013570A">
        <w:t>care</w:t>
      </w:r>
      <w:r w:rsidR="0013032F" w:rsidRPr="0013570A">
        <w:t xml:space="preserve"> </w:t>
      </w:r>
      <w:r w:rsidRPr="0013570A">
        <w:t>ecosystems</w:t>
      </w:r>
      <w:r w:rsidR="0013032F" w:rsidRPr="0013570A">
        <w:t xml:space="preserve"> </w:t>
      </w:r>
      <w:r w:rsidRPr="0013570A">
        <w:t>to</w:t>
      </w:r>
      <w:r w:rsidR="0013032F" w:rsidRPr="0013570A">
        <w:t xml:space="preserve"> </w:t>
      </w:r>
      <w:r w:rsidRPr="0013570A">
        <w:t>provide</w:t>
      </w:r>
      <w:r w:rsidR="0013032F" w:rsidRPr="0013570A">
        <w:t xml:space="preserve"> </w:t>
      </w:r>
      <w:r w:rsidRPr="0013570A">
        <w:t>essential</w:t>
      </w:r>
      <w:r w:rsidR="0013032F" w:rsidRPr="0013570A">
        <w:t xml:space="preserve"> </w:t>
      </w:r>
      <w:r w:rsidRPr="0013570A">
        <w:t>support</w:t>
      </w:r>
      <w:r w:rsidR="0013032F" w:rsidRPr="0013570A">
        <w:t xml:space="preserve"> </w:t>
      </w:r>
      <w:r w:rsidRPr="0013570A">
        <w:t>for</w:t>
      </w:r>
      <w:r w:rsidR="0013032F" w:rsidRPr="0013570A">
        <w:t xml:space="preserve"> </w:t>
      </w:r>
      <w:r w:rsidRPr="0013570A">
        <w:t>young</w:t>
      </w:r>
      <w:r w:rsidR="0013032F" w:rsidRPr="0013570A">
        <w:t xml:space="preserve"> </w:t>
      </w:r>
      <w:r w:rsidRPr="0013570A">
        <w:t>people</w:t>
      </w:r>
      <w:r w:rsidR="0013032F" w:rsidRPr="0013570A">
        <w:t xml:space="preserve"> </w:t>
      </w:r>
      <w:r w:rsidRPr="0013570A">
        <w:t>to</w:t>
      </w:r>
      <w:r w:rsidR="0013032F" w:rsidRPr="0013570A">
        <w:t xml:space="preserve"> </w:t>
      </w:r>
      <w:r w:rsidRPr="0013570A">
        <w:t>engage</w:t>
      </w:r>
      <w:r w:rsidR="0013032F" w:rsidRPr="0013570A">
        <w:t xml:space="preserve"> </w:t>
      </w:r>
      <w:r w:rsidRPr="0013570A">
        <w:t>in</w:t>
      </w:r>
      <w:r w:rsidR="0013032F" w:rsidRPr="0013570A">
        <w:t xml:space="preserve"> </w:t>
      </w:r>
      <w:r w:rsidRPr="0013570A">
        <w:t>learning</w:t>
      </w:r>
      <w:r w:rsidR="0013032F" w:rsidRPr="0013570A">
        <w:t xml:space="preserve"> </w:t>
      </w:r>
      <w:r w:rsidRPr="0013570A">
        <w:t>and</w:t>
      </w:r>
      <w:r w:rsidR="0013032F" w:rsidRPr="0013570A">
        <w:t xml:space="preserve"> </w:t>
      </w:r>
      <w:r w:rsidRPr="0013570A">
        <w:t>secure</w:t>
      </w:r>
      <w:r w:rsidR="0013032F" w:rsidRPr="0013570A">
        <w:t xml:space="preserve"> </w:t>
      </w:r>
      <w:r w:rsidRPr="0013570A">
        <w:t>sustainable</w:t>
      </w:r>
      <w:r w:rsidR="0013032F" w:rsidRPr="0013570A">
        <w:t xml:space="preserve"> </w:t>
      </w:r>
      <w:r w:rsidRPr="0013570A">
        <w:t>employment.</w:t>
      </w:r>
    </w:p>
    <w:p w14:paraId="0BD201EB" w14:textId="7A283C65" w:rsidR="00757772" w:rsidRPr="0013570A" w:rsidRDefault="00305D3C" w:rsidP="0013570A">
      <w:r w:rsidRPr="0013570A">
        <w:t>The</w:t>
      </w:r>
      <w:r w:rsidR="0013032F" w:rsidRPr="0013570A">
        <w:t xml:space="preserve"> </w:t>
      </w:r>
      <w:r w:rsidRPr="0013570A">
        <w:t>report</w:t>
      </w:r>
      <w:r w:rsidR="0013032F" w:rsidRPr="0013570A">
        <w:t xml:space="preserve"> </w:t>
      </w:r>
      <w:r w:rsidRPr="0013570A">
        <w:t>emphasises</w:t>
      </w:r>
      <w:r w:rsidR="0013032F" w:rsidRPr="0013570A">
        <w:t xml:space="preserve"> </w:t>
      </w:r>
      <w:r w:rsidRPr="0013570A">
        <w:t>shared</w:t>
      </w:r>
      <w:r w:rsidR="0013032F" w:rsidRPr="0013570A">
        <w:t xml:space="preserve"> </w:t>
      </w:r>
      <w:r w:rsidRPr="0013570A">
        <w:t>action,</w:t>
      </w:r>
      <w:r w:rsidR="0013032F" w:rsidRPr="0013570A">
        <w:t xml:space="preserve"> </w:t>
      </w:r>
      <w:r w:rsidRPr="0013570A">
        <w:t>accountability</w:t>
      </w:r>
      <w:r w:rsidR="0013032F" w:rsidRPr="0013570A">
        <w:t xml:space="preserve"> </w:t>
      </w:r>
      <w:r w:rsidRPr="0013570A">
        <w:t>and</w:t>
      </w:r>
      <w:r w:rsidR="0013032F" w:rsidRPr="0013570A">
        <w:t xml:space="preserve"> </w:t>
      </w:r>
      <w:r w:rsidRPr="0013570A">
        <w:t>outcomes</w:t>
      </w:r>
      <w:r w:rsidR="0013032F" w:rsidRPr="0013570A">
        <w:t xml:space="preserve"> </w:t>
      </w:r>
      <w:r w:rsidRPr="0013570A">
        <w:t>–</w:t>
      </w:r>
      <w:r w:rsidR="0013032F" w:rsidRPr="0013570A">
        <w:t xml:space="preserve"> </w:t>
      </w:r>
      <w:r w:rsidRPr="0013570A">
        <w:t>encouraging</w:t>
      </w:r>
      <w:r w:rsidR="0013032F" w:rsidRPr="0013570A">
        <w:t xml:space="preserve"> </w:t>
      </w:r>
      <w:r w:rsidRPr="0013570A">
        <w:t>collective</w:t>
      </w:r>
      <w:r w:rsidR="0013032F" w:rsidRPr="0013570A">
        <w:t xml:space="preserve"> </w:t>
      </w:r>
      <w:r w:rsidRPr="0013570A">
        <w:t>community</w:t>
      </w:r>
      <w:r w:rsidR="0013032F" w:rsidRPr="0013570A">
        <w:t xml:space="preserve"> </w:t>
      </w:r>
      <w:r w:rsidRPr="0013570A">
        <w:t>involvement.</w:t>
      </w:r>
      <w:r w:rsidR="0013032F" w:rsidRPr="0013570A">
        <w:t xml:space="preserve"> </w:t>
      </w:r>
      <w:r w:rsidRPr="0013570A">
        <w:t>The</w:t>
      </w:r>
      <w:r w:rsidR="0013032F" w:rsidRPr="0013570A">
        <w:t xml:space="preserve"> </w:t>
      </w:r>
      <w:r w:rsidRPr="0013570A">
        <w:t>recommendations</w:t>
      </w:r>
      <w:r w:rsidR="0013032F" w:rsidRPr="0013570A">
        <w:t xml:space="preserve"> </w:t>
      </w:r>
      <w:r w:rsidRPr="0013570A">
        <w:t>from</w:t>
      </w:r>
      <w:r w:rsidR="0013032F" w:rsidRPr="0013570A">
        <w:t xml:space="preserve"> </w:t>
      </w:r>
      <w:r w:rsidRPr="0013570A">
        <w:t>this</w:t>
      </w:r>
      <w:r w:rsidR="0013032F" w:rsidRPr="0013570A">
        <w:t xml:space="preserve"> </w:t>
      </w:r>
      <w:r w:rsidRPr="0013570A">
        <w:t>work</w:t>
      </w:r>
      <w:r w:rsidR="0013032F" w:rsidRPr="0013570A">
        <w:t xml:space="preserve"> </w:t>
      </w:r>
      <w:r w:rsidRPr="0013570A">
        <w:t>will</w:t>
      </w:r>
      <w:r w:rsidR="0013032F" w:rsidRPr="0013570A">
        <w:t xml:space="preserve"> </w:t>
      </w:r>
      <w:r w:rsidRPr="0013570A">
        <w:t>inform</w:t>
      </w:r>
      <w:r w:rsidR="0013032F" w:rsidRPr="0013570A">
        <w:t xml:space="preserve"> </w:t>
      </w:r>
      <w:r w:rsidRPr="0013570A">
        <w:t>advice</w:t>
      </w:r>
      <w:r w:rsidR="0013032F" w:rsidRPr="0013570A">
        <w:t xml:space="preserve"> </w:t>
      </w:r>
      <w:r w:rsidRPr="0013570A">
        <w:t>to</w:t>
      </w:r>
      <w:r w:rsidR="0013032F" w:rsidRPr="0013570A">
        <w:t xml:space="preserve"> </w:t>
      </w:r>
      <w:r w:rsidRPr="0013570A">
        <w:t>the</w:t>
      </w:r>
      <w:r w:rsidR="0013032F" w:rsidRPr="0013570A">
        <w:t xml:space="preserve"> </w:t>
      </w:r>
      <w:r w:rsidRPr="0013570A">
        <w:t>Victorian</w:t>
      </w:r>
      <w:r w:rsidR="0013032F" w:rsidRPr="0013570A">
        <w:t xml:space="preserve"> </w:t>
      </w:r>
      <w:r w:rsidRPr="0013570A">
        <w:t>Government</w:t>
      </w:r>
      <w:r w:rsidR="0013032F" w:rsidRPr="0013570A">
        <w:t xml:space="preserve"> </w:t>
      </w:r>
      <w:r w:rsidRPr="0013570A">
        <w:t>for</w:t>
      </w:r>
      <w:r w:rsidR="0013032F" w:rsidRPr="0013570A">
        <w:t xml:space="preserve"> </w:t>
      </w:r>
      <w:r w:rsidRPr="0013570A">
        <w:t>2023–24.</w:t>
      </w:r>
    </w:p>
    <w:p w14:paraId="12A04620" w14:textId="30C9206B" w:rsidR="00757772" w:rsidRDefault="00305D3C" w:rsidP="009C399C">
      <w:pPr>
        <w:pStyle w:val="Heading2"/>
      </w:pPr>
      <w:bookmarkStart w:id="18" w:name="_Toc149566564"/>
      <w:r>
        <w:t>Wimmera</w:t>
      </w:r>
      <w:r w:rsidR="0013032F">
        <w:t xml:space="preserve"> </w:t>
      </w:r>
      <w:r>
        <w:t>Southern</w:t>
      </w:r>
      <w:r w:rsidR="0013032F">
        <w:t xml:space="preserve"> </w:t>
      </w:r>
      <w:r>
        <w:t>Mallee</w:t>
      </w:r>
      <w:bookmarkEnd w:id="18"/>
    </w:p>
    <w:p w14:paraId="29AF047B" w14:textId="220E5056" w:rsidR="00757772" w:rsidRDefault="00305D3C" w:rsidP="009C399C">
      <w:r>
        <w:t>In</w:t>
      </w:r>
      <w:r w:rsidR="0013032F">
        <w:t xml:space="preserve"> </w:t>
      </w:r>
      <w:r>
        <w:t>2022–23</w:t>
      </w:r>
      <w:r w:rsidR="0013032F">
        <w:t xml:space="preserve"> </w:t>
      </w:r>
      <w:r>
        <w:t>the</w:t>
      </w:r>
      <w:r w:rsidR="0013032F">
        <w:t xml:space="preserve"> </w:t>
      </w:r>
      <w:r>
        <w:t>Wimmera</w:t>
      </w:r>
      <w:r w:rsidR="0013032F">
        <w:t xml:space="preserve"> </w:t>
      </w:r>
      <w:r>
        <w:t>Southern</w:t>
      </w:r>
      <w:r w:rsidR="0013032F">
        <w:t xml:space="preserve"> </w:t>
      </w:r>
      <w:r>
        <w:t>Mallee</w:t>
      </w:r>
      <w:r w:rsidR="0013032F">
        <w:t xml:space="preserve"> </w:t>
      </w:r>
      <w:r>
        <w:t>Regional</w:t>
      </w:r>
      <w:r w:rsidR="0013032F">
        <w:t xml:space="preserve"> </w:t>
      </w:r>
      <w:r>
        <w:t>Partnership</w:t>
      </w:r>
      <w:r w:rsidR="0013032F">
        <w:t xml:space="preserve"> </w:t>
      </w:r>
      <w:r>
        <w:t>(WSMRP)</w:t>
      </w:r>
      <w:r w:rsidR="0013032F">
        <w:t xml:space="preserve"> </w:t>
      </w:r>
      <w:r>
        <w:t>continued</w:t>
      </w:r>
      <w:r w:rsidR="0013032F">
        <w:t xml:space="preserve"> </w:t>
      </w:r>
      <w:r>
        <w:t>to</w:t>
      </w:r>
      <w:r w:rsidR="0013032F">
        <w:t xml:space="preserve"> </w:t>
      </w:r>
      <w:r>
        <w:t>advocate</w:t>
      </w:r>
      <w:r w:rsidR="0013032F">
        <w:t xml:space="preserve"> </w:t>
      </w:r>
      <w:r>
        <w:t>for</w:t>
      </w:r>
      <w:r w:rsidR="0013032F">
        <w:t xml:space="preserve"> </w:t>
      </w:r>
      <w:r>
        <w:t>key</w:t>
      </w:r>
      <w:r w:rsidR="0013032F">
        <w:t xml:space="preserve"> </w:t>
      </w:r>
      <w:r>
        <w:t>enablers</w:t>
      </w:r>
      <w:r w:rsidR="0013032F">
        <w:t xml:space="preserve"> </w:t>
      </w:r>
      <w:r>
        <w:t>to</w:t>
      </w:r>
      <w:r w:rsidR="0013032F">
        <w:t xml:space="preserve"> </w:t>
      </w:r>
      <w:r>
        <w:t>achieving</w:t>
      </w:r>
      <w:r w:rsidR="0013032F">
        <w:t xml:space="preserve"> </w:t>
      </w:r>
      <w:r>
        <w:t>economic,</w:t>
      </w:r>
      <w:r w:rsidR="0013032F">
        <w:t xml:space="preserve"> </w:t>
      </w:r>
      <w:r>
        <w:t>social</w:t>
      </w:r>
      <w:r w:rsidR="0013032F">
        <w:t xml:space="preserve"> </w:t>
      </w:r>
      <w:r>
        <w:t>and</w:t>
      </w:r>
      <w:r w:rsidR="0013032F">
        <w:t xml:space="preserve"> </w:t>
      </w:r>
      <w:r>
        <w:t>cultural</w:t>
      </w:r>
      <w:r w:rsidR="0013032F">
        <w:t xml:space="preserve"> </w:t>
      </w:r>
      <w:r>
        <w:t>development</w:t>
      </w:r>
      <w:r w:rsidR="0013032F">
        <w:t xml:space="preserve"> </w:t>
      </w:r>
      <w:r>
        <w:t>within</w:t>
      </w:r>
      <w:r w:rsidR="0013032F">
        <w:t xml:space="preserve"> </w:t>
      </w:r>
      <w:r>
        <w:t>the</w:t>
      </w:r>
      <w:r w:rsidR="0013032F">
        <w:t xml:space="preserve"> </w:t>
      </w:r>
      <w:r>
        <w:t>Wimmera</w:t>
      </w:r>
      <w:r w:rsidR="0013032F">
        <w:t xml:space="preserve"> </w:t>
      </w:r>
      <w:r>
        <w:t>Southern</w:t>
      </w:r>
      <w:r w:rsidR="0013032F">
        <w:t xml:space="preserve"> </w:t>
      </w:r>
      <w:r>
        <w:t>Mallee</w:t>
      </w:r>
      <w:r w:rsidR="0013032F">
        <w:t xml:space="preserve"> </w:t>
      </w:r>
      <w:r>
        <w:t>community.</w:t>
      </w:r>
    </w:p>
    <w:p w14:paraId="3A4BA7C5" w14:textId="40BC5338" w:rsidR="00757772" w:rsidRDefault="00305D3C" w:rsidP="009C399C">
      <w:pPr>
        <w:pStyle w:val="Heading3"/>
      </w:pPr>
      <w:r>
        <w:t>Regional</w:t>
      </w:r>
      <w:r w:rsidR="0013032F">
        <w:t xml:space="preserve"> </w:t>
      </w:r>
      <w:r>
        <w:t>priorities:</w:t>
      </w:r>
    </w:p>
    <w:p w14:paraId="036FF62E" w14:textId="05497021" w:rsidR="00757772" w:rsidRDefault="00305D3C" w:rsidP="009C399C">
      <w:pPr>
        <w:pStyle w:val="Bullet"/>
      </w:pPr>
      <w:r w:rsidRPr="009C399C">
        <w:rPr>
          <w:b/>
          <w:bCs/>
        </w:rPr>
        <w:t>Economic</w:t>
      </w:r>
      <w:r w:rsidR="0013032F" w:rsidRPr="009C399C">
        <w:rPr>
          <w:b/>
          <w:bCs/>
        </w:rPr>
        <w:t xml:space="preserve"> </w:t>
      </w:r>
      <w:r w:rsidRPr="009C399C">
        <w:rPr>
          <w:b/>
          <w:bCs/>
        </w:rPr>
        <w:t>diversifica</w:t>
      </w:r>
      <w:r w:rsidRPr="009C399C">
        <w:rPr>
          <w:b/>
          <w:bCs/>
        </w:rPr>
        <w:t>tion</w:t>
      </w:r>
      <w:r w:rsidR="0013032F">
        <w:t xml:space="preserve"> </w:t>
      </w:r>
      <w:r>
        <w:t>–</w:t>
      </w:r>
      <w:r w:rsidR="0013032F">
        <w:t xml:space="preserve"> </w:t>
      </w:r>
      <w:r>
        <w:t>established</w:t>
      </w:r>
      <w:r w:rsidR="0013032F">
        <w:t xml:space="preserve"> </w:t>
      </w:r>
      <w:r>
        <w:t>the</w:t>
      </w:r>
      <w:r w:rsidR="0013032F">
        <w:t xml:space="preserve"> </w:t>
      </w:r>
      <w:r>
        <w:t>Grampians</w:t>
      </w:r>
      <w:r w:rsidR="0013032F">
        <w:t xml:space="preserve"> </w:t>
      </w:r>
      <w:r>
        <w:t>Agricultural</w:t>
      </w:r>
      <w:r w:rsidR="0013032F">
        <w:t xml:space="preserve"> </w:t>
      </w:r>
      <w:r>
        <w:t>Investment</w:t>
      </w:r>
      <w:r w:rsidR="0013032F">
        <w:t xml:space="preserve"> </w:t>
      </w:r>
      <w:r>
        <w:t>Taskforce</w:t>
      </w:r>
      <w:r w:rsidR="0013032F">
        <w:t xml:space="preserve"> </w:t>
      </w:r>
      <w:r>
        <w:t>to</w:t>
      </w:r>
      <w:r w:rsidR="0013032F">
        <w:t xml:space="preserve"> </w:t>
      </w:r>
      <w:r>
        <w:t>increase</w:t>
      </w:r>
      <w:r w:rsidR="0013032F">
        <w:t xml:space="preserve"> </w:t>
      </w:r>
      <w:r>
        <w:t>the</w:t>
      </w:r>
      <w:r w:rsidR="0013032F">
        <w:t xml:space="preserve"> </w:t>
      </w:r>
      <w:r>
        <w:t>in-region</w:t>
      </w:r>
      <w:r w:rsidR="0013032F">
        <w:t xml:space="preserve"> </w:t>
      </w:r>
      <w:r>
        <w:t>value</w:t>
      </w:r>
      <w:r w:rsidR="0013032F">
        <w:t xml:space="preserve"> </w:t>
      </w:r>
      <w:r>
        <w:t>adding</w:t>
      </w:r>
      <w:r w:rsidR="0013032F">
        <w:t xml:space="preserve"> </w:t>
      </w:r>
      <w:r>
        <w:t>of</w:t>
      </w:r>
      <w:r w:rsidR="0013032F">
        <w:t xml:space="preserve"> </w:t>
      </w:r>
      <w:r>
        <w:t>agricultural</w:t>
      </w:r>
      <w:r w:rsidR="0013032F">
        <w:t xml:space="preserve"> </w:t>
      </w:r>
      <w:r>
        <w:t>production</w:t>
      </w:r>
      <w:r w:rsidR="0013032F">
        <w:t xml:space="preserve"> </w:t>
      </w:r>
      <w:r>
        <w:t>through</w:t>
      </w:r>
      <w:r w:rsidR="0013032F">
        <w:t xml:space="preserve"> </w:t>
      </w:r>
      <w:r>
        <w:t>new</w:t>
      </w:r>
      <w:r w:rsidR="0013032F">
        <w:t xml:space="preserve"> </w:t>
      </w:r>
      <w:r>
        <w:t>investment</w:t>
      </w:r>
      <w:r w:rsidR="0013032F">
        <w:t xml:space="preserve"> </w:t>
      </w:r>
      <w:r>
        <w:t>in</w:t>
      </w:r>
      <w:r w:rsidR="0013032F">
        <w:t xml:space="preserve"> </w:t>
      </w:r>
      <w:r>
        <w:t>food</w:t>
      </w:r>
      <w:r w:rsidR="0013032F">
        <w:t xml:space="preserve"> </w:t>
      </w:r>
      <w:r>
        <w:t>manufacturing</w:t>
      </w:r>
      <w:r w:rsidR="0013032F">
        <w:t xml:space="preserve"> </w:t>
      </w:r>
      <w:r>
        <w:t>and</w:t>
      </w:r>
      <w:r w:rsidR="0013032F">
        <w:t xml:space="preserve"> </w:t>
      </w:r>
      <w:r>
        <w:t>extractive</w:t>
      </w:r>
      <w:r w:rsidR="0013032F">
        <w:t xml:space="preserve"> </w:t>
      </w:r>
      <w:r>
        <w:t>industries</w:t>
      </w:r>
      <w:r w:rsidR="0013032F">
        <w:t xml:space="preserve"> </w:t>
      </w:r>
      <w:r>
        <w:t>(a</w:t>
      </w:r>
      <w:r w:rsidR="0013032F">
        <w:t xml:space="preserve"> </w:t>
      </w:r>
      <w:r>
        <w:t>shared</w:t>
      </w:r>
      <w:r w:rsidR="0013032F">
        <w:t xml:space="preserve"> </w:t>
      </w:r>
      <w:r>
        <w:t>priority</w:t>
      </w:r>
      <w:r w:rsidR="0013032F">
        <w:t xml:space="preserve"> </w:t>
      </w:r>
      <w:r>
        <w:t>with</w:t>
      </w:r>
      <w:r w:rsidR="0013032F">
        <w:t xml:space="preserve"> </w:t>
      </w:r>
      <w:r>
        <w:t>the</w:t>
      </w:r>
      <w:r w:rsidR="0013032F">
        <w:t xml:space="preserve"> </w:t>
      </w:r>
      <w:r>
        <w:t>Central</w:t>
      </w:r>
      <w:r w:rsidR="0013032F">
        <w:t xml:space="preserve"> </w:t>
      </w:r>
      <w:r>
        <w:t>Highlands</w:t>
      </w:r>
      <w:r w:rsidR="0013032F">
        <w:t xml:space="preserve"> </w:t>
      </w:r>
      <w:r>
        <w:t>Regional</w:t>
      </w:r>
      <w:r w:rsidR="0013032F">
        <w:t xml:space="preserve"> </w:t>
      </w:r>
      <w:r>
        <w:t>Partnership)</w:t>
      </w:r>
    </w:p>
    <w:p w14:paraId="7943EC5E" w14:textId="5A401708" w:rsidR="00757772" w:rsidRDefault="00305D3C" w:rsidP="009C399C">
      <w:pPr>
        <w:pStyle w:val="Bullet"/>
      </w:pPr>
      <w:r w:rsidRPr="009C399C">
        <w:rPr>
          <w:b/>
          <w:bCs/>
        </w:rPr>
        <w:lastRenderedPageBreak/>
        <w:t>Improve</w:t>
      </w:r>
      <w:r w:rsidR="0013032F" w:rsidRPr="009C399C">
        <w:rPr>
          <w:b/>
          <w:bCs/>
        </w:rPr>
        <w:t xml:space="preserve"> </w:t>
      </w:r>
      <w:r w:rsidRPr="009C399C">
        <w:rPr>
          <w:b/>
          <w:bCs/>
        </w:rPr>
        <w:t>housing</w:t>
      </w:r>
      <w:r w:rsidR="0013032F" w:rsidRPr="009C399C">
        <w:rPr>
          <w:b/>
          <w:bCs/>
        </w:rPr>
        <w:t xml:space="preserve"> </w:t>
      </w:r>
      <w:r w:rsidRPr="009C399C">
        <w:rPr>
          <w:b/>
          <w:bCs/>
        </w:rPr>
        <w:t>supply</w:t>
      </w:r>
      <w:r w:rsidR="0013032F" w:rsidRPr="009C399C">
        <w:rPr>
          <w:b/>
          <w:bCs/>
        </w:rPr>
        <w:t xml:space="preserve"> </w:t>
      </w:r>
      <w:r w:rsidRPr="009C399C">
        <w:rPr>
          <w:b/>
          <w:bCs/>
        </w:rPr>
        <w:t>and</w:t>
      </w:r>
      <w:r w:rsidR="0013032F" w:rsidRPr="009C399C">
        <w:rPr>
          <w:b/>
          <w:bCs/>
        </w:rPr>
        <w:t xml:space="preserve"> </w:t>
      </w:r>
      <w:r w:rsidRPr="009C399C">
        <w:rPr>
          <w:b/>
          <w:bCs/>
        </w:rPr>
        <w:t>affordability</w:t>
      </w:r>
      <w:r w:rsidR="0013032F" w:rsidRPr="009C399C">
        <w:rPr>
          <w:b/>
          <w:bCs/>
        </w:rPr>
        <w:t xml:space="preserve"> </w:t>
      </w:r>
      <w:r w:rsidRPr="009C399C">
        <w:rPr>
          <w:b/>
          <w:bCs/>
        </w:rPr>
        <w:t>housing</w:t>
      </w:r>
      <w:r w:rsidR="0013032F" w:rsidRPr="009C399C">
        <w:t xml:space="preserve"> </w:t>
      </w:r>
      <w:r>
        <w:t>–</w:t>
      </w:r>
      <w:r w:rsidR="0013032F">
        <w:t xml:space="preserve"> </w:t>
      </w:r>
      <w:r>
        <w:t>implemented</w:t>
      </w:r>
      <w:r w:rsidR="0013032F">
        <w:t xml:space="preserve"> </w:t>
      </w:r>
      <w:r>
        <w:t>the</w:t>
      </w:r>
      <w:r w:rsidR="0013032F">
        <w:t xml:space="preserve"> </w:t>
      </w:r>
      <w:r>
        <w:t>Wimmera</w:t>
      </w:r>
      <w:r w:rsidR="0013032F">
        <w:t xml:space="preserve"> </w:t>
      </w:r>
      <w:r>
        <w:t>Southern</w:t>
      </w:r>
      <w:r w:rsidR="0013032F">
        <w:t xml:space="preserve"> </w:t>
      </w:r>
      <w:r>
        <w:t>Mallee</w:t>
      </w:r>
      <w:r w:rsidR="0013032F">
        <w:t xml:space="preserve"> </w:t>
      </w:r>
      <w:r>
        <w:t>Housing</w:t>
      </w:r>
      <w:r w:rsidR="0013032F">
        <w:t xml:space="preserve"> </w:t>
      </w:r>
      <w:r>
        <w:t>Blueprint</w:t>
      </w:r>
      <w:r w:rsidR="0013032F">
        <w:t xml:space="preserve"> </w:t>
      </w:r>
      <w:r>
        <w:t>developed</w:t>
      </w:r>
      <w:r w:rsidR="0013032F">
        <w:t xml:space="preserve"> </w:t>
      </w:r>
      <w:r>
        <w:t>by</w:t>
      </w:r>
      <w:r w:rsidR="0013032F">
        <w:t xml:space="preserve"> </w:t>
      </w:r>
      <w:r>
        <w:t>the</w:t>
      </w:r>
      <w:r w:rsidR="0013032F">
        <w:t xml:space="preserve"> </w:t>
      </w:r>
      <w:r>
        <w:t>Wimmera</w:t>
      </w:r>
      <w:r w:rsidR="0013032F">
        <w:t xml:space="preserve"> </w:t>
      </w:r>
      <w:r>
        <w:t>Development</w:t>
      </w:r>
      <w:r w:rsidR="0013032F">
        <w:t xml:space="preserve"> </w:t>
      </w:r>
      <w:r>
        <w:t>Association.</w:t>
      </w:r>
      <w:r w:rsidR="0013032F">
        <w:t xml:space="preserve"> </w:t>
      </w:r>
      <w:r>
        <w:t>The</w:t>
      </w:r>
      <w:r w:rsidR="0013032F">
        <w:t xml:space="preserve"> </w:t>
      </w:r>
      <w:r>
        <w:t>blueprint</w:t>
      </w:r>
      <w:r w:rsidR="0013032F">
        <w:t xml:space="preserve"> </w:t>
      </w:r>
      <w:r>
        <w:t>was</w:t>
      </w:r>
      <w:r w:rsidR="0013032F">
        <w:t xml:space="preserve"> </w:t>
      </w:r>
      <w:r>
        <w:t>designed</w:t>
      </w:r>
      <w:r w:rsidR="0013032F">
        <w:t xml:space="preserve"> </w:t>
      </w:r>
      <w:r>
        <w:t>to</w:t>
      </w:r>
      <w:r w:rsidR="0013032F">
        <w:t xml:space="preserve"> </w:t>
      </w:r>
      <w:r>
        <w:t>significantly</w:t>
      </w:r>
      <w:r w:rsidR="0013032F">
        <w:t xml:space="preserve"> </w:t>
      </w:r>
      <w:r>
        <w:t>expand</w:t>
      </w:r>
      <w:r w:rsidR="0013032F">
        <w:t xml:space="preserve"> </w:t>
      </w:r>
      <w:r>
        <w:t>the</w:t>
      </w:r>
      <w:r w:rsidR="0013032F">
        <w:t xml:space="preserve"> </w:t>
      </w:r>
      <w:r>
        <w:t>regional</w:t>
      </w:r>
      <w:r w:rsidR="0013032F">
        <w:t xml:space="preserve"> </w:t>
      </w:r>
      <w:r>
        <w:t>housing</w:t>
      </w:r>
      <w:r w:rsidR="0013032F">
        <w:t xml:space="preserve"> </w:t>
      </w:r>
      <w:r>
        <w:t>stock</w:t>
      </w:r>
      <w:r w:rsidR="0013032F">
        <w:t xml:space="preserve"> </w:t>
      </w:r>
      <w:r>
        <w:t>to</w:t>
      </w:r>
      <w:r w:rsidR="0013032F">
        <w:t xml:space="preserve"> </w:t>
      </w:r>
      <w:r>
        <w:t>meet</w:t>
      </w:r>
      <w:r w:rsidR="0013032F">
        <w:t xml:space="preserve"> </w:t>
      </w:r>
      <w:r>
        <w:t>strong</w:t>
      </w:r>
      <w:r w:rsidR="0013032F">
        <w:t xml:space="preserve"> </w:t>
      </w:r>
      <w:r>
        <w:t>demand</w:t>
      </w:r>
      <w:r w:rsidR="0013032F">
        <w:t xml:space="preserve"> </w:t>
      </w:r>
      <w:r>
        <w:t>in</w:t>
      </w:r>
      <w:r w:rsidR="0013032F">
        <w:t xml:space="preserve"> </w:t>
      </w:r>
      <w:r>
        <w:t>the</w:t>
      </w:r>
      <w:r w:rsidR="0013032F">
        <w:t xml:space="preserve"> </w:t>
      </w:r>
      <w:r>
        <w:t>regional</w:t>
      </w:r>
      <w:r w:rsidR="0013032F">
        <w:t xml:space="preserve"> </w:t>
      </w:r>
      <w:r>
        <w:t>jobs</w:t>
      </w:r>
      <w:r w:rsidR="0013032F">
        <w:t xml:space="preserve"> </w:t>
      </w:r>
      <w:r>
        <w:t>market</w:t>
      </w:r>
      <w:r w:rsidR="0013032F">
        <w:t xml:space="preserve"> </w:t>
      </w:r>
      <w:r>
        <w:t>and</w:t>
      </w:r>
      <w:r w:rsidR="0013032F">
        <w:t xml:space="preserve"> </w:t>
      </w:r>
      <w:r>
        <w:t>population</w:t>
      </w:r>
      <w:r w:rsidR="0013032F">
        <w:t xml:space="preserve"> </w:t>
      </w:r>
      <w:r>
        <w:t>growth.</w:t>
      </w:r>
      <w:r w:rsidR="0013032F">
        <w:t xml:space="preserve"> </w:t>
      </w:r>
      <w:r>
        <w:t>The</w:t>
      </w:r>
      <w:r w:rsidR="0013032F">
        <w:t xml:space="preserve"> </w:t>
      </w:r>
      <w:r>
        <w:t>blueprint</w:t>
      </w:r>
      <w:r w:rsidR="0013032F">
        <w:t xml:space="preserve"> </w:t>
      </w:r>
      <w:r>
        <w:t>aims</w:t>
      </w:r>
      <w:r w:rsidR="0013032F">
        <w:t xml:space="preserve"> </w:t>
      </w:r>
      <w:r>
        <w:t>to</w:t>
      </w:r>
      <w:r w:rsidR="0013032F">
        <w:t xml:space="preserve"> </w:t>
      </w:r>
      <w:r>
        <w:t>drive</w:t>
      </w:r>
      <w:r w:rsidR="0013032F">
        <w:t xml:space="preserve"> </w:t>
      </w:r>
      <w:r>
        <w:t>the</w:t>
      </w:r>
      <w:r w:rsidR="0013032F">
        <w:t xml:space="preserve"> </w:t>
      </w:r>
      <w:r>
        <w:t>release</w:t>
      </w:r>
      <w:r w:rsidR="0013032F">
        <w:t xml:space="preserve"> </w:t>
      </w:r>
      <w:r>
        <w:t>of</w:t>
      </w:r>
      <w:r w:rsidR="0013032F">
        <w:t xml:space="preserve"> </w:t>
      </w:r>
      <w:r>
        <w:t>more</w:t>
      </w:r>
      <w:r w:rsidR="0013032F">
        <w:t xml:space="preserve"> </w:t>
      </w:r>
      <w:r>
        <w:t>land</w:t>
      </w:r>
      <w:r w:rsidR="0013032F">
        <w:t xml:space="preserve"> </w:t>
      </w:r>
      <w:r>
        <w:t>for</w:t>
      </w:r>
      <w:r w:rsidR="0013032F">
        <w:t xml:space="preserve"> </w:t>
      </w:r>
      <w:r>
        <w:t>housing,</w:t>
      </w:r>
      <w:r w:rsidR="0013032F">
        <w:t xml:space="preserve"> </w:t>
      </w:r>
      <w:r>
        <w:t>key</w:t>
      </w:r>
      <w:r w:rsidR="0013032F">
        <w:t xml:space="preserve"> </w:t>
      </w:r>
      <w:r>
        <w:t>worker</w:t>
      </w:r>
      <w:r w:rsidR="0013032F">
        <w:t xml:space="preserve"> </w:t>
      </w:r>
      <w:r>
        <w:t>and</w:t>
      </w:r>
      <w:r w:rsidR="0013032F">
        <w:t xml:space="preserve"> </w:t>
      </w:r>
      <w:r>
        <w:t>affordable</w:t>
      </w:r>
      <w:r w:rsidR="0013032F">
        <w:t xml:space="preserve"> </w:t>
      </w:r>
      <w:r>
        <w:t>housing</w:t>
      </w:r>
      <w:r w:rsidR="0013032F">
        <w:t xml:space="preserve"> </w:t>
      </w:r>
      <w:r>
        <w:t>development</w:t>
      </w:r>
      <w:r w:rsidR="0013032F">
        <w:t xml:space="preserve"> </w:t>
      </w:r>
      <w:r>
        <w:t>and</w:t>
      </w:r>
      <w:r w:rsidR="0013032F">
        <w:t xml:space="preserve"> </w:t>
      </w:r>
      <w:r>
        <w:t>growth</w:t>
      </w:r>
      <w:r w:rsidR="0013032F">
        <w:t xml:space="preserve"> </w:t>
      </w:r>
      <w:r>
        <w:t>of</w:t>
      </w:r>
      <w:r w:rsidR="0013032F">
        <w:t xml:space="preserve"> </w:t>
      </w:r>
      <w:r>
        <w:t>the</w:t>
      </w:r>
      <w:r w:rsidR="0013032F">
        <w:t xml:space="preserve"> </w:t>
      </w:r>
      <w:r>
        <w:t>regional</w:t>
      </w:r>
      <w:r w:rsidR="0013032F">
        <w:t xml:space="preserve"> </w:t>
      </w:r>
      <w:r>
        <w:t>construction</w:t>
      </w:r>
      <w:r w:rsidR="0013032F">
        <w:t xml:space="preserve"> </w:t>
      </w:r>
      <w:r>
        <w:t>sector</w:t>
      </w:r>
      <w:r w:rsidR="0013032F">
        <w:t xml:space="preserve"> </w:t>
      </w:r>
      <w:r>
        <w:t>through</w:t>
      </w:r>
      <w:r w:rsidR="0013032F">
        <w:t xml:space="preserve"> </w:t>
      </w:r>
      <w:r>
        <w:t>new</w:t>
      </w:r>
      <w:r w:rsidR="0013032F">
        <w:t xml:space="preserve"> </w:t>
      </w:r>
      <w:r>
        <w:t>building</w:t>
      </w:r>
      <w:r w:rsidR="0013032F">
        <w:t xml:space="preserve"> </w:t>
      </w:r>
      <w:r>
        <w:t>trades</w:t>
      </w:r>
      <w:r w:rsidR="0013032F">
        <w:t xml:space="preserve"> </w:t>
      </w:r>
      <w:r>
        <w:t>hubs</w:t>
      </w:r>
      <w:r w:rsidR="0013032F">
        <w:t xml:space="preserve"> </w:t>
      </w:r>
      <w:r>
        <w:t>and</w:t>
      </w:r>
      <w:r w:rsidR="0013032F">
        <w:t xml:space="preserve"> </w:t>
      </w:r>
      <w:r>
        <w:t>construction</w:t>
      </w:r>
      <w:r w:rsidR="0013032F">
        <w:t xml:space="preserve"> </w:t>
      </w:r>
      <w:r>
        <w:t>sector</w:t>
      </w:r>
      <w:r w:rsidR="0013032F">
        <w:t xml:space="preserve"> </w:t>
      </w:r>
      <w:r>
        <w:t>business</w:t>
      </w:r>
      <w:r w:rsidR="0013032F">
        <w:t xml:space="preserve"> </w:t>
      </w:r>
      <w:r>
        <w:t>support</w:t>
      </w:r>
      <w:r w:rsidR="0013032F">
        <w:t xml:space="preserve"> </w:t>
      </w:r>
      <w:r>
        <w:t>programs</w:t>
      </w:r>
    </w:p>
    <w:p w14:paraId="3DCFD20D" w14:textId="3935FBFA" w:rsidR="00757772" w:rsidRDefault="00305D3C" w:rsidP="00A322DB">
      <w:pPr>
        <w:pStyle w:val="Bulletlast"/>
      </w:pPr>
      <w:r w:rsidRPr="00A322DB">
        <w:rPr>
          <w:b/>
          <w:bCs/>
        </w:rPr>
        <w:t>Education</w:t>
      </w:r>
      <w:r w:rsidR="0013032F" w:rsidRPr="00A322DB">
        <w:rPr>
          <w:b/>
          <w:bCs/>
        </w:rPr>
        <w:t xml:space="preserve"> </w:t>
      </w:r>
      <w:r w:rsidRPr="00A322DB">
        <w:rPr>
          <w:b/>
          <w:bCs/>
        </w:rPr>
        <w:t>and</w:t>
      </w:r>
      <w:r w:rsidR="0013032F" w:rsidRPr="00A322DB">
        <w:rPr>
          <w:b/>
          <w:bCs/>
        </w:rPr>
        <w:t xml:space="preserve"> </w:t>
      </w:r>
      <w:r w:rsidRPr="00A322DB">
        <w:rPr>
          <w:b/>
          <w:bCs/>
        </w:rPr>
        <w:t>workforce</w:t>
      </w:r>
      <w:r w:rsidR="0013032F" w:rsidRPr="00A322DB">
        <w:rPr>
          <w:rFonts w:ascii="VIC" w:hAnsi="VIC" w:cs="VIC"/>
        </w:rPr>
        <w:t xml:space="preserve"> </w:t>
      </w:r>
      <w:r>
        <w:t>–</w:t>
      </w:r>
      <w:r w:rsidR="0013032F">
        <w:t xml:space="preserve"> </w:t>
      </w:r>
      <w:r>
        <w:t>advocated</w:t>
      </w:r>
      <w:r w:rsidR="0013032F">
        <w:t xml:space="preserve"> </w:t>
      </w:r>
      <w:r>
        <w:t>for</w:t>
      </w:r>
      <w:r w:rsidR="0013032F">
        <w:t xml:space="preserve"> </w:t>
      </w:r>
      <w:r>
        <w:t>more</w:t>
      </w:r>
      <w:r w:rsidR="0013032F">
        <w:t xml:space="preserve"> </w:t>
      </w:r>
      <w:r>
        <w:t>childcare</w:t>
      </w:r>
      <w:r w:rsidR="0013032F">
        <w:t xml:space="preserve"> </w:t>
      </w:r>
      <w:r>
        <w:t>services</w:t>
      </w:r>
      <w:r w:rsidR="0013032F">
        <w:t xml:space="preserve"> </w:t>
      </w:r>
      <w:r>
        <w:t>in</w:t>
      </w:r>
      <w:r w:rsidR="0013032F">
        <w:t xml:space="preserve"> </w:t>
      </w:r>
      <w:r>
        <w:t>smaller</w:t>
      </w:r>
      <w:r w:rsidR="0013032F">
        <w:t xml:space="preserve"> </w:t>
      </w:r>
      <w:r>
        <w:t>rural</w:t>
      </w:r>
      <w:r w:rsidR="0013032F">
        <w:t xml:space="preserve"> </w:t>
      </w:r>
      <w:r>
        <w:t>townships</w:t>
      </w:r>
      <w:r w:rsidR="0013032F">
        <w:t xml:space="preserve"> </w:t>
      </w:r>
      <w:r>
        <w:t>where</w:t>
      </w:r>
      <w:r w:rsidR="0013032F">
        <w:t xml:space="preserve"> </w:t>
      </w:r>
      <w:r>
        <w:t>there</w:t>
      </w:r>
      <w:r w:rsidR="0013032F">
        <w:t xml:space="preserve"> </w:t>
      </w:r>
      <w:r>
        <w:t>is</w:t>
      </w:r>
      <w:r w:rsidR="0013032F">
        <w:t xml:space="preserve"> </w:t>
      </w:r>
      <w:r>
        <w:t>limited</w:t>
      </w:r>
      <w:r w:rsidR="0013032F">
        <w:t xml:space="preserve"> </w:t>
      </w:r>
      <w:r>
        <w:t>or</w:t>
      </w:r>
      <w:r w:rsidR="0013032F">
        <w:t xml:space="preserve"> </w:t>
      </w:r>
      <w:r>
        <w:t>no</w:t>
      </w:r>
      <w:r w:rsidR="0013032F">
        <w:t xml:space="preserve"> </w:t>
      </w:r>
      <w:r>
        <w:t>childcare</w:t>
      </w:r>
      <w:r w:rsidR="0013032F">
        <w:t xml:space="preserve"> </w:t>
      </w:r>
      <w:r>
        <w:t>currently</w:t>
      </w:r>
      <w:r w:rsidR="0013032F">
        <w:t xml:space="preserve"> </w:t>
      </w:r>
      <w:r>
        <w:t>available.</w:t>
      </w:r>
      <w:r w:rsidR="0013032F">
        <w:t xml:space="preserve"> </w:t>
      </w:r>
      <w:r>
        <w:t>This</w:t>
      </w:r>
      <w:r w:rsidR="0013032F">
        <w:t xml:space="preserve"> </w:t>
      </w:r>
      <w:r>
        <w:t>will</w:t>
      </w:r>
      <w:r w:rsidR="0013032F">
        <w:t xml:space="preserve"> </w:t>
      </w:r>
      <w:r>
        <w:t>help</w:t>
      </w:r>
      <w:r w:rsidR="0013032F">
        <w:t xml:space="preserve"> </w:t>
      </w:r>
      <w:r>
        <w:t>reduce</w:t>
      </w:r>
      <w:r w:rsidR="0013032F">
        <w:t xml:space="preserve"> </w:t>
      </w:r>
      <w:r>
        <w:t>the</w:t>
      </w:r>
      <w:r w:rsidR="0013032F">
        <w:t xml:space="preserve"> </w:t>
      </w:r>
      <w:r>
        <w:t>high</w:t>
      </w:r>
      <w:r w:rsidR="0013032F">
        <w:t xml:space="preserve"> </w:t>
      </w:r>
      <w:r>
        <w:t>level</w:t>
      </w:r>
      <w:r w:rsidR="0013032F">
        <w:t xml:space="preserve"> </w:t>
      </w:r>
      <w:r>
        <w:t>of</w:t>
      </w:r>
      <w:r w:rsidR="0013032F">
        <w:t xml:space="preserve"> </w:t>
      </w:r>
      <w:r>
        <w:t>early</w:t>
      </w:r>
      <w:r w:rsidR="0013032F">
        <w:t xml:space="preserve"> </w:t>
      </w:r>
      <w:r>
        <w:t>years</w:t>
      </w:r>
      <w:r w:rsidR="0013032F">
        <w:t xml:space="preserve"> </w:t>
      </w:r>
      <w:r>
        <w:t>developmental</w:t>
      </w:r>
      <w:r w:rsidR="0013032F">
        <w:t xml:space="preserve"> </w:t>
      </w:r>
      <w:r>
        <w:t>deficits</w:t>
      </w:r>
      <w:r w:rsidR="0013032F">
        <w:t xml:space="preserve"> </w:t>
      </w:r>
      <w:r>
        <w:t>amongst</w:t>
      </w:r>
      <w:r w:rsidR="0013032F">
        <w:t xml:space="preserve"> </w:t>
      </w:r>
      <w:r>
        <w:t>children</w:t>
      </w:r>
      <w:r w:rsidR="0013032F">
        <w:t xml:space="preserve"> </w:t>
      </w:r>
      <w:r>
        <w:t>in</w:t>
      </w:r>
      <w:r w:rsidR="0013032F">
        <w:t xml:space="preserve"> </w:t>
      </w:r>
      <w:r>
        <w:t>rural</w:t>
      </w:r>
      <w:r w:rsidR="0013032F">
        <w:t xml:space="preserve"> </w:t>
      </w:r>
      <w:r>
        <w:t>and</w:t>
      </w:r>
      <w:r w:rsidR="0013032F">
        <w:t xml:space="preserve"> </w:t>
      </w:r>
      <w:r>
        <w:t>remote</w:t>
      </w:r>
      <w:r w:rsidR="0013032F">
        <w:t xml:space="preserve"> </w:t>
      </w:r>
      <w:r>
        <w:t>locations.</w:t>
      </w:r>
      <w:r w:rsidR="0013032F">
        <w:t xml:space="preserve"> </w:t>
      </w:r>
      <w:r>
        <w:t>It</w:t>
      </w:r>
      <w:r w:rsidR="0013032F">
        <w:t xml:space="preserve"> </w:t>
      </w:r>
      <w:r>
        <w:t>will</w:t>
      </w:r>
      <w:r w:rsidR="0013032F">
        <w:t xml:space="preserve"> </w:t>
      </w:r>
      <w:r>
        <w:t>improve</w:t>
      </w:r>
      <w:r w:rsidR="0013032F">
        <w:t xml:space="preserve"> </w:t>
      </w:r>
      <w:r>
        <w:t>economic</w:t>
      </w:r>
      <w:r w:rsidR="0013032F">
        <w:t xml:space="preserve"> </w:t>
      </w:r>
      <w:r>
        <w:t>outcomes</w:t>
      </w:r>
      <w:r w:rsidR="0013032F">
        <w:t xml:space="preserve"> </w:t>
      </w:r>
      <w:r>
        <w:t>for</w:t>
      </w:r>
      <w:r w:rsidR="0013032F">
        <w:t xml:space="preserve"> </w:t>
      </w:r>
      <w:r>
        <w:t>families</w:t>
      </w:r>
      <w:r w:rsidR="0013032F">
        <w:t xml:space="preserve"> </w:t>
      </w:r>
      <w:r>
        <w:t>and</w:t>
      </w:r>
      <w:r w:rsidR="0013032F">
        <w:t xml:space="preserve"> </w:t>
      </w:r>
      <w:r>
        <w:t>regional</w:t>
      </w:r>
      <w:r w:rsidR="0013032F">
        <w:t xml:space="preserve"> </w:t>
      </w:r>
      <w:r>
        <w:t>businesses</w:t>
      </w:r>
      <w:r w:rsidR="0013032F">
        <w:t xml:space="preserve"> </w:t>
      </w:r>
      <w:r>
        <w:t>by</w:t>
      </w:r>
      <w:r w:rsidR="0013032F">
        <w:t xml:space="preserve"> </w:t>
      </w:r>
      <w:r>
        <w:t>tapping</w:t>
      </w:r>
      <w:r w:rsidR="0013032F">
        <w:t xml:space="preserve"> </w:t>
      </w:r>
      <w:r>
        <w:t>a</w:t>
      </w:r>
      <w:r w:rsidR="0013032F">
        <w:t xml:space="preserve"> </w:t>
      </w:r>
      <w:r>
        <w:t>latent</w:t>
      </w:r>
      <w:r w:rsidR="0013032F">
        <w:t xml:space="preserve"> </w:t>
      </w:r>
      <w:r>
        <w:t>workforce</w:t>
      </w:r>
      <w:r w:rsidR="0013032F">
        <w:t xml:space="preserve"> </w:t>
      </w:r>
      <w:r>
        <w:t>able</w:t>
      </w:r>
      <w:r w:rsidR="0013032F">
        <w:t xml:space="preserve"> </w:t>
      </w:r>
      <w:r>
        <w:t>to</w:t>
      </w:r>
      <w:r w:rsidR="0013032F">
        <w:t xml:space="preserve"> </w:t>
      </w:r>
      <w:r>
        <w:t>seek</w:t>
      </w:r>
      <w:r w:rsidR="0013032F">
        <w:t xml:space="preserve"> </w:t>
      </w:r>
      <w:r>
        <w:t>part-time</w:t>
      </w:r>
      <w:r w:rsidR="0013032F">
        <w:t xml:space="preserve"> </w:t>
      </w:r>
      <w:r>
        <w:t>or</w:t>
      </w:r>
      <w:r w:rsidR="0013032F">
        <w:t xml:space="preserve"> </w:t>
      </w:r>
      <w:r>
        <w:t>full-time</w:t>
      </w:r>
      <w:r w:rsidR="0013032F">
        <w:t xml:space="preserve"> </w:t>
      </w:r>
      <w:r>
        <w:t>work.</w:t>
      </w:r>
      <w:r w:rsidR="0013032F">
        <w:t xml:space="preserve"> </w:t>
      </w:r>
      <w:r>
        <w:t>It</w:t>
      </w:r>
      <w:r w:rsidR="0013032F">
        <w:t xml:space="preserve"> </w:t>
      </w:r>
      <w:r>
        <w:t>also</w:t>
      </w:r>
      <w:r w:rsidR="0013032F">
        <w:t xml:space="preserve"> </w:t>
      </w:r>
      <w:r>
        <w:t>has</w:t>
      </w:r>
      <w:r w:rsidR="0013032F">
        <w:t xml:space="preserve"> </w:t>
      </w:r>
      <w:r>
        <w:t>the</w:t>
      </w:r>
      <w:r w:rsidR="0013032F">
        <w:t xml:space="preserve"> </w:t>
      </w:r>
      <w:r>
        <w:t>potential</w:t>
      </w:r>
      <w:r w:rsidR="0013032F">
        <w:t xml:space="preserve"> </w:t>
      </w:r>
      <w:r>
        <w:t>to</w:t>
      </w:r>
      <w:r w:rsidR="0013032F">
        <w:t xml:space="preserve"> </w:t>
      </w:r>
      <w:r>
        <w:t>elevate</w:t>
      </w:r>
      <w:r w:rsidR="0013032F">
        <w:t xml:space="preserve"> </w:t>
      </w:r>
      <w:r>
        <w:t>the</w:t>
      </w:r>
      <w:r w:rsidR="0013032F">
        <w:t xml:space="preserve"> </w:t>
      </w:r>
      <w:r>
        <w:t>level</w:t>
      </w:r>
      <w:r w:rsidR="0013032F">
        <w:t xml:space="preserve"> </w:t>
      </w:r>
      <w:r>
        <w:t>of</w:t>
      </w:r>
      <w:r w:rsidR="0013032F">
        <w:t xml:space="preserve"> </w:t>
      </w:r>
      <w:r>
        <w:t>female</w:t>
      </w:r>
      <w:r w:rsidR="0013032F">
        <w:t xml:space="preserve"> </w:t>
      </w:r>
      <w:r>
        <w:t>workforce</w:t>
      </w:r>
      <w:r w:rsidR="0013032F">
        <w:t xml:space="preserve"> </w:t>
      </w:r>
      <w:r>
        <w:t>participation</w:t>
      </w:r>
      <w:r w:rsidR="0013032F">
        <w:t xml:space="preserve"> </w:t>
      </w:r>
      <w:r>
        <w:t>in</w:t>
      </w:r>
      <w:r w:rsidR="0013032F">
        <w:t xml:space="preserve"> </w:t>
      </w:r>
      <w:r>
        <w:t>the</w:t>
      </w:r>
      <w:r w:rsidR="0013032F">
        <w:t xml:space="preserve"> </w:t>
      </w:r>
      <w:r>
        <w:t>Wimmera</w:t>
      </w:r>
      <w:r w:rsidR="0013032F">
        <w:t xml:space="preserve"> </w:t>
      </w:r>
      <w:r>
        <w:t>Southern</w:t>
      </w:r>
      <w:r w:rsidR="0013032F">
        <w:t xml:space="preserve"> </w:t>
      </w:r>
      <w:r>
        <w:t>Mallee</w:t>
      </w:r>
      <w:r w:rsidR="0013032F">
        <w:t xml:space="preserve"> </w:t>
      </w:r>
      <w:r>
        <w:t>region</w:t>
      </w:r>
      <w:r w:rsidR="0013032F">
        <w:t xml:space="preserve"> </w:t>
      </w:r>
      <w:r>
        <w:t>that</w:t>
      </w:r>
      <w:r w:rsidR="0013032F">
        <w:t xml:space="preserve"> </w:t>
      </w:r>
      <w:r>
        <w:t>is</w:t>
      </w:r>
      <w:r w:rsidR="0013032F">
        <w:t xml:space="preserve"> </w:t>
      </w:r>
      <w:r>
        <w:t>currently</w:t>
      </w:r>
      <w:r w:rsidR="0013032F">
        <w:t xml:space="preserve"> </w:t>
      </w:r>
      <w:r>
        <w:t>lagging</w:t>
      </w:r>
      <w:r w:rsidR="0013032F">
        <w:t xml:space="preserve"> </w:t>
      </w:r>
      <w:r>
        <w:t>behind</w:t>
      </w:r>
      <w:r w:rsidR="0013032F">
        <w:t xml:space="preserve"> </w:t>
      </w:r>
      <w:r>
        <w:t>average</w:t>
      </w:r>
      <w:r w:rsidR="0013032F">
        <w:t xml:space="preserve"> </w:t>
      </w:r>
      <w:r>
        <w:t>participation</w:t>
      </w:r>
      <w:r w:rsidR="0013032F">
        <w:t xml:space="preserve"> </w:t>
      </w:r>
      <w:r>
        <w:t>in</w:t>
      </w:r>
      <w:r w:rsidR="0013032F">
        <w:t xml:space="preserve"> </w:t>
      </w:r>
      <w:r>
        <w:t>regional</w:t>
      </w:r>
      <w:r w:rsidR="0013032F">
        <w:t xml:space="preserve"> </w:t>
      </w:r>
      <w:r>
        <w:t>Victoria</w:t>
      </w:r>
      <w:r w:rsidR="0013032F">
        <w:t xml:space="preserve"> </w:t>
      </w:r>
      <w:r>
        <w:t>by</w:t>
      </w:r>
      <w:r w:rsidR="0013032F">
        <w:t xml:space="preserve"> </w:t>
      </w:r>
      <w:r>
        <w:t>12%</w:t>
      </w:r>
      <w:r w:rsidR="0013032F">
        <w:t xml:space="preserve"> </w:t>
      </w:r>
      <w:r>
        <w:t>for</w:t>
      </w:r>
      <w:r w:rsidR="0013032F">
        <w:t xml:space="preserve"> </w:t>
      </w:r>
      <w:r>
        <w:t>45</w:t>
      </w:r>
      <w:r w:rsidR="0013032F">
        <w:t xml:space="preserve"> </w:t>
      </w:r>
      <w:r>
        <w:t>to</w:t>
      </w:r>
      <w:r w:rsidR="0013032F">
        <w:t xml:space="preserve"> </w:t>
      </w:r>
      <w:r>
        <w:t>54yo</w:t>
      </w:r>
      <w:r w:rsidR="0013032F">
        <w:t xml:space="preserve"> </w:t>
      </w:r>
      <w:r>
        <w:t>women</w:t>
      </w:r>
      <w:r w:rsidR="0013032F">
        <w:t xml:space="preserve"> </w:t>
      </w:r>
      <w:r>
        <w:t>and</w:t>
      </w:r>
      <w:r w:rsidR="0013032F">
        <w:t xml:space="preserve"> </w:t>
      </w:r>
      <w:r>
        <w:t>5%</w:t>
      </w:r>
      <w:r w:rsidR="0013032F">
        <w:t xml:space="preserve"> </w:t>
      </w:r>
      <w:r>
        <w:t>for</w:t>
      </w:r>
      <w:r w:rsidR="0013032F">
        <w:t xml:space="preserve"> </w:t>
      </w:r>
      <w:r>
        <w:t>35</w:t>
      </w:r>
      <w:r w:rsidR="0013032F">
        <w:t xml:space="preserve"> </w:t>
      </w:r>
      <w:r>
        <w:t>to</w:t>
      </w:r>
      <w:r w:rsidR="0013032F">
        <w:t xml:space="preserve"> </w:t>
      </w:r>
      <w:r>
        <w:t>44yo</w:t>
      </w:r>
      <w:r w:rsidR="0013032F">
        <w:t xml:space="preserve"> </w:t>
      </w:r>
      <w:r>
        <w:t>women.</w:t>
      </w:r>
    </w:p>
    <w:p w14:paraId="465C5FD9" w14:textId="77777777" w:rsidR="00757772" w:rsidRDefault="00305D3C" w:rsidP="00A322DB">
      <w:pPr>
        <w:pStyle w:val="Heading3"/>
      </w:pPr>
      <w:r>
        <w:t>Highlights:</w:t>
      </w:r>
    </w:p>
    <w:p w14:paraId="60D5D070" w14:textId="3DAE726F" w:rsidR="00757772" w:rsidRDefault="00305D3C" w:rsidP="00A322DB">
      <w:pPr>
        <w:pStyle w:val="Bullet"/>
      </w:pPr>
      <w:r w:rsidRPr="00A322DB">
        <w:rPr>
          <w:b/>
          <w:bCs/>
        </w:rPr>
        <w:t>Completed</w:t>
      </w:r>
      <w:r w:rsidR="0013032F">
        <w:rPr>
          <w:rFonts w:ascii="VIC Medium" w:hAnsi="VIC Medium" w:cs="VIC Medium"/>
        </w:rPr>
        <w:t xml:space="preserve"> </w:t>
      </w:r>
      <w:r w:rsidRPr="00A322DB">
        <w:rPr>
          <w:i/>
          <w:iCs/>
        </w:rPr>
        <w:t>Horizon</w:t>
      </w:r>
      <w:r w:rsidR="0013032F" w:rsidRPr="00A322DB">
        <w:rPr>
          <w:i/>
          <w:iCs/>
        </w:rPr>
        <w:t xml:space="preserve"> </w:t>
      </w:r>
      <w:r w:rsidRPr="00A322DB">
        <w:rPr>
          <w:i/>
          <w:iCs/>
        </w:rPr>
        <w:t>Highway:</w:t>
      </w:r>
      <w:r w:rsidR="0013032F" w:rsidRPr="00A322DB">
        <w:rPr>
          <w:i/>
          <w:iCs/>
        </w:rPr>
        <w:t xml:space="preserve"> </w:t>
      </w:r>
      <w:r w:rsidRPr="00A322DB">
        <w:rPr>
          <w:i/>
          <w:iCs/>
        </w:rPr>
        <w:t>Wimmera</w:t>
      </w:r>
      <w:r w:rsidR="0013032F" w:rsidRPr="00A322DB">
        <w:rPr>
          <w:i/>
          <w:iCs/>
        </w:rPr>
        <w:t xml:space="preserve"> </w:t>
      </w:r>
      <w:r w:rsidRPr="00A322DB">
        <w:rPr>
          <w:i/>
          <w:iCs/>
        </w:rPr>
        <w:t>Southern</w:t>
      </w:r>
      <w:r w:rsidR="0013032F" w:rsidRPr="00A322DB">
        <w:rPr>
          <w:i/>
          <w:iCs/>
        </w:rPr>
        <w:t xml:space="preserve"> </w:t>
      </w:r>
      <w:r w:rsidRPr="00A322DB">
        <w:rPr>
          <w:i/>
          <w:iCs/>
        </w:rPr>
        <w:t>Mallee</w:t>
      </w:r>
      <w:r w:rsidR="0013032F" w:rsidRPr="00A322DB">
        <w:rPr>
          <w:i/>
          <w:iCs/>
        </w:rPr>
        <w:t xml:space="preserve"> </w:t>
      </w:r>
      <w:r w:rsidRPr="00A322DB">
        <w:rPr>
          <w:i/>
          <w:iCs/>
        </w:rPr>
        <w:t>30</w:t>
      </w:r>
      <w:r w:rsidR="0013032F" w:rsidRPr="00A322DB">
        <w:rPr>
          <w:i/>
          <w:iCs/>
        </w:rPr>
        <w:t xml:space="preserve"> </w:t>
      </w:r>
      <w:r w:rsidRPr="00A322DB">
        <w:rPr>
          <w:i/>
          <w:iCs/>
        </w:rPr>
        <w:t>Year</w:t>
      </w:r>
      <w:r w:rsidR="0013032F" w:rsidRPr="00A322DB">
        <w:rPr>
          <w:i/>
          <w:iCs/>
        </w:rPr>
        <w:t xml:space="preserve"> </w:t>
      </w:r>
      <w:r w:rsidRPr="00A322DB">
        <w:rPr>
          <w:i/>
          <w:iCs/>
        </w:rPr>
        <w:t>Vision</w:t>
      </w:r>
      <w:r w:rsidR="0013032F" w:rsidRPr="00A322DB">
        <w:rPr>
          <w:i/>
          <w:iCs/>
        </w:rPr>
        <w:t xml:space="preserve"> </w:t>
      </w:r>
      <w:r w:rsidRPr="00A322DB">
        <w:rPr>
          <w:i/>
          <w:iCs/>
        </w:rPr>
        <w:t>and</w:t>
      </w:r>
      <w:r w:rsidR="0013032F" w:rsidRPr="00A322DB">
        <w:rPr>
          <w:i/>
          <w:iCs/>
        </w:rPr>
        <w:t xml:space="preserve"> </w:t>
      </w:r>
      <w:r w:rsidRPr="00A322DB">
        <w:rPr>
          <w:i/>
          <w:iCs/>
        </w:rPr>
        <w:t>Roadmap,</w:t>
      </w:r>
      <w:r w:rsidR="0013032F">
        <w:t xml:space="preserve"> </w:t>
      </w:r>
      <w:r>
        <w:t>which</w:t>
      </w:r>
      <w:r w:rsidR="0013032F">
        <w:t xml:space="preserve"> </w:t>
      </w:r>
      <w:r>
        <w:t>includes</w:t>
      </w:r>
      <w:r w:rsidR="0013032F">
        <w:t xml:space="preserve"> </w:t>
      </w:r>
      <w:r>
        <w:t>a</w:t>
      </w:r>
      <w:r w:rsidR="0013032F">
        <w:t xml:space="preserve"> </w:t>
      </w:r>
      <w:r>
        <w:t>30-year</w:t>
      </w:r>
      <w:r w:rsidR="0013032F">
        <w:t xml:space="preserve"> </w:t>
      </w:r>
      <w:r>
        <w:t>vision</w:t>
      </w:r>
      <w:r w:rsidR="0013032F">
        <w:t xml:space="preserve"> </w:t>
      </w:r>
      <w:r>
        <w:t>for</w:t>
      </w:r>
      <w:r w:rsidR="0013032F">
        <w:t xml:space="preserve"> </w:t>
      </w:r>
      <w:r>
        <w:t>the</w:t>
      </w:r>
      <w:r w:rsidR="0013032F">
        <w:t xml:space="preserve"> </w:t>
      </w:r>
      <w:r>
        <w:t>region</w:t>
      </w:r>
      <w:r w:rsidR="0013032F">
        <w:t xml:space="preserve"> </w:t>
      </w:r>
      <w:r>
        <w:t>to</w:t>
      </w:r>
      <w:r w:rsidR="0013032F">
        <w:t xml:space="preserve"> </w:t>
      </w:r>
      <w:r>
        <w:t>achieve</w:t>
      </w:r>
      <w:r w:rsidR="0013032F">
        <w:t xml:space="preserve"> </w:t>
      </w:r>
      <w:r>
        <w:t>a</w:t>
      </w:r>
      <w:r w:rsidR="0013032F">
        <w:t xml:space="preserve"> </w:t>
      </w:r>
      <w:r>
        <w:t>population</w:t>
      </w:r>
      <w:r w:rsidR="0013032F">
        <w:t xml:space="preserve"> </w:t>
      </w:r>
      <w:r>
        <w:t>of</w:t>
      </w:r>
      <w:r w:rsidR="0013032F">
        <w:t xml:space="preserve"> </w:t>
      </w:r>
      <w:r>
        <w:t>90,000,</w:t>
      </w:r>
      <w:r w:rsidR="0013032F">
        <w:t xml:space="preserve"> </w:t>
      </w:r>
      <w:r>
        <w:t>generating</w:t>
      </w:r>
      <w:r w:rsidR="0013032F">
        <w:t xml:space="preserve"> </w:t>
      </w:r>
      <w:r>
        <w:t>gross</w:t>
      </w:r>
      <w:r w:rsidR="0013032F">
        <w:t xml:space="preserve"> </w:t>
      </w:r>
      <w:r>
        <w:t>annual</w:t>
      </w:r>
      <w:r w:rsidR="0013032F">
        <w:t xml:space="preserve"> </w:t>
      </w:r>
      <w:r>
        <w:t>regional</w:t>
      </w:r>
      <w:r w:rsidR="0013032F">
        <w:t xml:space="preserve"> </w:t>
      </w:r>
      <w:r>
        <w:t>output</w:t>
      </w:r>
      <w:r w:rsidR="0013032F">
        <w:t xml:space="preserve"> </w:t>
      </w:r>
      <w:r>
        <w:t>of</w:t>
      </w:r>
      <w:r w:rsidR="0013032F">
        <w:t xml:space="preserve"> </w:t>
      </w:r>
      <w:r>
        <w:t>$9</w:t>
      </w:r>
      <w:r w:rsidR="0013032F">
        <w:t xml:space="preserve"> </w:t>
      </w:r>
      <w:r>
        <w:t>billion</w:t>
      </w:r>
      <w:r w:rsidR="0013032F">
        <w:t xml:space="preserve"> </w:t>
      </w:r>
      <w:r>
        <w:t>with</w:t>
      </w:r>
      <w:r w:rsidR="0013032F">
        <w:t xml:space="preserve"> </w:t>
      </w:r>
      <w:r>
        <w:t>net</w:t>
      </w:r>
      <w:r w:rsidR="0013032F">
        <w:t xml:space="preserve"> </w:t>
      </w:r>
      <w:r>
        <w:t>zero</w:t>
      </w:r>
      <w:r w:rsidR="0013032F">
        <w:t xml:space="preserve"> </w:t>
      </w:r>
      <w:r>
        <w:t>emissions</w:t>
      </w:r>
      <w:r w:rsidR="0013032F">
        <w:t xml:space="preserve"> </w:t>
      </w:r>
    </w:p>
    <w:p w14:paraId="05AA32E8" w14:textId="6868DBE5" w:rsidR="00757772" w:rsidRDefault="00305D3C" w:rsidP="00A322DB">
      <w:pPr>
        <w:pStyle w:val="Bullet"/>
      </w:pPr>
      <w:r>
        <w:t>Successfully</w:t>
      </w:r>
      <w:r w:rsidR="0013032F">
        <w:t xml:space="preserve"> </w:t>
      </w:r>
      <w:r>
        <w:t>advocated</w:t>
      </w:r>
      <w:r w:rsidR="0013032F">
        <w:t xml:space="preserve"> </w:t>
      </w:r>
      <w:r>
        <w:t>for</w:t>
      </w:r>
      <w:r w:rsidR="0013032F">
        <w:t xml:space="preserve"> </w:t>
      </w:r>
      <w:r>
        <w:t>$1.25</w:t>
      </w:r>
      <w:r w:rsidR="0013032F">
        <w:t xml:space="preserve"> </w:t>
      </w:r>
      <w:r>
        <w:t>million</w:t>
      </w:r>
      <w:r w:rsidR="0013032F">
        <w:t xml:space="preserve"> </w:t>
      </w:r>
      <w:r>
        <w:t>funding</w:t>
      </w:r>
      <w:r w:rsidR="0013032F">
        <w:t xml:space="preserve"> </w:t>
      </w:r>
      <w:r>
        <w:t>from</w:t>
      </w:r>
      <w:r w:rsidR="0013032F">
        <w:t xml:space="preserve"> </w:t>
      </w:r>
      <w:r>
        <w:rPr>
          <w:spacing w:val="-2"/>
        </w:rPr>
        <w:t>the</w:t>
      </w:r>
      <w:r w:rsidR="0013032F">
        <w:rPr>
          <w:spacing w:val="-2"/>
        </w:rPr>
        <w:t xml:space="preserve"> </w:t>
      </w:r>
      <w:r>
        <w:rPr>
          <w:spacing w:val="-2"/>
        </w:rPr>
        <w:t>Australian</w:t>
      </w:r>
      <w:r w:rsidR="0013032F">
        <w:rPr>
          <w:spacing w:val="-2"/>
        </w:rPr>
        <w:t xml:space="preserve"> </w:t>
      </w:r>
      <w:r>
        <w:rPr>
          <w:spacing w:val="-2"/>
        </w:rPr>
        <w:t>Government</w:t>
      </w:r>
      <w:r w:rsidR="0013032F">
        <w:rPr>
          <w:spacing w:val="-2"/>
        </w:rPr>
        <w:t xml:space="preserve"> </w:t>
      </w:r>
      <w:r>
        <w:rPr>
          <w:spacing w:val="-2"/>
        </w:rPr>
        <w:t>to</w:t>
      </w:r>
      <w:r w:rsidR="0013032F">
        <w:rPr>
          <w:spacing w:val="-2"/>
        </w:rPr>
        <w:t xml:space="preserve"> </w:t>
      </w:r>
      <w:r>
        <w:rPr>
          <w:spacing w:val="-2"/>
        </w:rPr>
        <w:t>support</w:t>
      </w:r>
      <w:r w:rsidR="0013032F">
        <w:rPr>
          <w:spacing w:val="-2"/>
        </w:rPr>
        <w:t xml:space="preserve"> </w:t>
      </w:r>
      <w:r>
        <w:rPr>
          <w:spacing w:val="-2"/>
        </w:rPr>
        <w:t>a</w:t>
      </w:r>
      <w:r w:rsidR="0013032F">
        <w:rPr>
          <w:spacing w:val="-2"/>
        </w:rPr>
        <w:t xml:space="preserve"> </w:t>
      </w:r>
      <w:r>
        <w:rPr>
          <w:spacing w:val="-2"/>
        </w:rPr>
        <w:t>new</w:t>
      </w:r>
      <w:r w:rsidR="0013032F">
        <w:rPr>
          <w:spacing w:val="-2"/>
        </w:rPr>
        <w:t xml:space="preserve"> </w:t>
      </w:r>
      <w:r>
        <w:rPr>
          <w:spacing w:val="-2"/>
        </w:rPr>
        <w:t>4G</w:t>
      </w:r>
      <w:r w:rsidR="0013032F">
        <w:rPr>
          <w:spacing w:val="-2"/>
        </w:rPr>
        <w:t xml:space="preserve"> </w:t>
      </w:r>
      <w:r>
        <w:rPr>
          <w:spacing w:val="-2"/>
        </w:rPr>
        <w:t>digital</w:t>
      </w:r>
      <w:r w:rsidR="0013032F">
        <w:rPr>
          <w:spacing w:val="-2"/>
        </w:rPr>
        <w:t xml:space="preserve"> </w:t>
      </w:r>
      <w:r>
        <w:t>network</w:t>
      </w:r>
      <w:r w:rsidR="0013032F">
        <w:t xml:space="preserve"> </w:t>
      </w:r>
      <w:r>
        <w:t>to</w:t>
      </w:r>
      <w:r w:rsidR="0013032F">
        <w:t xml:space="preserve"> </w:t>
      </w:r>
      <w:r>
        <w:t>be</w:t>
      </w:r>
      <w:r w:rsidR="0013032F">
        <w:t xml:space="preserve"> </w:t>
      </w:r>
      <w:r>
        <w:t>built</w:t>
      </w:r>
      <w:r w:rsidR="0013032F">
        <w:t xml:space="preserve"> </w:t>
      </w:r>
      <w:r>
        <w:t>across</w:t>
      </w:r>
      <w:r w:rsidR="0013032F">
        <w:t xml:space="preserve"> </w:t>
      </w:r>
      <w:r>
        <w:t>rural</w:t>
      </w:r>
      <w:r w:rsidR="0013032F">
        <w:t xml:space="preserve"> </w:t>
      </w:r>
      <w:r>
        <w:t>and</w:t>
      </w:r>
      <w:r w:rsidR="0013032F">
        <w:t xml:space="preserve"> </w:t>
      </w:r>
      <w:r>
        <w:t>remote</w:t>
      </w:r>
      <w:r w:rsidR="0013032F">
        <w:t xml:space="preserve"> </w:t>
      </w:r>
      <w:r>
        <w:t>districts</w:t>
      </w:r>
      <w:r w:rsidR="0013032F">
        <w:t xml:space="preserve"> </w:t>
      </w:r>
      <w:r>
        <w:t>of</w:t>
      </w:r>
      <w:r w:rsidR="0013032F">
        <w:t xml:space="preserve"> </w:t>
      </w:r>
      <w:r>
        <w:t>the</w:t>
      </w:r>
      <w:r w:rsidR="0013032F">
        <w:t xml:space="preserve"> </w:t>
      </w:r>
      <w:r>
        <w:t>region</w:t>
      </w:r>
    </w:p>
    <w:p w14:paraId="6D6F9611" w14:textId="0677C44D" w:rsidR="00757772" w:rsidRDefault="00305D3C" w:rsidP="00A322DB">
      <w:pPr>
        <w:pStyle w:val="Bullet"/>
      </w:pPr>
      <w:r>
        <w:t>Established</w:t>
      </w:r>
      <w:r w:rsidR="0013032F">
        <w:t xml:space="preserve"> </w:t>
      </w:r>
      <w:r>
        <w:t>a</w:t>
      </w:r>
      <w:r w:rsidR="0013032F">
        <w:t xml:space="preserve"> </w:t>
      </w:r>
      <w:r>
        <w:t>collaborative</w:t>
      </w:r>
      <w:r w:rsidR="0013032F">
        <w:t xml:space="preserve"> </w:t>
      </w:r>
      <w:r>
        <w:t>relationship</w:t>
      </w:r>
      <w:r w:rsidR="0013032F">
        <w:t xml:space="preserve"> </w:t>
      </w:r>
      <w:r>
        <w:t>with</w:t>
      </w:r>
      <w:r w:rsidR="0013032F">
        <w:t xml:space="preserve"> </w:t>
      </w:r>
      <w:r>
        <w:t>the</w:t>
      </w:r>
      <w:r w:rsidR="0013032F">
        <w:t xml:space="preserve"> </w:t>
      </w:r>
      <w:r>
        <w:t>Grampians</w:t>
      </w:r>
      <w:r w:rsidR="0013032F">
        <w:t xml:space="preserve"> </w:t>
      </w:r>
      <w:r>
        <w:t>Interim</w:t>
      </w:r>
      <w:r w:rsidR="0013032F">
        <w:t xml:space="preserve"> </w:t>
      </w:r>
      <w:r>
        <w:t>Advisory</w:t>
      </w:r>
      <w:r w:rsidR="0013032F">
        <w:t xml:space="preserve"> </w:t>
      </w:r>
      <w:r>
        <w:t>Committee</w:t>
      </w:r>
      <w:r w:rsidR="0013032F">
        <w:t xml:space="preserve"> </w:t>
      </w:r>
      <w:r>
        <w:t>on</w:t>
      </w:r>
      <w:r w:rsidR="0013032F">
        <w:t xml:space="preserve"> </w:t>
      </w:r>
      <w:r>
        <w:t>Mental</w:t>
      </w:r>
      <w:r w:rsidR="0013032F">
        <w:t xml:space="preserve"> </w:t>
      </w:r>
      <w:r>
        <w:t>Health</w:t>
      </w:r>
      <w:r w:rsidR="0013032F">
        <w:t xml:space="preserve"> </w:t>
      </w:r>
      <w:r>
        <w:t>and</w:t>
      </w:r>
      <w:r w:rsidR="0013032F">
        <w:t xml:space="preserve"> </w:t>
      </w:r>
      <w:r>
        <w:t>Wellbeing</w:t>
      </w:r>
      <w:r w:rsidR="0013032F">
        <w:t xml:space="preserve"> </w:t>
      </w:r>
      <w:r>
        <w:t>to</w:t>
      </w:r>
      <w:r w:rsidR="0013032F">
        <w:t xml:space="preserve"> </w:t>
      </w:r>
      <w:r>
        <w:t>uplift</w:t>
      </w:r>
      <w:r w:rsidR="0013032F">
        <w:t xml:space="preserve"> </w:t>
      </w:r>
      <w:r>
        <w:t>in-region</w:t>
      </w:r>
      <w:r w:rsidR="0013032F">
        <w:t xml:space="preserve"> </w:t>
      </w:r>
      <w:r>
        <w:t>mental</w:t>
      </w:r>
      <w:r w:rsidR="0013032F">
        <w:t xml:space="preserve"> </w:t>
      </w:r>
      <w:r>
        <w:t>health</w:t>
      </w:r>
      <w:r w:rsidR="0013032F">
        <w:t xml:space="preserve"> </w:t>
      </w:r>
      <w:r>
        <w:t>support</w:t>
      </w:r>
      <w:r w:rsidR="0013032F">
        <w:t xml:space="preserve"> </w:t>
      </w:r>
      <w:r>
        <w:t>services.</w:t>
      </w:r>
      <w:r w:rsidR="0013032F">
        <w:t xml:space="preserve"> </w:t>
      </w:r>
      <w:r>
        <w:t>This</w:t>
      </w:r>
      <w:r w:rsidR="0013032F">
        <w:t xml:space="preserve"> </w:t>
      </w:r>
      <w:r>
        <w:t>includes</w:t>
      </w:r>
      <w:r w:rsidR="0013032F">
        <w:t xml:space="preserve"> </w:t>
      </w:r>
      <w:r>
        <w:t>the</w:t>
      </w:r>
      <w:r w:rsidR="0013032F">
        <w:t xml:space="preserve"> </w:t>
      </w:r>
      <w:r>
        <w:t>future</w:t>
      </w:r>
      <w:r w:rsidR="0013032F">
        <w:t xml:space="preserve"> </w:t>
      </w:r>
      <w:r>
        <w:t>establishment</w:t>
      </w:r>
      <w:r w:rsidR="0013032F">
        <w:t xml:space="preserve"> </w:t>
      </w:r>
      <w:r>
        <w:t>of</w:t>
      </w:r>
      <w:r w:rsidR="0013032F">
        <w:t xml:space="preserve"> </w:t>
      </w:r>
      <w:r>
        <w:t>a</w:t>
      </w:r>
      <w:r w:rsidR="0013032F">
        <w:t xml:space="preserve"> </w:t>
      </w:r>
      <w:r>
        <w:t>regional</w:t>
      </w:r>
      <w:r w:rsidR="0013032F">
        <w:t xml:space="preserve"> </w:t>
      </w:r>
      <w:r>
        <w:t>mental</w:t>
      </w:r>
      <w:r w:rsidR="0013032F">
        <w:t xml:space="preserve"> </w:t>
      </w:r>
      <w:r>
        <w:t>telehealth</w:t>
      </w:r>
      <w:r w:rsidR="0013032F">
        <w:t xml:space="preserve"> </w:t>
      </w:r>
      <w:r>
        <w:t>service</w:t>
      </w:r>
    </w:p>
    <w:p w14:paraId="6CDCF552" w14:textId="19C8DCA6" w:rsidR="00757772" w:rsidRDefault="00305D3C" w:rsidP="00A322DB">
      <w:pPr>
        <w:pStyle w:val="Bullet"/>
      </w:pPr>
      <w:r>
        <w:t>Commissioned</w:t>
      </w:r>
      <w:r w:rsidR="0013032F">
        <w:t xml:space="preserve"> </w:t>
      </w:r>
      <w:r>
        <w:t>the</w:t>
      </w:r>
      <w:r w:rsidR="0013032F">
        <w:t xml:space="preserve"> </w:t>
      </w:r>
      <w:r>
        <w:t>Sustainable</w:t>
      </w:r>
      <w:r w:rsidR="0013032F">
        <w:t xml:space="preserve"> </w:t>
      </w:r>
      <w:r>
        <w:t>Childcare</w:t>
      </w:r>
      <w:r w:rsidR="0013032F">
        <w:t xml:space="preserve"> </w:t>
      </w:r>
      <w:r>
        <w:t>for</w:t>
      </w:r>
      <w:r w:rsidR="0013032F">
        <w:t xml:space="preserve"> </w:t>
      </w:r>
      <w:r>
        <w:t>Rural</w:t>
      </w:r>
      <w:r w:rsidR="0013032F">
        <w:t xml:space="preserve"> </w:t>
      </w:r>
      <w:r>
        <w:rPr>
          <w:spacing w:val="-2"/>
        </w:rPr>
        <w:t>Kids</w:t>
      </w:r>
      <w:r w:rsidR="0013032F">
        <w:rPr>
          <w:spacing w:val="-2"/>
        </w:rPr>
        <w:t xml:space="preserve"> </w:t>
      </w:r>
      <w:r>
        <w:rPr>
          <w:spacing w:val="-2"/>
        </w:rPr>
        <w:t>project</w:t>
      </w:r>
      <w:r w:rsidR="0013032F">
        <w:rPr>
          <w:spacing w:val="-2"/>
        </w:rPr>
        <w:t xml:space="preserve"> </w:t>
      </w:r>
      <w:r>
        <w:rPr>
          <w:spacing w:val="-2"/>
        </w:rPr>
        <w:t>to</w:t>
      </w:r>
      <w:r w:rsidR="0013032F">
        <w:rPr>
          <w:spacing w:val="-2"/>
        </w:rPr>
        <w:t xml:space="preserve"> </w:t>
      </w:r>
      <w:r>
        <w:rPr>
          <w:spacing w:val="-2"/>
        </w:rPr>
        <w:t>be</w:t>
      </w:r>
      <w:r w:rsidR="0013032F">
        <w:rPr>
          <w:spacing w:val="-2"/>
        </w:rPr>
        <w:t xml:space="preserve"> </w:t>
      </w:r>
      <w:r>
        <w:rPr>
          <w:spacing w:val="-2"/>
        </w:rPr>
        <w:t>delivered</w:t>
      </w:r>
      <w:r w:rsidR="0013032F">
        <w:rPr>
          <w:spacing w:val="-2"/>
        </w:rPr>
        <w:t xml:space="preserve"> </w:t>
      </w:r>
      <w:r>
        <w:rPr>
          <w:spacing w:val="-2"/>
        </w:rPr>
        <w:t>across</w:t>
      </w:r>
      <w:r w:rsidR="0013032F">
        <w:rPr>
          <w:spacing w:val="-2"/>
        </w:rPr>
        <w:t xml:space="preserve"> </w:t>
      </w:r>
      <w:r>
        <w:rPr>
          <w:spacing w:val="-2"/>
        </w:rPr>
        <w:t>Wimmera</w:t>
      </w:r>
      <w:r w:rsidR="0013032F">
        <w:rPr>
          <w:spacing w:val="-2"/>
        </w:rPr>
        <w:t xml:space="preserve"> </w:t>
      </w:r>
      <w:r>
        <w:rPr>
          <w:spacing w:val="-2"/>
        </w:rPr>
        <w:t>Southern</w:t>
      </w:r>
      <w:r w:rsidR="0013032F">
        <w:rPr>
          <w:spacing w:val="-2"/>
        </w:rPr>
        <w:t xml:space="preserve"> </w:t>
      </w:r>
      <w:r>
        <w:t>Mallee,</w:t>
      </w:r>
      <w:r w:rsidR="0013032F">
        <w:t xml:space="preserve"> </w:t>
      </w:r>
      <w:r>
        <w:t>Mallee</w:t>
      </w:r>
      <w:r w:rsidR="0013032F">
        <w:t xml:space="preserve"> </w:t>
      </w:r>
      <w:r>
        <w:t>and</w:t>
      </w:r>
      <w:r w:rsidR="0013032F">
        <w:t xml:space="preserve"> </w:t>
      </w:r>
      <w:r>
        <w:t>the</w:t>
      </w:r>
      <w:r w:rsidR="0013032F">
        <w:t xml:space="preserve"> </w:t>
      </w:r>
      <w:r>
        <w:t>Loddon</w:t>
      </w:r>
      <w:r w:rsidR="0013032F">
        <w:t xml:space="preserve"> </w:t>
      </w:r>
      <w:r>
        <w:t>Shire</w:t>
      </w:r>
      <w:r w:rsidR="0013032F">
        <w:t xml:space="preserve"> </w:t>
      </w:r>
      <w:r>
        <w:t>working</w:t>
      </w:r>
      <w:r w:rsidR="0013032F">
        <w:t xml:space="preserve"> </w:t>
      </w:r>
      <w:r>
        <w:t>with</w:t>
      </w:r>
      <w:r w:rsidR="0013032F">
        <w:t xml:space="preserve"> </w:t>
      </w:r>
      <w:r>
        <w:rPr>
          <w:spacing w:val="-2"/>
        </w:rPr>
        <w:t>10</w:t>
      </w:r>
      <w:r w:rsidR="0013032F">
        <w:rPr>
          <w:spacing w:val="-2"/>
        </w:rPr>
        <w:t xml:space="preserve"> </w:t>
      </w:r>
      <w:r>
        <w:rPr>
          <w:spacing w:val="-2"/>
        </w:rPr>
        <w:t>rural</w:t>
      </w:r>
      <w:r w:rsidR="0013032F">
        <w:rPr>
          <w:spacing w:val="-2"/>
        </w:rPr>
        <w:t xml:space="preserve"> </w:t>
      </w:r>
      <w:r>
        <w:rPr>
          <w:spacing w:val="-2"/>
        </w:rPr>
        <w:t>township</w:t>
      </w:r>
      <w:r w:rsidR="0013032F">
        <w:rPr>
          <w:spacing w:val="-2"/>
        </w:rPr>
        <w:t xml:space="preserve"> </w:t>
      </w:r>
      <w:r>
        <w:rPr>
          <w:spacing w:val="-2"/>
        </w:rPr>
        <w:t>communities</w:t>
      </w:r>
      <w:r w:rsidR="0013032F">
        <w:rPr>
          <w:spacing w:val="-2"/>
        </w:rPr>
        <w:t xml:space="preserve"> </w:t>
      </w:r>
      <w:r>
        <w:rPr>
          <w:spacing w:val="-2"/>
        </w:rPr>
        <w:t>to</w:t>
      </w:r>
      <w:r w:rsidR="0013032F">
        <w:rPr>
          <w:spacing w:val="-2"/>
        </w:rPr>
        <w:t xml:space="preserve"> </w:t>
      </w:r>
      <w:r>
        <w:rPr>
          <w:spacing w:val="-2"/>
        </w:rPr>
        <w:t>identify</w:t>
      </w:r>
      <w:r w:rsidR="0013032F">
        <w:rPr>
          <w:spacing w:val="-2"/>
        </w:rPr>
        <w:t xml:space="preserve"> </w:t>
      </w:r>
      <w:r>
        <w:rPr>
          <w:spacing w:val="-2"/>
        </w:rPr>
        <w:t>customised</w:t>
      </w:r>
      <w:r w:rsidR="0013032F">
        <w:rPr>
          <w:spacing w:val="-2"/>
        </w:rPr>
        <w:t xml:space="preserve"> </w:t>
      </w:r>
      <w:r>
        <w:t>childcare</w:t>
      </w:r>
      <w:r w:rsidR="0013032F">
        <w:t xml:space="preserve"> </w:t>
      </w:r>
      <w:r>
        <w:t>solutions</w:t>
      </w:r>
    </w:p>
    <w:p w14:paraId="73BC4166" w14:textId="49C59AD4" w:rsidR="00757772" w:rsidRDefault="00305D3C" w:rsidP="00A322DB">
      <w:pPr>
        <w:pStyle w:val="Bulletlast"/>
      </w:pPr>
      <w:r>
        <w:t>Continued</w:t>
      </w:r>
      <w:r w:rsidR="0013032F">
        <w:t xml:space="preserve"> </w:t>
      </w:r>
      <w:r>
        <w:t>advocating</w:t>
      </w:r>
      <w:r w:rsidR="0013032F">
        <w:t xml:space="preserve"> </w:t>
      </w:r>
      <w:r>
        <w:t>for</w:t>
      </w:r>
      <w:r w:rsidR="0013032F">
        <w:t xml:space="preserve"> </w:t>
      </w:r>
      <w:r>
        <w:t>12</w:t>
      </w:r>
      <w:r w:rsidR="0013032F">
        <w:t xml:space="preserve"> </w:t>
      </w:r>
      <w:r>
        <w:t>new-build</w:t>
      </w:r>
      <w:r w:rsidR="0013032F">
        <w:t xml:space="preserve"> </w:t>
      </w:r>
      <w:r>
        <w:t>family</w:t>
      </w:r>
      <w:r w:rsidR="0013032F">
        <w:t xml:space="preserve"> </w:t>
      </w:r>
      <w:r>
        <w:t>cris</w:t>
      </w:r>
      <w:r>
        <w:t>is</w:t>
      </w:r>
      <w:r w:rsidR="0013032F">
        <w:t xml:space="preserve"> </w:t>
      </w:r>
      <w:r>
        <w:t>accommodation</w:t>
      </w:r>
      <w:r w:rsidR="0013032F">
        <w:t xml:space="preserve"> </w:t>
      </w:r>
      <w:r>
        <w:t>residences</w:t>
      </w:r>
      <w:r w:rsidR="0013032F">
        <w:t xml:space="preserve"> </w:t>
      </w:r>
      <w:r>
        <w:t>across</w:t>
      </w:r>
      <w:r w:rsidR="0013032F">
        <w:t xml:space="preserve"> </w:t>
      </w:r>
      <w:r>
        <w:t>the</w:t>
      </w:r>
      <w:r w:rsidR="0013032F">
        <w:t xml:space="preserve"> </w:t>
      </w:r>
      <w:r>
        <w:t>region</w:t>
      </w:r>
      <w:r w:rsidR="0013032F">
        <w:t xml:space="preserve"> </w:t>
      </w:r>
      <w:r>
        <w:t>over</w:t>
      </w:r>
      <w:r w:rsidR="0013032F">
        <w:t xml:space="preserve"> </w:t>
      </w:r>
      <w:r>
        <w:t>4</w:t>
      </w:r>
      <w:r w:rsidR="0013032F">
        <w:t xml:space="preserve"> </w:t>
      </w:r>
      <w:r>
        <w:t>years,</w:t>
      </w:r>
      <w:r w:rsidR="0013032F">
        <w:t xml:space="preserve"> </w:t>
      </w:r>
      <w:r>
        <w:t>reflecting</w:t>
      </w:r>
      <w:r w:rsidR="0013032F">
        <w:t xml:space="preserve"> </w:t>
      </w:r>
      <w:r>
        <w:t>that</w:t>
      </w:r>
      <w:r w:rsidR="0013032F">
        <w:t xml:space="preserve"> </w:t>
      </w:r>
      <w:r>
        <w:t>no</w:t>
      </w:r>
      <w:r w:rsidR="0013032F">
        <w:t xml:space="preserve"> </w:t>
      </w:r>
      <w:r>
        <w:t>suitable</w:t>
      </w:r>
      <w:r w:rsidR="0013032F">
        <w:t xml:space="preserve"> </w:t>
      </w:r>
      <w:r>
        <w:t>dwellings</w:t>
      </w:r>
      <w:r w:rsidR="0013032F">
        <w:t xml:space="preserve"> </w:t>
      </w:r>
      <w:r>
        <w:t>are</w:t>
      </w:r>
      <w:r w:rsidR="0013032F">
        <w:t xml:space="preserve"> </w:t>
      </w:r>
      <w:r>
        <w:t>available</w:t>
      </w:r>
      <w:r w:rsidR="0013032F">
        <w:t xml:space="preserve"> </w:t>
      </w:r>
      <w:r>
        <w:t>in</w:t>
      </w:r>
      <w:r w:rsidR="0013032F">
        <w:t xml:space="preserve"> </w:t>
      </w:r>
      <w:r>
        <w:t>the</w:t>
      </w:r>
      <w:r w:rsidR="0013032F">
        <w:t xml:space="preserve"> </w:t>
      </w:r>
      <w:r>
        <w:t>local</w:t>
      </w:r>
      <w:r w:rsidR="0013032F">
        <w:t xml:space="preserve"> </w:t>
      </w:r>
      <w:r>
        <w:t>housing</w:t>
      </w:r>
      <w:r w:rsidR="0013032F">
        <w:t xml:space="preserve"> </w:t>
      </w:r>
      <w:r>
        <w:t>market.</w:t>
      </w:r>
    </w:p>
    <w:p w14:paraId="1825D494" w14:textId="06F4C1F4" w:rsidR="00757772" w:rsidRDefault="00A322DB" w:rsidP="00A322DB">
      <w:pPr>
        <w:pStyle w:val="Bullet"/>
      </w:pPr>
      <w:r>
        <w:t>48,166 Population (2022)</w:t>
      </w:r>
    </w:p>
    <w:p w14:paraId="1944D4EE" w14:textId="36E92255" w:rsidR="00A322DB" w:rsidRPr="00A322DB" w:rsidRDefault="00A322DB" w:rsidP="00A322DB">
      <w:pPr>
        <w:pStyle w:val="Bullet"/>
        <w:rPr>
          <w:lang w:val="en-GB" w:eastAsia="en-AU"/>
        </w:rPr>
      </w:pPr>
      <w:r w:rsidRPr="00A322DB">
        <w:rPr>
          <w:lang w:val="en-GB" w:eastAsia="en-AU"/>
        </w:rPr>
        <w:t xml:space="preserve">-8.7% Population growth (2022–2036) </w:t>
      </w:r>
    </w:p>
    <w:p w14:paraId="76C16B01" w14:textId="22DDCE1A" w:rsidR="00A322DB" w:rsidRDefault="00A322DB" w:rsidP="00A322DB">
      <w:pPr>
        <w:pStyle w:val="Bulletlast"/>
      </w:pPr>
      <w:r>
        <w:t>$3.2B Gross Regional Product (2022)</w:t>
      </w:r>
    </w:p>
    <w:p w14:paraId="7E58E23E" w14:textId="43C4EA96" w:rsidR="00757772" w:rsidRPr="00F22F9E" w:rsidRDefault="00305D3C" w:rsidP="00A322DB">
      <w:pPr>
        <w:pStyle w:val="Heading3"/>
      </w:pPr>
      <w:r w:rsidRPr="00F22F9E">
        <w:lastRenderedPageBreak/>
        <w:t>Case</w:t>
      </w:r>
      <w:r w:rsidR="0013032F">
        <w:t xml:space="preserve"> </w:t>
      </w:r>
      <w:r w:rsidRPr="00F22F9E">
        <w:t>study:</w:t>
      </w:r>
    </w:p>
    <w:p w14:paraId="32EC525F" w14:textId="3FFAB6F4" w:rsidR="00757772" w:rsidRPr="00A322DB" w:rsidRDefault="00305D3C" w:rsidP="00A322DB">
      <w:pPr>
        <w:pStyle w:val="Normalbeforebullets"/>
        <w:rPr>
          <w:b/>
          <w:bCs/>
        </w:rPr>
      </w:pPr>
      <w:r w:rsidRPr="00A322DB">
        <w:rPr>
          <w:b/>
          <w:bCs/>
        </w:rPr>
        <w:t>A</w:t>
      </w:r>
      <w:r w:rsidR="0013032F" w:rsidRPr="00A322DB">
        <w:rPr>
          <w:b/>
          <w:bCs/>
        </w:rPr>
        <w:t xml:space="preserve"> </w:t>
      </w:r>
      <w:r w:rsidRPr="00A322DB">
        <w:rPr>
          <w:b/>
          <w:bCs/>
        </w:rPr>
        <w:t>vision</w:t>
      </w:r>
      <w:r w:rsidR="0013032F" w:rsidRPr="00A322DB">
        <w:rPr>
          <w:b/>
          <w:bCs/>
        </w:rPr>
        <w:t xml:space="preserve"> </w:t>
      </w:r>
      <w:r w:rsidRPr="00A322DB">
        <w:rPr>
          <w:b/>
          <w:bCs/>
        </w:rPr>
        <w:t>for</w:t>
      </w:r>
      <w:r w:rsidR="0013032F" w:rsidRPr="00A322DB">
        <w:rPr>
          <w:b/>
          <w:bCs/>
        </w:rPr>
        <w:t xml:space="preserve"> </w:t>
      </w:r>
      <w:r w:rsidRPr="00A322DB">
        <w:rPr>
          <w:b/>
          <w:bCs/>
        </w:rPr>
        <w:t>the</w:t>
      </w:r>
      <w:r w:rsidR="0013032F" w:rsidRPr="00A322DB">
        <w:rPr>
          <w:b/>
          <w:bCs/>
        </w:rPr>
        <w:t xml:space="preserve"> </w:t>
      </w:r>
      <w:r w:rsidRPr="00A322DB">
        <w:rPr>
          <w:b/>
          <w:bCs/>
        </w:rPr>
        <w:t>Wimmera</w:t>
      </w:r>
      <w:r w:rsidR="0013032F" w:rsidRPr="00A322DB">
        <w:rPr>
          <w:b/>
          <w:bCs/>
        </w:rPr>
        <w:t xml:space="preserve"> </w:t>
      </w:r>
      <w:r w:rsidRPr="00A322DB">
        <w:rPr>
          <w:b/>
          <w:bCs/>
        </w:rPr>
        <w:t>Southern</w:t>
      </w:r>
      <w:r w:rsidR="0013032F" w:rsidRPr="00A322DB">
        <w:rPr>
          <w:b/>
          <w:bCs/>
        </w:rPr>
        <w:t xml:space="preserve"> </w:t>
      </w:r>
      <w:r w:rsidRPr="00A322DB">
        <w:rPr>
          <w:b/>
          <w:bCs/>
        </w:rPr>
        <w:t>Mallee</w:t>
      </w:r>
      <w:r w:rsidR="0013032F" w:rsidRPr="00A322DB">
        <w:rPr>
          <w:b/>
          <w:bCs/>
        </w:rPr>
        <w:t xml:space="preserve"> </w:t>
      </w:r>
      <w:r w:rsidRPr="00A322DB">
        <w:rPr>
          <w:b/>
          <w:bCs/>
        </w:rPr>
        <w:t>region</w:t>
      </w:r>
    </w:p>
    <w:p w14:paraId="2F20C514" w14:textId="317A6792" w:rsidR="00757772" w:rsidRPr="00763803" w:rsidRDefault="00305D3C" w:rsidP="00763803">
      <w:pPr>
        <w:rPr>
          <w:i/>
          <w:iCs/>
        </w:rPr>
      </w:pPr>
      <w:r w:rsidRPr="00763803">
        <w:rPr>
          <w:i/>
          <w:iCs/>
        </w:rPr>
        <w:t>‘By</w:t>
      </w:r>
      <w:r w:rsidR="0013032F" w:rsidRPr="00763803">
        <w:rPr>
          <w:i/>
          <w:iCs/>
        </w:rPr>
        <w:t xml:space="preserve"> </w:t>
      </w:r>
      <w:r w:rsidRPr="00763803">
        <w:rPr>
          <w:i/>
          <w:iCs/>
        </w:rPr>
        <w:t>2052</w:t>
      </w:r>
      <w:r w:rsidR="0013032F" w:rsidRPr="00763803">
        <w:rPr>
          <w:i/>
          <w:iCs/>
        </w:rPr>
        <w:t xml:space="preserve"> </w:t>
      </w:r>
      <w:r w:rsidRPr="00763803">
        <w:rPr>
          <w:i/>
          <w:iCs/>
        </w:rPr>
        <w:t>Wimmera</w:t>
      </w:r>
      <w:r w:rsidR="0013032F" w:rsidRPr="00763803">
        <w:rPr>
          <w:i/>
          <w:iCs/>
        </w:rPr>
        <w:t xml:space="preserve"> </w:t>
      </w:r>
      <w:r w:rsidRPr="00763803">
        <w:rPr>
          <w:i/>
          <w:iCs/>
        </w:rPr>
        <w:t>Southern</w:t>
      </w:r>
      <w:r w:rsidR="0013032F" w:rsidRPr="00763803">
        <w:rPr>
          <w:i/>
          <w:iCs/>
        </w:rPr>
        <w:t xml:space="preserve"> </w:t>
      </w:r>
      <w:r w:rsidRPr="00763803">
        <w:rPr>
          <w:i/>
          <w:iCs/>
        </w:rPr>
        <w:t>Mallee</w:t>
      </w:r>
      <w:r w:rsidR="0013032F" w:rsidRPr="00763803">
        <w:rPr>
          <w:i/>
          <w:iCs/>
        </w:rPr>
        <w:t xml:space="preserve"> </w:t>
      </w:r>
      <w:r w:rsidRPr="00763803">
        <w:rPr>
          <w:i/>
          <w:iCs/>
        </w:rPr>
        <w:t>will</w:t>
      </w:r>
      <w:r w:rsidR="0013032F" w:rsidRPr="00763803">
        <w:rPr>
          <w:i/>
          <w:iCs/>
        </w:rPr>
        <w:t xml:space="preserve"> </w:t>
      </w:r>
      <w:r w:rsidRPr="00763803">
        <w:rPr>
          <w:i/>
          <w:iCs/>
        </w:rPr>
        <w:t>have</w:t>
      </w:r>
      <w:r w:rsidR="0013032F" w:rsidRPr="00763803">
        <w:rPr>
          <w:i/>
          <w:iCs/>
        </w:rPr>
        <w:t xml:space="preserve"> </w:t>
      </w:r>
      <w:r w:rsidRPr="00763803">
        <w:rPr>
          <w:i/>
          <w:iCs/>
        </w:rPr>
        <w:t>a</w:t>
      </w:r>
      <w:r w:rsidR="0013032F" w:rsidRPr="00763803">
        <w:rPr>
          <w:i/>
          <w:iCs/>
        </w:rPr>
        <w:t xml:space="preserve"> </w:t>
      </w:r>
      <w:r w:rsidRPr="00763803">
        <w:rPr>
          <w:i/>
          <w:iCs/>
        </w:rPr>
        <w:t>population</w:t>
      </w:r>
      <w:r w:rsidR="0013032F" w:rsidRPr="00763803">
        <w:rPr>
          <w:i/>
          <w:iCs/>
        </w:rPr>
        <w:t xml:space="preserve"> </w:t>
      </w:r>
      <w:r w:rsidRPr="00763803">
        <w:rPr>
          <w:i/>
          <w:iCs/>
        </w:rPr>
        <w:t>of</w:t>
      </w:r>
      <w:r w:rsidR="0013032F" w:rsidRPr="00763803">
        <w:rPr>
          <w:i/>
          <w:iCs/>
        </w:rPr>
        <w:t xml:space="preserve"> </w:t>
      </w:r>
      <w:r w:rsidRPr="00763803">
        <w:rPr>
          <w:i/>
          <w:iCs/>
        </w:rPr>
        <w:t>90,000;</w:t>
      </w:r>
      <w:r w:rsidR="0013032F" w:rsidRPr="00763803">
        <w:rPr>
          <w:i/>
          <w:iCs/>
        </w:rPr>
        <w:t xml:space="preserve"> </w:t>
      </w:r>
      <w:r w:rsidRPr="00763803">
        <w:rPr>
          <w:i/>
          <w:iCs/>
        </w:rPr>
        <w:t>gross</w:t>
      </w:r>
      <w:r w:rsidR="0013032F" w:rsidRPr="00763803">
        <w:rPr>
          <w:i/>
          <w:iCs/>
        </w:rPr>
        <w:t xml:space="preserve"> </w:t>
      </w:r>
      <w:r w:rsidRPr="00763803">
        <w:rPr>
          <w:i/>
          <w:iCs/>
        </w:rPr>
        <w:t>annual</w:t>
      </w:r>
      <w:r w:rsidR="0013032F" w:rsidRPr="00763803">
        <w:rPr>
          <w:i/>
          <w:iCs/>
        </w:rPr>
        <w:t xml:space="preserve"> </w:t>
      </w:r>
      <w:r w:rsidRPr="00763803">
        <w:rPr>
          <w:i/>
          <w:iCs/>
        </w:rPr>
        <w:t>regional</w:t>
      </w:r>
      <w:r w:rsidR="0013032F" w:rsidRPr="00763803">
        <w:rPr>
          <w:i/>
          <w:iCs/>
        </w:rPr>
        <w:t xml:space="preserve"> </w:t>
      </w:r>
      <w:r w:rsidRPr="00763803">
        <w:rPr>
          <w:i/>
          <w:iCs/>
        </w:rPr>
        <w:t>output</w:t>
      </w:r>
      <w:r w:rsidR="0013032F" w:rsidRPr="00763803">
        <w:rPr>
          <w:i/>
          <w:iCs/>
        </w:rPr>
        <w:t xml:space="preserve"> </w:t>
      </w:r>
      <w:r w:rsidRPr="00763803">
        <w:rPr>
          <w:i/>
          <w:iCs/>
        </w:rPr>
        <w:t>of</w:t>
      </w:r>
      <w:r w:rsidR="0013032F" w:rsidRPr="00763803">
        <w:rPr>
          <w:i/>
          <w:iCs/>
        </w:rPr>
        <w:t xml:space="preserve"> </w:t>
      </w:r>
      <w:r w:rsidRPr="00763803">
        <w:rPr>
          <w:i/>
          <w:iCs/>
        </w:rPr>
        <w:t>$9</w:t>
      </w:r>
      <w:r w:rsidR="0013032F" w:rsidRPr="00763803">
        <w:rPr>
          <w:i/>
          <w:iCs/>
        </w:rPr>
        <w:t xml:space="preserve"> </w:t>
      </w:r>
      <w:r w:rsidRPr="00763803">
        <w:rPr>
          <w:i/>
          <w:iCs/>
        </w:rPr>
        <w:t>billion;</w:t>
      </w:r>
      <w:r w:rsidR="0013032F" w:rsidRPr="00763803">
        <w:rPr>
          <w:i/>
          <w:iCs/>
        </w:rPr>
        <w:t xml:space="preserve"> </w:t>
      </w:r>
      <w:r w:rsidRPr="00763803">
        <w:rPr>
          <w:i/>
          <w:iCs/>
        </w:rPr>
        <w:t>and</w:t>
      </w:r>
      <w:r w:rsidR="0013032F" w:rsidRPr="00763803">
        <w:rPr>
          <w:i/>
          <w:iCs/>
        </w:rPr>
        <w:t xml:space="preserve"> </w:t>
      </w:r>
      <w:r w:rsidRPr="00763803">
        <w:rPr>
          <w:i/>
          <w:iCs/>
        </w:rPr>
        <w:t>net</w:t>
      </w:r>
      <w:r w:rsidR="0013032F" w:rsidRPr="00763803">
        <w:rPr>
          <w:i/>
          <w:iCs/>
        </w:rPr>
        <w:t xml:space="preserve"> </w:t>
      </w:r>
      <w:r w:rsidRPr="00763803">
        <w:rPr>
          <w:i/>
          <w:iCs/>
        </w:rPr>
        <w:t>zero</w:t>
      </w:r>
      <w:r w:rsidR="0013032F" w:rsidRPr="00763803">
        <w:rPr>
          <w:i/>
          <w:iCs/>
        </w:rPr>
        <w:t xml:space="preserve"> </w:t>
      </w:r>
      <w:r w:rsidRPr="00763803">
        <w:rPr>
          <w:i/>
          <w:iCs/>
        </w:rPr>
        <w:t>emissions.’</w:t>
      </w:r>
    </w:p>
    <w:p w14:paraId="17355D72" w14:textId="059929F9" w:rsidR="00757772" w:rsidRPr="00763803" w:rsidRDefault="00305D3C" w:rsidP="00763803">
      <w:r w:rsidRPr="00763803">
        <w:rPr>
          <w:i/>
          <w:iCs/>
        </w:rPr>
        <w:t>Horizon</w:t>
      </w:r>
      <w:r w:rsidR="0013032F" w:rsidRPr="00763803">
        <w:rPr>
          <w:i/>
          <w:iCs/>
        </w:rPr>
        <w:t xml:space="preserve"> </w:t>
      </w:r>
      <w:r w:rsidRPr="00763803">
        <w:rPr>
          <w:i/>
          <w:iCs/>
        </w:rPr>
        <w:t>Highway:</w:t>
      </w:r>
      <w:r w:rsidR="0013032F" w:rsidRPr="00763803">
        <w:rPr>
          <w:i/>
          <w:iCs/>
        </w:rPr>
        <w:t xml:space="preserve"> </w:t>
      </w:r>
      <w:r w:rsidRPr="00763803">
        <w:rPr>
          <w:i/>
          <w:iCs/>
        </w:rPr>
        <w:t>Wimmera</w:t>
      </w:r>
      <w:r w:rsidR="0013032F" w:rsidRPr="00763803">
        <w:rPr>
          <w:i/>
          <w:iCs/>
        </w:rPr>
        <w:t xml:space="preserve"> </w:t>
      </w:r>
      <w:r w:rsidRPr="00763803">
        <w:rPr>
          <w:i/>
          <w:iCs/>
        </w:rPr>
        <w:t>Southern</w:t>
      </w:r>
      <w:r w:rsidR="0013032F" w:rsidRPr="00763803">
        <w:rPr>
          <w:i/>
          <w:iCs/>
        </w:rPr>
        <w:t xml:space="preserve"> </w:t>
      </w:r>
      <w:r w:rsidRPr="00763803">
        <w:rPr>
          <w:i/>
          <w:iCs/>
        </w:rPr>
        <w:t>Mallee</w:t>
      </w:r>
      <w:r w:rsidR="0013032F" w:rsidRPr="00763803">
        <w:rPr>
          <w:i/>
          <w:iCs/>
        </w:rPr>
        <w:t xml:space="preserve"> </w:t>
      </w:r>
      <w:r w:rsidRPr="00763803">
        <w:rPr>
          <w:i/>
          <w:iCs/>
        </w:rPr>
        <w:t>30-Year</w:t>
      </w:r>
      <w:r w:rsidR="0013032F" w:rsidRPr="00763803">
        <w:rPr>
          <w:i/>
          <w:iCs/>
        </w:rPr>
        <w:t xml:space="preserve"> </w:t>
      </w:r>
      <w:r w:rsidRPr="00763803">
        <w:rPr>
          <w:i/>
          <w:iCs/>
        </w:rPr>
        <w:t>Vision</w:t>
      </w:r>
      <w:r w:rsidR="0013032F" w:rsidRPr="00763803">
        <w:rPr>
          <w:i/>
          <w:iCs/>
        </w:rPr>
        <w:t xml:space="preserve"> </w:t>
      </w:r>
      <w:r w:rsidRPr="00763803">
        <w:rPr>
          <w:i/>
          <w:iCs/>
        </w:rPr>
        <w:t>and</w:t>
      </w:r>
      <w:r w:rsidR="0013032F" w:rsidRPr="00763803">
        <w:rPr>
          <w:i/>
          <w:iCs/>
        </w:rPr>
        <w:t xml:space="preserve"> </w:t>
      </w:r>
      <w:r w:rsidRPr="00763803">
        <w:rPr>
          <w:i/>
          <w:iCs/>
        </w:rPr>
        <w:t>Roadmap</w:t>
      </w:r>
      <w:r w:rsidR="0013032F" w:rsidRPr="00763803">
        <w:t xml:space="preserve"> </w:t>
      </w:r>
      <w:r w:rsidRPr="00763803">
        <w:t>is</w:t>
      </w:r>
      <w:r w:rsidR="0013032F" w:rsidRPr="00763803">
        <w:t xml:space="preserve"> </w:t>
      </w:r>
      <w:r w:rsidRPr="00763803">
        <w:t>an</w:t>
      </w:r>
      <w:r w:rsidR="0013032F" w:rsidRPr="00763803">
        <w:t xml:space="preserve"> </w:t>
      </w:r>
      <w:r w:rsidRPr="00763803">
        <w:t>ambitious</w:t>
      </w:r>
      <w:r w:rsidR="0013032F" w:rsidRPr="00763803">
        <w:t xml:space="preserve"> </w:t>
      </w:r>
      <w:r w:rsidRPr="00763803">
        <w:t>plan</w:t>
      </w:r>
      <w:r w:rsidR="0013032F" w:rsidRPr="00763803">
        <w:t xml:space="preserve"> </w:t>
      </w:r>
      <w:r w:rsidRPr="00763803">
        <w:t>to</w:t>
      </w:r>
      <w:r w:rsidR="0013032F" w:rsidRPr="00763803">
        <w:t xml:space="preserve"> </w:t>
      </w:r>
      <w:r w:rsidRPr="00763803">
        <w:t>reverse</w:t>
      </w:r>
      <w:r w:rsidR="0013032F" w:rsidRPr="00763803">
        <w:t xml:space="preserve"> </w:t>
      </w:r>
      <w:r w:rsidRPr="00763803">
        <w:t>decades</w:t>
      </w:r>
      <w:r w:rsidR="0013032F" w:rsidRPr="00763803">
        <w:t xml:space="preserve"> </w:t>
      </w:r>
      <w:r w:rsidRPr="00763803">
        <w:t>of</w:t>
      </w:r>
      <w:r w:rsidR="0013032F" w:rsidRPr="00763803">
        <w:t xml:space="preserve"> </w:t>
      </w:r>
      <w:r w:rsidRPr="00763803">
        <w:t>regional</w:t>
      </w:r>
      <w:r w:rsidR="0013032F" w:rsidRPr="00763803">
        <w:t xml:space="preserve"> </w:t>
      </w:r>
      <w:r w:rsidRPr="00763803">
        <w:t>population</w:t>
      </w:r>
      <w:r w:rsidR="0013032F" w:rsidRPr="00763803">
        <w:t xml:space="preserve"> </w:t>
      </w:r>
      <w:r w:rsidRPr="00763803">
        <w:t>decline.</w:t>
      </w:r>
      <w:r w:rsidR="0013032F" w:rsidRPr="00763803">
        <w:t xml:space="preserve"> </w:t>
      </w:r>
      <w:r w:rsidRPr="00763803">
        <w:t>It</w:t>
      </w:r>
      <w:r w:rsidR="0013032F" w:rsidRPr="00763803">
        <w:t xml:space="preserve"> </w:t>
      </w:r>
      <w:r w:rsidRPr="00763803">
        <w:t>seeks</w:t>
      </w:r>
      <w:r w:rsidR="0013032F" w:rsidRPr="00763803">
        <w:t xml:space="preserve"> </w:t>
      </w:r>
      <w:r w:rsidRPr="00763803">
        <w:t>to</w:t>
      </w:r>
      <w:r w:rsidR="0013032F" w:rsidRPr="00763803">
        <w:t xml:space="preserve"> </w:t>
      </w:r>
      <w:r w:rsidRPr="00763803">
        <w:t>achieve</w:t>
      </w:r>
      <w:r w:rsidR="0013032F" w:rsidRPr="00763803">
        <w:t xml:space="preserve"> </w:t>
      </w:r>
      <w:r w:rsidRPr="00763803">
        <w:t>this</w:t>
      </w:r>
      <w:r w:rsidR="0013032F" w:rsidRPr="00763803">
        <w:t xml:space="preserve"> </w:t>
      </w:r>
      <w:r w:rsidRPr="00763803">
        <w:t>by</w:t>
      </w:r>
      <w:r w:rsidR="0013032F" w:rsidRPr="00763803">
        <w:t xml:space="preserve"> </w:t>
      </w:r>
      <w:r w:rsidRPr="00763803">
        <w:t>realising</w:t>
      </w:r>
      <w:r w:rsidR="0013032F" w:rsidRPr="00763803">
        <w:t xml:space="preserve"> </w:t>
      </w:r>
      <w:r w:rsidRPr="00763803">
        <w:t>economic</w:t>
      </w:r>
      <w:r w:rsidR="0013032F" w:rsidRPr="00763803">
        <w:t xml:space="preserve"> </w:t>
      </w:r>
      <w:r w:rsidRPr="00763803">
        <w:t>opportunities</w:t>
      </w:r>
      <w:r w:rsidR="0013032F" w:rsidRPr="00763803">
        <w:t xml:space="preserve"> </w:t>
      </w:r>
      <w:r w:rsidRPr="00763803">
        <w:t>in</w:t>
      </w:r>
      <w:r w:rsidR="0013032F" w:rsidRPr="00763803">
        <w:t xml:space="preserve"> </w:t>
      </w:r>
      <w:r w:rsidRPr="00763803">
        <w:t>construction,</w:t>
      </w:r>
      <w:r w:rsidR="0013032F" w:rsidRPr="00763803">
        <w:t xml:space="preserve"> </w:t>
      </w:r>
      <w:r w:rsidRPr="00763803">
        <w:t>agriculture</w:t>
      </w:r>
      <w:r w:rsidR="0013032F" w:rsidRPr="00763803">
        <w:t xml:space="preserve"> </w:t>
      </w:r>
      <w:r w:rsidRPr="00763803">
        <w:t>and</w:t>
      </w:r>
      <w:r w:rsidR="0013032F" w:rsidRPr="00763803">
        <w:t xml:space="preserve"> </w:t>
      </w:r>
      <w:r w:rsidRPr="00763803">
        <w:t>food</w:t>
      </w:r>
      <w:r w:rsidR="0013032F" w:rsidRPr="00763803">
        <w:t xml:space="preserve"> </w:t>
      </w:r>
      <w:r w:rsidRPr="00763803">
        <w:t>manufacturing,</w:t>
      </w:r>
      <w:r w:rsidR="0013032F" w:rsidRPr="00763803">
        <w:t xml:space="preserve"> </w:t>
      </w:r>
      <w:r w:rsidRPr="00763803">
        <w:t>tourism</w:t>
      </w:r>
      <w:r w:rsidR="0013032F" w:rsidRPr="00763803">
        <w:t xml:space="preserve"> </w:t>
      </w:r>
      <w:r w:rsidRPr="00763803">
        <w:t>and</w:t>
      </w:r>
      <w:r w:rsidR="0013032F" w:rsidRPr="00763803">
        <w:t xml:space="preserve"> </w:t>
      </w:r>
      <w:r w:rsidRPr="00763803">
        <w:t>the</w:t>
      </w:r>
      <w:r w:rsidR="0013032F" w:rsidRPr="00763803">
        <w:t xml:space="preserve"> </w:t>
      </w:r>
      <w:r w:rsidRPr="00763803">
        <w:t>rapidly</w:t>
      </w:r>
      <w:r w:rsidR="0013032F" w:rsidRPr="00763803">
        <w:t xml:space="preserve"> </w:t>
      </w:r>
      <w:r w:rsidRPr="00763803">
        <w:t>emerging</w:t>
      </w:r>
      <w:r w:rsidR="0013032F" w:rsidRPr="00763803">
        <w:t xml:space="preserve"> </w:t>
      </w:r>
      <w:r w:rsidRPr="00763803">
        <w:t>renewable</w:t>
      </w:r>
      <w:r w:rsidR="0013032F" w:rsidRPr="00763803">
        <w:t xml:space="preserve"> </w:t>
      </w:r>
      <w:r w:rsidRPr="00763803">
        <w:t>energy</w:t>
      </w:r>
      <w:r w:rsidR="0013032F" w:rsidRPr="00763803">
        <w:t xml:space="preserve"> </w:t>
      </w:r>
      <w:r w:rsidRPr="00763803">
        <w:t>and</w:t>
      </w:r>
      <w:r w:rsidR="0013032F" w:rsidRPr="00763803">
        <w:t xml:space="preserve"> </w:t>
      </w:r>
      <w:r w:rsidRPr="00763803">
        <w:t>mineral</w:t>
      </w:r>
      <w:r w:rsidR="0013032F" w:rsidRPr="00763803">
        <w:t xml:space="preserve"> </w:t>
      </w:r>
      <w:r w:rsidRPr="00763803">
        <w:t>sand</w:t>
      </w:r>
      <w:r w:rsidR="0013032F" w:rsidRPr="00763803">
        <w:t xml:space="preserve"> </w:t>
      </w:r>
      <w:r w:rsidRPr="00763803">
        <w:t>mining</w:t>
      </w:r>
      <w:r w:rsidR="0013032F" w:rsidRPr="00763803">
        <w:t xml:space="preserve"> </w:t>
      </w:r>
      <w:r w:rsidRPr="00763803">
        <w:t>sectors.</w:t>
      </w:r>
    </w:p>
    <w:p w14:paraId="754E9555" w14:textId="5FEBE3C3" w:rsidR="00757772" w:rsidRPr="00763803" w:rsidRDefault="00305D3C" w:rsidP="00763803">
      <w:r w:rsidRPr="00763803">
        <w:t>WSMRP</w:t>
      </w:r>
      <w:r w:rsidR="0013032F" w:rsidRPr="00763803">
        <w:t xml:space="preserve"> </w:t>
      </w:r>
      <w:r w:rsidRPr="00763803">
        <w:t>secured</w:t>
      </w:r>
      <w:r w:rsidR="0013032F" w:rsidRPr="00763803">
        <w:t xml:space="preserve"> </w:t>
      </w:r>
      <w:r w:rsidRPr="00763803">
        <w:t>$109,000</w:t>
      </w:r>
      <w:r w:rsidR="0013032F" w:rsidRPr="00763803">
        <w:t xml:space="preserve"> </w:t>
      </w:r>
      <w:r w:rsidRPr="00763803">
        <w:t>through</w:t>
      </w:r>
      <w:r w:rsidR="0013032F" w:rsidRPr="00763803">
        <w:t xml:space="preserve"> </w:t>
      </w:r>
      <w:r w:rsidRPr="00763803">
        <w:t>the</w:t>
      </w:r>
      <w:r w:rsidR="0013032F" w:rsidRPr="00763803">
        <w:t xml:space="preserve"> </w:t>
      </w:r>
      <w:r w:rsidRPr="00763803">
        <w:t>Regional</w:t>
      </w:r>
      <w:r w:rsidR="0013032F" w:rsidRPr="00763803">
        <w:t xml:space="preserve"> </w:t>
      </w:r>
      <w:r w:rsidRPr="00763803">
        <w:t>Partnerships</w:t>
      </w:r>
      <w:r w:rsidR="0013032F" w:rsidRPr="00763803">
        <w:t xml:space="preserve"> </w:t>
      </w:r>
      <w:r w:rsidRPr="00763803">
        <w:t>Development</w:t>
      </w:r>
      <w:r w:rsidR="0013032F" w:rsidRPr="00763803">
        <w:t xml:space="preserve"> </w:t>
      </w:r>
      <w:r w:rsidRPr="00763803">
        <w:t>Fund</w:t>
      </w:r>
      <w:r w:rsidR="0013032F" w:rsidRPr="00763803">
        <w:t xml:space="preserve"> </w:t>
      </w:r>
      <w:r w:rsidRPr="00763803">
        <w:t>to</w:t>
      </w:r>
      <w:r w:rsidR="0013032F" w:rsidRPr="00763803">
        <w:t xml:space="preserve"> </w:t>
      </w:r>
      <w:r w:rsidRPr="00763803">
        <w:t>develop</w:t>
      </w:r>
      <w:r w:rsidR="0013032F" w:rsidRPr="00763803">
        <w:t xml:space="preserve"> </w:t>
      </w:r>
      <w:r w:rsidRPr="00763803">
        <w:t>the</w:t>
      </w:r>
      <w:r w:rsidR="0013032F" w:rsidRPr="00763803">
        <w:t xml:space="preserve"> </w:t>
      </w:r>
      <w:r w:rsidRPr="00763803">
        <w:t>Horizon</w:t>
      </w:r>
      <w:r w:rsidR="0013032F" w:rsidRPr="00763803">
        <w:t xml:space="preserve"> </w:t>
      </w:r>
      <w:r w:rsidRPr="00763803">
        <w:t>Highway:</w:t>
      </w:r>
      <w:r w:rsidR="0013032F" w:rsidRPr="00763803">
        <w:t xml:space="preserve"> </w:t>
      </w:r>
      <w:r w:rsidRPr="00763803">
        <w:t>Wimmera</w:t>
      </w:r>
      <w:r w:rsidR="0013032F" w:rsidRPr="00763803">
        <w:t xml:space="preserve"> </w:t>
      </w:r>
      <w:r w:rsidRPr="00763803">
        <w:t>Southern</w:t>
      </w:r>
      <w:r w:rsidR="0013032F" w:rsidRPr="00763803">
        <w:t xml:space="preserve"> </w:t>
      </w:r>
      <w:r w:rsidRPr="00763803">
        <w:t>Mallee</w:t>
      </w:r>
      <w:r w:rsidR="0013032F" w:rsidRPr="00763803">
        <w:t xml:space="preserve"> </w:t>
      </w:r>
      <w:r w:rsidRPr="00763803">
        <w:t>30-Year</w:t>
      </w:r>
      <w:r w:rsidR="0013032F" w:rsidRPr="00763803">
        <w:t xml:space="preserve"> </w:t>
      </w:r>
      <w:r w:rsidRPr="00763803">
        <w:t>Vision</w:t>
      </w:r>
      <w:r w:rsidR="0013032F" w:rsidRPr="00763803">
        <w:t xml:space="preserve"> </w:t>
      </w:r>
      <w:r w:rsidRPr="00763803">
        <w:t>and</w:t>
      </w:r>
      <w:r w:rsidR="0013032F" w:rsidRPr="00763803">
        <w:t xml:space="preserve"> </w:t>
      </w:r>
      <w:r w:rsidRPr="00763803">
        <w:t>Roadmap.</w:t>
      </w:r>
      <w:r w:rsidR="0013032F" w:rsidRPr="00763803">
        <w:t xml:space="preserve"> </w:t>
      </w:r>
      <w:r w:rsidRPr="00763803">
        <w:t>The</w:t>
      </w:r>
      <w:r w:rsidR="0013032F" w:rsidRPr="00763803">
        <w:t xml:space="preserve"> </w:t>
      </w:r>
      <w:r w:rsidRPr="00763803">
        <w:t>roadmap</w:t>
      </w:r>
      <w:r w:rsidR="0013032F" w:rsidRPr="00763803">
        <w:t xml:space="preserve"> </w:t>
      </w:r>
      <w:r w:rsidRPr="00763803">
        <w:t>to</w:t>
      </w:r>
      <w:r w:rsidR="0013032F" w:rsidRPr="00763803">
        <w:t xml:space="preserve"> </w:t>
      </w:r>
      <w:r w:rsidRPr="00763803">
        <w:t>2052</w:t>
      </w:r>
      <w:r w:rsidR="0013032F" w:rsidRPr="00763803">
        <w:t xml:space="preserve"> </w:t>
      </w:r>
      <w:r w:rsidRPr="00763803">
        <w:t>is</w:t>
      </w:r>
      <w:r w:rsidR="0013032F" w:rsidRPr="00763803">
        <w:t xml:space="preserve"> </w:t>
      </w:r>
      <w:r w:rsidRPr="00763803">
        <w:t>split</w:t>
      </w:r>
      <w:r w:rsidR="0013032F" w:rsidRPr="00763803">
        <w:t xml:space="preserve"> </w:t>
      </w:r>
      <w:r w:rsidRPr="00763803">
        <w:t>into</w:t>
      </w:r>
      <w:r w:rsidR="0013032F" w:rsidRPr="00763803">
        <w:t xml:space="preserve"> </w:t>
      </w:r>
      <w:r w:rsidRPr="00763803">
        <w:t>3</w:t>
      </w:r>
      <w:r w:rsidR="0013032F" w:rsidRPr="00763803">
        <w:t xml:space="preserve"> </w:t>
      </w:r>
      <w:r w:rsidRPr="00763803">
        <w:t>phases</w:t>
      </w:r>
      <w:r w:rsidR="0013032F" w:rsidRPr="00763803">
        <w:t xml:space="preserve"> </w:t>
      </w:r>
      <w:r w:rsidRPr="00763803">
        <w:t>of</w:t>
      </w:r>
      <w:r w:rsidR="0013032F" w:rsidRPr="00763803">
        <w:t xml:space="preserve"> </w:t>
      </w:r>
      <w:r w:rsidRPr="00763803">
        <w:t>5,</w:t>
      </w:r>
      <w:r w:rsidR="0013032F" w:rsidRPr="00763803">
        <w:t xml:space="preserve"> </w:t>
      </w:r>
      <w:r w:rsidRPr="00763803">
        <w:t>10</w:t>
      </w:r>
      <w:r w:rsidR="0013032F" w:rsidRPr="00763803">
        <w:t xml:space="preserve"> </w:t>
      </w:r>
      <w:r w:rsidRPr="00763803">
        <w:t>and</w:t>
      </w:r>
      <w:r w:rsidR="0013032F" w:rsidRPr="00763803">
        <w:t xml:space="preserve"> </w:t>
      </w:r>
      <w:r w:rsidRPr="00763803">
        <w:t>15</w:t>
      </w:r>
      <w:r w:rsidR="0013032F" w:rsidRPr="00763803">
        <w:t xml:space="preserve"> </w:t>
      </w:r>
      <w:r w:rsidRPr="00763803">
        <w:t>years</w:t>
      </w:r>
      <w:r w:rsidR="0013032F" w:rsidRPr="00763803">
        <w:t xml:space="preserve"> </w:t>
      </w:r>
      <w:r w:rsidRPr="00763803">
        <w:t>–</w:t>
      </w:r>
      <w:r w:rsidR="0013032F" w:rsidRPr="00763803">
        <w:t xml:space="preserve"> </w:t>
      </w:r>
      <w:r w:rsidRPr="00763803">
        <w:t>each</w:t>
      </w:r>
      <w:r w:rsidR="0013032F" w:rsidRPr="00763803">
        <w:t xml:space="preserve"> </w:t>
      </w:r>
      <w:r w:rsidRPr="00763803">
        <w:t>with</w:t>
      </w:r>
      <w:r w:rsidR="0013032F" w:rsidRPr="00763803">
        <w:t xml:space="preserve"> </w:t>
      </w:r>
      <w:r w:rsidRPr="00763803">
        <w:t>identified</w:t>
      </w:r>
      <w:r w:rsidR="0013032F" w:rsidRPr="00763803">
        <w:t xml:space="preserve"> </w:t>
      </w:r>
      <w:r w:rsidRPr="00763803">
        <w:t>milestones</w:t>
      </w:r>
      <w:r w:rsidR="0013032F" w:rsidRPr="00763803">
        <w:t xml:space="preserve"> </w:t>
      </w:r>
      <w:r w:rsidRPr="00763803">
        <w:t>to</w:t>
      </w:r>
      <w:r w:rsidR="0013032F" w:rsidRPr="00763803">
        <w:t xml:space="preserve"> </w:t>
      </w:r>
      <w:r w:rsidRPr="00763803">
        <w:t>guide</w:t>
      </w:r>
      <w:r w:rsidR="0013032F" w:rsidRPr="00763803">
        <w:t xml:space="preserve"> </w:t>
      </w:r>
      <w:r w:rsidRPr="00763803">
        <w:t>the</w:t>
      </w:r>
      <w:r w:rsidR="0013032F" w:rsidRPr="00763803">
        <w:t xml:space="preserve"> </w:t>
      </w:r>
      <w:r w:rsidRPr="00763803">
        <w:t>achievement</w:t>
      </w:r>
      <w:r w:rsidR="0013032F" w:rsidRPr="00763803">
        <w:t xml:space="preserve"> </w:t>
      </w:r>
      <w:r w:rsidRPr="00763803">
        <w:t>of</w:t>
      </w:r>
      <w:r w:rsidR="0013032F" w:rsidRPr="00763803">
        <w:t xml:space="preserve"> </w:t>
      </w:r>
      <w:r w:rsidRPr="00763803">
        <w:t>the</w:t>
      </w:r>
      <w:r w:rsidR="0013032F" w:rsidRPr="00763803">
        <w:t xml:space="preserve"> </w:t>
      </w:r>
      <w:r w:rsidRPr="00763803">
        <w:t>30-year</w:t>
      </w:r>
      <w:r w:rsidR="0013032F" w:rsidRPr="00763803">
        <w:t xml:space="preserve"> </w:t>
      </w:r>
      <w:r w:rsidRPr="00763803">
        <w:t>vision.</w:t>
      </w:r>
    </w:p>
    <w:p w14:paraId="62C3E38D" w14:textId="778D936B" w:rsidR="00757772" w:rsidRPr="00763803" w:rsidRDefault="00305D3C" w:rsidP="00763803">
      <w:r w:rsidRPr="00763803">
        <w:t>WSMRP,</w:t>
      </w:r>
      <w:r w:rsidR="0013032F" w:rsidRPr="00763803">
        <w:t xml:space="preserve"> </w:t>
      </w:r>
      <w:r w:rsidRPr="00763803">
        <w:t>the</w:t>
      </w:r>
      <w:r w:rsidR="0013032F" w:rsidRPr="00763803">
        <w:t xml:space="preserve"> </w:t>
      </w:r>
      <w:r w:rsidRPr="00763803">
        <w:t>5</w:t>
      </w:r>
      <w:r w:rsidR="0013032F" w:rsidRPr="00763803">
        <w:t xml:space="preserve"> </w:t>
      </w:r>
      <w:r w:rsidRPr="00763803">
        <w:t>local</w:t>
      </w:r>
      <w:r w:rsidR="0013032F" w:rsidRPr="00763803">
        <w:t xml:space="preserve"> </w:t>
      </w:r>
      <w:r w:rsidRPr="00763803">
        <w:t>government</w:t>
      </w:r>
      <w:r w:rsidR="0013032F" w:rsidRPr="00763803">
        <w:t xml:space="preserve"> </w:t>
      </w:r>
      <w:r w:rsidRPr="00763803">
        <w:t>areas</w:t>
      </w:r>
      <w:r w:rsidR="0013032F" w:rsidRPr="00763803">
        <w:t xml:space="preserve"> </w:t>
      </w:r>
      <w:r w:rsidRPr="00763803">
        <w:t>and</w:t>
      </w:r>
      <w:r w:rsidR="0013032F" w:rsidRPr="00763803">
        <w:t xml:space="preserve"> </w:t>
      </w:r>
      <w:r w:rsidRPr="00763803">
        <w:t>key</w:t>
      </w:r>
      <w:r w:rsidR="0013032F" w:rsidRPr="00763803">
        <w:t xml:space="preserve"> </w:t>
      </w:r>
      <w:r w:rsidRPr="00763803">
        <w:t>stakeholders</w:t>
      </w:r>
      <w:r w:rsidR="0013032F" w:rsidRPr="00763803">
        <w:t xml:space="preserve"> </w:t>
      </w:r>
      <w:r w:rsidRPr="00763803">
        <w:t>are</w:t>
      </w:r>
      <w:r w:rsidR="0013032F" w:rsidRPr="00763803">
        <w:t xml:space="preserve"> </w:t>
      </w:r>
      <w:r w:rsidRPr="00763803">
        <w:t>now</w:t>
      </w:r>
      <w:r w:rsidR="0013032F" w:rsidRPr="00763803">
        <w:t xml:space="preserve"> </w:t>
      </w:r>
      <w:r w:rsidRPr="00763803">
        <w:t>focussed</w:t>
      </w:r>
      <w:r w:rsidR="0013032F" w:rsidRPr="00763803">
        <w:t xml:space="preserve"> </w:t>
      </w:r>
      <w:r w:rsidRPr="00763803">
        <w:t>on</w:t>
      </w:r>
      <w:r w:rsidR="0013032F" w:rsidRPr="00763803">
        <w:t xml:space="preserve"> </w:t>
      </w:r>
      <w:r w:rsidRPr="00763803">
        <w:t>achieving</w:t>
      </w:r>
      <w:r w:rsidR="0013032F" w:rsidRPr="00763803">
        <w:t xml:space="preserve"> </w:t>
      </w:r>
      <w:r w:rsidRPr="00763803">
        <w:t>the</w:t>
      </w:r>
      <w:r w:rsidR="0013032F" w:rsidRPr="00763803">
        <w:t xml:space="preserve"> </w:t>
      </w:r>
      <w:r w:rsidRPr="00763803">
        <w:t>goals</w:t>
      </w:r>
      <w:r w:rsidR="0013032F" w:rsidRPr="00763803">
        <w:t xml:space="preserve"> </w:t>
      </w:r>
      <w:r w:rsidRPr="00763803">
        <w:t>laid</w:t>
      </w:r>
      <w:r w:rsidR="0013032F" w:rsidRPr="00763803">
        <w:t xml:space="preserve"> </w:t>
      </w:r>
      <w:r w:rsidRPr="00763803">
        <w:t>out</w:t>
      </w:r>
      <w:r w:rsidR="0013032F" w:rsidRPr="00763803">
        <w:t xml:space="preserve"> </w:t>
      </w:r>
      <w:r w:rsidRPr="00763803">
        <w:t>for</w:t>
      </w:r>
      <w:r w:rsidR="0013032F" w:rsidRPr="00763803">
        <w:t xml:space="preserve"> </w:t>
      </w:r>
      <w:r w:rsidRPr="00763803">
        <w:t>the</w:t>
      </w:r>
      <w:r w:rsidR="0013032F" w:rsidRPr="00763803">
        <w:t xml:space="preserve"> </w:t>
      </w:r>
      <w:r w:rsidRPr="00763803">
        <w:t>first</w:t>
      </w:r>
      <w:r w:rsidR="0013032F" w:rsidRPr="00763803">
        <w:t xml:space="preserve"> </w:t>
      </w:r>
      <w:r w:rsidRPr="00763803">
        <w:t>5</w:t>
      </w:r>
      <w:r w:rsidR="0013032F" w:rsidRPr="00763803">
        <w:t xml:space="preserve"> </w:t>
      </w:r>
      <w:r w:rsidRPr="00763803">
        <w:t>years</w:t>
      </w:r>
      <w:r w:rsidR="0013032F" w:rsidRPr="00763803">
        <w:t xml:space="preserve"> </w:t>
      </w:r>
      <w:r w:rsidRPr="00763803">
        <w:t>of</w:t>
      </w:r>
      <w:r w:rsidR="0013032F" w:rsidRPr="00763803">
        <w:t xml:space="preserve"> </w:t>
      </w:r>
      <w:r w:rsidRPr="00763803">
        <w:t>the</w:t>
      </w:r>
      <w:r w:rsidR="0013032F" w:rsidRPr="00763803">
        <w:t xml:space="preserve"> </w:t>
      </w:r>
      <w:r w:rsidRPr="00763803">
        <w:t>plan,</w:t>
      </w:r>
      <w:r w:rsidR="0013032F" w:rsidRPr="00763803">
        <w:t xml:space="preserve"> </w:t>
      </w:r>
      <w:r w:rsidRPr="00763803">
        <w:t>in</w:t>
      </w:r>
      <w:r w:rsidR="0013032F" w:rsidRPr="00763803">
        <w:t xml:space="preserve"> </w:t>
      </w:r>
      <w:r w:rsidRPr="00763803">
        <w:t>particular</w:t>
      </w:r>
      <w:r w:rsidR="0013032F" w:rsidRPr="00763803">
        <w:t xml:space="preserve"> </w:t>
      </w:r>
      <w:r w:rsidRPr="00763803">
        <w:t>addressing</w:t>
      </w:r>
      <w:r w:rsidR="0013032F" w:rsidRPr="00763803">
        <w:t xml:space="preserve"> </w:t>
      </w:r>
      <w:r w:rsidRPr="00763803">
        <w:t>the</w:t>
      </w:r>
      <w:r w:rsidR="0013032F" w:rsidRPr="00763803">
        <w:t xml:space="preserve"> </w:t>
      </w:r>
      <w:r w:rsidRPr="00763803">
        <w:t>accommodation</w:t>
      </w:r>
      <w:r w:rsidR="0013032F" w:rsidRPr="00763803">
        <w:t xml:space="preserve"> </w:t>
      </w:r>
      <w:r w:rsidRPr="00763803">
        <w:t>needs</w:t>
      </w:r>
      <w:r w:rsidR="0013032F" w:rsidRPr="00763803">
        <w:t xml:space="preserve"> </w:t>
      </w:r>
      <w:r w:rsidRPr="00763803">
        <w:t>to</w:t>
      </w:r>
      <w:r w:rsidR="0013032F" w:rsidRPr="00763803">
        <w:t xml:space="preserve"> </w:t>
      </w:r>
      <w:r w:rsidRPr="00763803">
        <w:t>support</w:t>
      </w:r>
      <w:r w:rsidR="0013032F" w:rsidRPr="00763803">
        <w:t xml:space="preserve"> </w:t>
      </w:r>
      <w:r w:rsidRPr="00763803">
        <w:t>a</w:t>
      </w:r>
      <w:r w:rsidR="0013032F" w:rsidRPr="00763803">
        <w:t xml:space="preserve"> </w:t>
      </w:r>
      <w:r w:rsidRPr="00763803">
        <w:t>growing</w:t>
      </w:r>
      <w:r w:rsidR="0013032F" w:rsidRPr="00763803">
        <w:t xml:space="preserve"> </w:t>
      </w:r>
      <w:r w:rsidRPr="00763803">
        <w:t>region.</w:t>
      </w:r>
    </w:p>
    <w:p w14:paraId="0FFD73DD" w14:textId="0F4D7CBD" w:rsidR="00757772" w:rsidRDefault="00305D3C" w:rsidP="00763803">
      <w:pPr>
        <w:pStyle w:val="Heading2"/>
      </w:pPr>
      <w:bookmarkStart w:id="19" w:name="_Toc149566565"/>
      <w:r>
        <w:t>Central</w:t>
      </w:r>
      <w:r w:rsidR="0013032F">
        <w:t xml:space="preserve"> </w:t>
      </w:r>
      <w:r>
        <w:t>Highlands</w:t>
      </w:r>
      <w:bookmarkEnd w:id="19"/>
    </w:p>
    <w:p w14:paraId="09529E62" w14:textId="526280F6" w:rsidR="00757772" w:rsidRDefault="00305D3C" w:rsidP="00763803">
      <w:r>
        <w:t>In</w:t>
      </w:r>
      <w:r w:rsidR="0013032F">
        <w:t xml:space="preserve"> </w:t>
      </w:r>
      <w:r>
        <w:t>2022–23,</w:t>
      </w:r>
      <w:r w:rsidR="0013032F">
        <w:t xml:space="preserve"> </w:t>
      </w:r>
      <w:r>
        <w:t>the</w:t>
      </w:r>
      <w:r w:rsidR="0013032F">
        <w:t xml:space="preserve"> </w:t>
      </w:r>
      <w:r>
        <w:t>Central</w:t>
      </w:r>
      <w:r w:rsidR="0013032F">
        <w:t xml:space="preserve"> </w:t>
      </w:r>
      <w:r>
        <w:t>Highlands</w:t>
      </w:r>
      <w:r w:rsidR="0013032F">
        <w:t xml:space="preserve"> </w:t>
      </w:r>
      <w:r>
        <w:t>Regional</w:t>
      </w:r>
      <w:r w:rsidR="0013032F">
        <w:t xml:space="preserve"> </w:t>
      </w:r>
      <w:r>
        <w:t>Partnership</w:t>
      </w:r>
      <w:r w:rsidR="0013032F">
        <w:t xml:space="preserve"> </w:t>
      </w:r>
      <w:r>
        <w:t>(CHRP)</w:t>
      </w:r>
      <w:r w:rsidR="0013032F">
        <w:t xml:space="preserve"> </w:t>
      </w:r>
      <w:r>
        <w:t>continued</w:t>
      </w:r>
      <w:r w:rsidR="0013032F">
        <w:t xml:space="preserve"> </w:t>
      </w:r>
      <w:r>
        <w:t>to</w:t>
      </w:r>
      <w:r w:rsidR="0013032F">
        <w:t xml:space="preserve"> </w:t>
      </w:r>
      <w:r>
        <w:t>progress</w:t>
      </w:r>
      <w:r w:rsidR="0013032F">
        <w:t xml:space="preserve"> </w:t>
      </w:r>
      <w:r>
        <w:t>priorities</w:t>
      </w:r>
      <w:r w:rsidR="0013032F">
        <w:t xml:space="preserve"> </w:t>
      </w:r>
      <w:r>
        <w:t>across</w:t>
      </w:r>
      <w:r w:rsidR="0013032F">
        <w:t xml:space="preserve"> </w:t>
      </w:r>
      <w:r>
        <w:t>the</w:t>
      </w:r>
      <w:r w:rsidR="0013032F">
        <w:t xml:space="preserve"> </w:t>
      </w:r>
      <w:r>
        <w:t>partnership’s</w:t>
      </w:r>
      <w:r w:rsidR="0013032F">
        <w:t xml:space="preserve"> </w:t>
      </w:r>
      <w:r>
        <w:t>3</w:t>
      </w:r>
      <w:r w:rsidR="0013032F">
        <w:t xml:space="preserve"> </w:t>
      </w:r>
      <w:r>
        <w:t>pillars</w:t>
      </w:r>
      <w:r w:rsidR="0013032F">
        <w:t xml:space="preserve"> </w:t>
      </w:r>
      <w:r>
        <w:t>of</w:t>
      </w:r>
      <w:r w:rsidR="0013032F">
        <w:t xml:space="preserve"> </w:t>
      </w:r>
      <w:r>
        <w:t>jobs,</w:t>
      </w:r>
      <w:r w:rsidR="0013032F">
        <w:t xml:space="preserve"> </w:t>
      </w:r>
      <w:r>
        <w:t>housing</w:t>
      </w:r>
      <w:r w:rsidR="0013032F">
        <w:t xml:space="preserve"> </w:t>
      </w:r>
      <w:r>
        <w:t>and</w:t>
      </w:r>
      <w:r w:rsidR="0013032F">
        <w:t xml:space="preserve"> </w:t>
      </w:r>
      <w:r>
        <w:t>connectivity.</w:t>
      </w:r>
    </w:p>
    <w:p w14:paraId="4192D8D0" w14:textId="44BA62B6" w:rsidR="00757772" w:rsidRDefault="00305D3C" w:rsidP="00763803">
      <w:pPr>
        <w:pStyle w:val="Heading3"/>
      </w:pPr>
      <w:r>
        <w:t>Regional</w:t>
      </w:r>
      <w:r w:rsidR="0013032F">
        <w:t xml:space="preserve"> </w:t>
      </w:r>
      <w:r>
        <w:t>priorities:</w:t>
      </w:r>
    </w:p>
    <w:p w14:paraId="39947AC8" w14:textId="4131A87A" w:rsidR="00757772" w:rsidRDefault="00305D3C" w:rsidP="00763803">
      <w:pPr>
        <w:pStyle w:val="Bullet"/>
      </w:pPr>
      <w:r w:rsidRPr="00763803">
        <w:rPr>
          <w:b/>
          <w:bCs/>
        </w:rPr>
        <w:t>Jobs</w:t>
      </w:r>
      <w:r w:rsidR="0013032F" w:rsidRPr="00763803">
        <w:t xml:space="preserve"> </w:t>
      </w:r>
      <w:r>
        <w:t>–</w:t>
      </w:r>
      <w:r w:rsidR="0013032F">
        <w:t xml:space="preserve"> </w:t>
      </w:r>
      <w:r>
        <w:t>developed</w:t>
      </w:r>
      <w:r w:rsidR="0013032F">
        <w:t xml:space="preserve"> </w:t>
      </w:r>
      <w:r>
        <w:t>a</w:t>
      </w:r>
      <w:r w:rsidR="0013032F">
        <w:t xml:space="preserve"> </w:t>
      </w:r>
      <w:r>
        <w:t>tourism</w:t>
      </w:r>
      <w:r w:rsidR="0013032F">
        <w:t xml:space="preserve"> </w:t>
      </w:r>
      <w:r>
        <w:t>investment</w:t>
      </w:r>
      <w:r w:rsidR="0013032F">
        <w:t xml:space="preserve"> </w:t>
      </w:r>
      <w:r>
        <w:t>prospectus</w:t>
      </w:r>
      <w:r w:rsidR="0013032F">
        <w:t xml:space="preserve"> </w:t>
      </w:r>
      <w:r>
        <w:t>to</w:t>
      </w:r>
      <w:r w:rsidR="0013032F">
        <w:t xml:space="preserve"> </w:t>
      </w:r>
      <w:r>
        <w:t>provide</w:t>
      </w:r>
      <w:r w:rsidR="0013032F">
        <w:t xml:space="preserve"> </w:t>
      </w:r>
      <w:r>
        <w:t>direction</w:t>
      </w:r>
      <w:r w:rsidR="0013032F">
        <w:t xml:space="preserve"> </w:t>
      </w:r>
      <w:r>
        <w:t>for</w:t>
      </w:r>
      <w:r w:rsidR="0013032F">
        <w:t xml:space="preserve"> </w:t>
      </w:r>
      <w:r>
        <w:t>sustainable</w:t>
      </w:r>
      <w:r w:rsidR="0013032F">
        <w:t xml:space="preserve"> </w:t>
      </w:r>
      <w:r>
        <w:t>product</w:t>
      </w:r>
      <w:r w:rsidR="0013032F">
        <w:t xml:space="preserve"> </w:t>
      </w:r>
      <w:r>
        <w:t>or</w:t>
      </w:r>
      <w:r w:rsidR="0013032F">
        <w:t xml:space="preserve"> </w:t>
      </w:r>
      <w:r>
        <w:t>infrastructure</w:t>
      </w:r>
      <w:r w:rsidR="0013032F">
        <w:t xml:space="preserve"> </w:t>
      </w:r>
      <w:r>
        <w:t>developments</w:t>
      </w:r>
      <w:r w:rsidR="0013032F">
        <w:t xml:space="preserve"> </w:t>
      </w:r>
      <w:r>
        <w:t>within</w:t>
      </w:r>
      <w:r w:rsidR="0013032F">
        <w:t xml:space="preserve"> </w:t>
      </w:r>
      <w:r>
        <w:t>the</w:t>
      </w:r>
      <w:r w:rsidR="0013032F">
        <w:t xml:space="preserve"> </w:t>
      </w:r>
      <w:r>
        <w:t>visitor</w:t>
      </w:r>
      <w:r w:rsidR="0013032F">
        <w:t xml:space="preserve"> </w:t>
      </w:r>
      <w:r>
        <w:t>economy</w:t>
      </w:r>
      <w:r w:rsidR="0013032F">
        <w:t xml:space="preserve"> </w:t>
      </w:r>
      <w:r>
        <w:t>and</w:t>
      </w:r>
      <w:r w:rsidR="0013032F">
        <w:t xml:space="preserve"> </w:t>
      </w:r>
      <w:r>
        <w:t>creative</w:t>
      </w:r>
      <w:r w:rsidR="0013032F">
        <w:t xml:space="preserve"> </w:t>
      </w:r>
      <w:r>
        <w:t>sector</w:t>
      </w:r>
      <w:r w:rsidR="0013032F">
        <w:t xml:space="preserve"> </w:t>
      </w:r>
      <w:r>
        <w:t>in</w:t>
      </w:r>
      <w:r w:rsidR="0013032F">
        <w:t xml:space="preserve"> </w:t>
      </w:r>
      <w:r>
        <w:t>the</w:t>
      </w:r>
      <w:r w:rsidR="0013032F">
        <w:t xml:space="preserve"> </w:t>
      </w:r>
      <w:r>
        <w:t>Central</w:t>
      </w:r>
      <w:r w:rsidR="0013032F">
        <w:t xml:space="preserve"> </w:t>
      </w:r>
      <w:r>
        <w:t>Highlands</w:t>
      </w:r>
      <w:r w:rsidR="0013032F">
        <w:t xml:space="preserve"> </w:t>
      </w:r>
      <w:r>
        <w:t>region.</w:t>
      </w:r>
      <w:r w:rsidR="0013032F">
        <w:t xml:space="preserve"> </w:t>
      </w:r>
      <w:r>
        <w:t>The</w:t>
      </w:r>
      <w:r w:rsidR="0013032F">
        <w:t xml:space="preserve"> </w:t>
      </w:r>
      <w:r>
        <w:t>prospectus</w:t>
      </w:r>
      <w:r w:rsidR="0013032F">
        <w:t xml:space="preserve"> </w:t>
      </w:r>
      <w:r>
        <w:t>aims</w:t>
      </w:r>
      <w:r w:rsidR="0013032F">
        <w:t xml:space="preserve"> </w:t>
      </w:r>
      <w:r>
        <w:t>to</w:t>
      </w:r>
      <w:r w:rsidR="0013032F">
        <w:t xml:space="preserve"> </w:t>
      </w:r>
      <w:r>
        <w:t>identify</w:t>
      </w:r>
      <w:r w:rsidR="0013032F">
        <w:t xml:space="preserve"> </w:t>
      </w:r>
      <w:r>
        <w:t>several</w:t>
      </w:r>
      <w:r w:rsidR="0013032F">
        <w:t xml:space="preserve"> </w:t>
      </w:r>
      <w:r>
        <w:t>priority</w:t>
      </w:r>
      <w:r w:rsidR="0013032F">
        <w:t xml:space="preserve"> </w:t>
      </w:r>
      <w:r>
        <w:t>projects</w:t>
      </w:r>
      <w:r w:rsidR="0013032F">
        <w:t xml:space="preserve"> </w:t>
      </w:r>
      <w:r>
        <w:t>that</w:t>
      </w:r>
      <w:r w:rsidR="0013032F">
        <w:t xml:space="preserve"> </w:t>
      </w:r>
      <w:r>
        <w:t>can</w:t>
      </w:r>
      <w:r w:rsidR="0013032F">
        <w:t xml:space="preserve"> </w:t>
      </w:r>
      <w:r>
        <w:t>be</w:t>
      </w:r>
      <w:r w:rsidR="0013032F">
        <w:t xml:space="preserve"> </w:t>
      </w:r>
      <w:r>
        <w:t>delivered</w:t>
      </w:r>
      <w:r w:rsidR="0013032F">
        <w:t xml:space="preserve"> </w:t>
      </w:r>
      <w:r>
        <w:t>to</w:t>
      </w:r>
      <w:r w:rsidR="0013032F">
        <w:t xml:space="preserve"> </w:t>
      </w:r>
      <w:r>
        <w:t>improve</w:t>
      </w:r>
      <w:r w:rsidR="0013032F">
        <w:t xml:space="preserve"> </w:t>
      </w:r>
      <w:r>
        <w:t>the</w:t>
      </w:r>
      <w:r w:rsidR="0013032F">
        <w:t xml:space="preserve"> </w:t>
      </w:r>
      <w:r>
        <w:t>region’s</w:t>
      </w:r>
      <w:r w:rsidR="0013032F">
        <w:t xml:space="preserve"> </w:t>
      </w:r>
      <w:r>
        <w:t>visitor</w:t>
      </w:r>
      <w:r w:rsidR="0013032F">
        <w:t xml:space="preserve"> </w:t>
      </w:r>
      <w:r>
        <w:t>experience</w:t>
      </w:r>
      <w:r w:rsidR="0013032F">
        <w:t xml:space="preserve"> </w:t>
      </w:r>
      <w:r>
        <w:t>outcomes</w:t>
      </w:r>
      <w:r w:rsidR="0013032F">
        <w:t xml:space="preserve"> </w:t>
      </w:r>
    </w:p>
    <w:p w14:paraId="10370E9F" w14:textId="21E80EC9" w:rsidR="00757772" w:rsidRDefault="00305D3C" w:rsidP="00763803">
      <w:pPr>
        <w:pStyle w:val="Bullet"/>
      </w:pPr>
      <w:r w:rsidRPr="00763803">
        <w:rPr>
          <w:b/>
          <w:bCs/>
        </w:rPr>
        <w:t>Improve</w:t>
      </w:r>
      <w:r w:rsidR="0013032F" w:rsidRPr="00763803">
        <w:rPr>
          <w:b/>
          <w:bCs/>
        </w:rPr>
        <w:t xml:space="preserve"> </w:t>
      </w:r>
      <w:r w:rsidRPr="00763803">
        <w:rPr>
          <w:b/>
          <w:bCs/>
        </w:rPr>
        <w:t>housing</w:t>
      </w:r>
      <w:r w:rsidR="0013032F" w:rsidRPr="00763803">
        <w:rPr>
          <w:b/>
          <w:bCs/>
        </w:rPr>
        <w:t xml:space="preserve"> </w:t>
      </w:r>
      <w:r w:rsidRPr="00763803">
        <w:rPr>
          <w:b/>
          <w:bCs/>
        </w:rPr>
        <w:t>supply</w:t>
      </w:r>
      <w:r w:rsidR="0013032F" w:rsidRPr="00763803">
        <w:rPr>
          <w:b/>
          <w:bCs/>
        </w:rPr>
        <w:t xml:space="preserve"> </w:t>
      </w:r>
      <w:r w:rsidRPr="00763803">
        <w:rPr>
          <w:b/>
          <w:bCs/>
        </w:rPr>
        <w:t>and</w:t>
      </w:r>
      <w:r w:rsidR="0013032F" w:rsidRPr="00763803">
        <w:rPr>
          <w:b/>
          <w:bCs/>
        </w:rPr>
        <w:t xml:space="preserve"> </w:t>
      </w:r>
      <w:r w:rsidRPr="00763803">
        <w:rPr>
          <w:b/>
          <w:bCs/>
        </w:rPr>
        <w:t>affordability</w:t>
      </w:r>
      <w:r w:rsidR="0013032F">
        <w:rPr>
          <w:rStyle w:val="SEMIBOLD"/>
          <w:rFonts w:ascii="VIC SemiBold" w:hAnsi="VIC SemiBold" w:cs="VIC SemiBold"/>
          <w:b w:val="0"/>
          <w:bCs w:val="0"/>
        </w:rPr>
        <w:t xml:space="preserve"> </w:t>
      </w:r>
      <w:r>
        <w:t>–</w:t>
      </w:r>
      <w:r w:rsidR="0013032F">
        <w:t xml:space="preserve"> </w:t>
      </w:r>
      <w:r>
        <w:t>advocated</w:t>
      </w:r>
      <w:r w:rsidR="0013032F">
        <w:t xml:space="preserve"> </w:t>
      </w:r>
      <w:r>
        <w:t>for</w:t>
      </w:r>
      <w:r w:rsidR="0013032F">
        <w:t xml:space="preserve"> </w:t>
      </w:r>
      <w:r>
        <w:t>research</w:t>
      </w:r>
      <w:r w:rsidR="0013032F">
        <w:t xml:space="preserve"> </w:t>
      </w:r>
      <w:r>
        <w:t>into</w:t>
      </w:r>
      <w:r w:rsidR="0013032F">
        <w:t xml:space="preserve"> </w:t>
      </w:r>
      <w:r>
        <w:t>the</w:t>
      </w:r>
      <w:r w:rsidR="0013032F">
        <w:t xml:space="preserve"> </w:t>
      </w:r>
      <w:r>
        <w:t>best</w:t>
      </w:r>
      <w:r w:rsidR="0013032F">
        <w:t xml:space="preserve"> </w:t>
      </w:r>
      <w:r>
        <w:t>social</w:t>
      </w:r>
      <w:r w:rsidR="0013032F">
        <w:t xml:space="preserve"> </w:t>
      </w:r>
      <w:r>
        <w:t>and</w:t>
      </w:r>
      <w:r w:rsidR="0013032F">
        <w:t xml:space="preserve"> </w:t>
      </w:r>
      <w:r>
        <w:t>affordable</w:t>
      </w:r>
      <w:r w:rsidR="0013032F">
        <w:t xml:space="preserve"> </w:t>
      </w:r>
      <w:r>
        <w:t>housing</w:t>
      </w:r>
      <w:r w:rsidR="0013032F">
        <w:t xml:space="preserve"> </w:t>
      </w:r>
      <w:r>
        <w:t>model</w:t>
      </w:r>
      <w:r w:rsidR="0013032F">
        <w:t xml:space="preserve"> </w:t>
      </w:r>
      <w:r>
        <w:t>for</w:t>
      </w:r>
      <w:r w:rsidR="0013032F">
        <w:t xml:space="preserve"> </w:t>
      </w:r>
      <w:r>
        <w:t>the</w:t>
      </w:r>
      <w:r w:rsidR="0013032F">
        <w:t xml:space="preserve"> </w:t>
      </w:r>
      <w:r>
        <w:t>Central</w:t>
      </w:r>
      <w:r w:rsidR="0013032F">
        <w:t xml:space="preserve"> </w:t>
      </w:r>
      <w:r>
        <w:t>Highlands</w:t>
      </w:r>
      <w:r w:rsidR="0013032F">
        <w:t xml:space="preserve"> </w:t>
      </w:r>
      <w:r>
        <w:t>region</w:t>
      </w:r>
    </w:p>
    <w:p w14:paraId="2B389393" w14:textId="2E7DCFB6" w:rsidR="00757772" w:rsidRDefault="00305D3C" w:rsidP="00763803">
      <w:pPr>
        <w:pStyle w:val="Bulletlast"/>
      </w:pPr>
      <w:r w:rsidRPr="00763803">
        <w:rPr>
          <w:b/>
          <w:bCs/>
        </w:rPr>
        <w:t>Connectivity</w:t>
      </w:r>
      <w:r w:rsidR="0013032F">
        <w:rPr>
          <w:rStyle w:val="SEMIBOLD"/>
          <w:rFonts w:ascii="VIC SemiBold" w:hAnsi="VIC SemiBold" w:cs="VIC SemiBold"/>
          <w:b w:val="0"/>
          <w:bCs w:val="0"/>
        </w:rPr>
        <w:t xml:space="preserve"> </w:t>
      </w:r>
      <w:r>
        <w:t>–</w:t>
      </w:r>
      <w:r w:rsidR="0013032F">
        <w:t xml:space="preserve"> </w:t>
      </w:r>
      <w:r>
        <w:t>worked</w:t>
      </w:r>
      <w:r w:rsidR="0013032F">
        <w:t xml:space="preserve"> </w:t>
      </w:r>
      <w:r>
        <w:t>with</w:t>
      </w:r>
      <w:r w:rsidR="0013032F">
        <w:t xml:space="preserve"> </w:t>
      </w:r>
      <w:r>
        <w:t>partners</w:t>
      </w:r>
      <w:r w:rsidR="0013032F">
        <w:t xml:space="preserve"> </w:t>
      </w:r>
      <w:r>
        <w:t>and</w:t>
      </w:r>
      <w:r w:rsidR="0013032F">
        <w:rPr>
          <w:rFonts w:ascii="VIC" w:hAnsi="VIC" w:cs="VIC"/>
          <w:b/>
          <w:bCs/>
        </w:rPr>
        <w:t xml:space="preserve"> </w:t>
      </w:r>
      <w:r>
        <w:t>advocated</w:t>
      </w:r>
      <w:r w:rsidR="0013032F">
        <w:t xml:space="preserve"> </w:t>
      </w:r>
      <w:r>
        <w:t>for</w:t>
      </w:r>
      <w:r w:rsidR="0013032F">
        <w:t xml:space="preserve"> </w:t>
      </w:r>
      <w:r>
        <w:t>an</w:t>
      </w:r>
      <w:r w:rsidR="0013032F">
        <w:t xml:space="preserve"> </w:t>
      </w:r>
      <w:r>
        <w:t>integrated</w:t>
      </w:r>
      <w:r w:rsidR="0013032F">
        <w:t xml:space="preserve"> </w:t>
      </w:r>
      <w:r>
        <w:t>transport</w:t>
      </w:r>
      <w:r w:rsidR="0013032F">
        <w:t xml:space="preserve"> </w:t>
      </w:r>
      <w:r>
        <w:t>strategy.</w:t>
      </w:r>
      <w:r w:rsidR="0013032F" w:rsidRPr="00763803">
        <w:t xml:space="preserve"> </w:t>
      </w:r>
      <w:r>
        <w:t>The</w:t>
      </w:r>
      <w:r w:rsidR="0013032F">
        <w:t xml:space="preserve"> </w:t>
      </w:r>
      <w:r>
        <w:t>strategy</w:t>
      </w:r>
      <w:r w:rsidR="0013032F">
        <w:t xml:space="preserve"> </w:t>
      </w:r>
      <w:r>
        <w:t>aims</w:t>
      </w:r>
      <w:r w:rsidR="0013032F">
        <w:t xml:space="preserve"> </w:t>
      </w:r>
      <w:r>
        <w:t>to</w:t>
      </w:r>
      <w:r w:rsidR="0013032F">
        <w:t xml:space="preserve"> </w:t>
      </w:r>
      <w:r>
        <w:t>contribute</w:t>
      </w:r>
      <w:r w:rsidR="0013032F">
        <w:t xml:space="preserve"> </w:t>
      </w:r>
      <w:r>
        <w:t>to</w:t>
      </w:r>
      <w:r w:rsidR="0013032F">
        <w:t xml:space="preserve"> </w:t>
      </w:r>
      <w:r>
        <w:t>the</w:t>
      </w:r>
      <w:r w:rsidR="0013032F">
        <w:t xml:space="preserve"> </w:t>
      </w:r>
      <w:r>
        <w:t>frequency,</w:t>
      </w:r>
      <w:r w:rsidR="0013032F">
        <w:t xml:space="preserve"> </w:t>
      </w:r>
      <w:r>
        <w:t>reliability</w:t>
      </w:r>
      <w:r w:rsidR="0013032F">
        <w:t xml:space="preserve"> </w:t>
      </w:r>
      <w:r>
        <w:t>and</w:t>
      </w:r>
      <w:r w:rsidR="0013032F">
        <w:t xml:space="preserve"> </w:t>
      </w:r>
      <w:r>
        <w:t>convenience</w:t>
      </w:r>
      <w:r w:rsidR="0013032F">
        <w:t xml:space="preserve"> </w:t>
      </w:r>
      <w:r>
        <w:t>of</w:t>
      </w:r>
      <w:r w:rsidR="0013032F">
        <w:t xml:space="preserve"> </w:t>
      </w:r>
      <w:r>
        <w:t>public</w:t>
      </w:r>
      <w:r w:rsidR="0013032F">
        <w:t xml:space="preserve"> </w:t>
      </w:r>
      <w:r>
        <w:t>transport</w:t>
      </w:r>
      <w:r w:rsidR="0013032F">
        <w:t xml:space="preserve"> </w:t>
      </w:r>
      <w:r>
        <w:t>routes</w:t>
      </w:r>
      <w:r w:rsidR="0013032F">
        <w:t xml:space="preserve"> </w:t>
      </w:r>
      <w:r>
        <w:t>and</w:t>
      </w:r>
      <w:r w:rsidR="0013032F">
        <w:t xml:space="preserve"> </w:t>
      </w:r>
      <w:r>
        <w:t>services</w:t>
      </w:r>
      <w:r w:rsidR="0013032F">
        <w:t xml:space="preserve"> </w:t>
      </w:r>
      <w:r>
        <w:t>in</w:t>
      </w:r>
      <w:r w:rsidR="0013032F">
        <w:t xml:space="preserve"> </w:t>
      </w:r>
      <w:r>
        <w:t>the</w:t>
      </w:r>
      <w:r w:rsidR="0013032F">
        <w:t xml:space="preserve"> </w:t>
      </w:r>
      <w:r>
        <w:t>Central</w:t>
      </w:r>
      <w:r w:rsidR="0013032F">
        <w:t xml:space="preserve"> </w:t>
      </w:r>
      <w:r>
        <w:t>Highlands</w:t>
      </w:r>
      <w:r w:rsidR="0013032F">
        <w:t xml:space="preserve"> </w:t>
      </w:r>
      <w:r>
        <w:t>region.</w:t>
      </w:r>
    </w:p>
    <w:p w14:paraId="0165AEE1" w14:textId="77777777" w:rsidR="00757772" w:rsidRDefault="00305D3C" w:rsidP="00763803">
      <w:pPr>
        <w:pStyle w:val="Heading3"/>
      </w:pPr>
      <w:r>
        <w:lastRenderedPageBreak/>
        <w:t>Highlights:</w:t>
      </w:r>
    </w:p>
    <w:p w14:paraId="34F28BA3" w14:textId="3DC39FF7" w:rsidR="00757772" w:rsidRDefault="00305D3C" w:rsidP="00763803">
      <w:pPr>
        <w:pStyle w:val="Bullet"/>
        <w:keepNext/>
      </w:pPr>
      <w:r>
        <w:t>Continued</w:t>
      </w:r>
      <w:r w:rsidR="0013032F">
        <w:t xml:space="preserve"> </w:t>
      </w:r>
      <w:r>
        <w:t>collaborating</w:t>
      </w:r>
      <w:r w:rsidR="0013032F">
        <w:t xml:space="preserve"> </w:t>
      </w:r>
      <w:r>
        <w:t>with</w:t>
      </w:r>
      <w:r w:rsidR="0013032F">
        <w:t xml:space="preserve"> </w:t>
      </w:r>
      <w:r>
        <w:t>RDA</w:t>
      </w:r>
      <w:r w:rsidR="0013032F">
        <w:t xml:space="preserve"> </w:t>
      </w:r>
      <w:r>
        <w:t>Grampians</w:t>
      </w:r>
      <w:r w:rsidR="0013032F">
        <w:t xml:space="preserve"> </w:t>
      </w:r>
      <w:r>
        <w:t>to</w:t>
      </w:r>
      <w:r w:rsidR="0013032F">
        <w:t xml:space="preserve"> </w:t>
      </w:r>
      <w:r>
        <w:t>implement</w:t>
      </w:r>
      <w:r w:rsidR="0013032F">
        <w:t xml:space="preserve"> </w:t>
      </w:r>
      <w:r>
        <w:t>outcomes</w:t>
      </w:r>
      <w:r w:rsidR="0013032F">
        <w:t xml:space="preserve"> </w:t>
      </w:r>
      <w:r>
        <w:t>of</w:t>
      </w:r>
      <w:r w:rsidR="0013032F">
        <w:t xml:space="preserve"> </w:t>
      </w:r>
      <w:r>
        <w:t>the</w:t>
      </w:r>
      <w:r w:rsidR="0013032F">
        <w:t xml:space="preserve"> </w:t>
      </w:r>
      <w:r>
        <w:t>For</w:t>
      </w:r>
      <w:r w:rsidR="0013032F">
        <w:t xml:space="preserve"> </w:t>
      </w:r>
      <w:r>
        <w:t>Want</w:t>
      </w:r>
      <w:r w:rsidR="0013032F">
        <w:t xml:space="preserve"> </w:t>
      </w:r>
      <w:r>
        <w:t>of</w:t>
      </w:r>
      <w:r w:rsidR="0013032F">
        <w:t xml:space="preserve"> </w:t>
      </w:r>
      <w:r>
        <w:t>a</w:t>
      </w:r>
      <w:r w:rsidR="0013032F">
        <w:t xml:space="preserve"> </w:t>
      </w:r>
      <w:r>
        <w:t>Worker</w:t>
      </w:r>
      <w:r w:rsidR="0013032F">
        <w:t xml:space="preserve"> </w:t>
      </w:r>
      <w:r>
        <w:t>project,</w:t>
      </w:r>
      <w:r w:rsidR="0013032F">
        <w:t xml:space="preserve"> </w:t>
      </w:r>
      <w:r>
        <w:t>which</w:t>
      </w:r>
      <w:r w:rsidR="0013032F">
        <w:t xml:space="preserve"> </w:t>
      </w:r>
      <w:r>
        <w:t>identified</w:t>
      </w:r>
      <w:r w:rsidR="0013032F">
        <w:t xml:space="preserve"> </w:t>
      </w:r>
      <w:r>
        <w:t>place-based</w:t>
      </w:r>
      <w:r w:rsidR="0013032F">
        <w:t xml:space="preserve"> </w:t>
      </w:r>
      <w:r>
        <w:t>solutions</w:t>
      </w:r>
      <w:r w:rsidR="0013032F">
        <w:t xml:space="preserve"> </w:t>
      </w:r>
      <w:r>
        <w:t>to</w:t>
      </w:r>
      <w:r w:rsidR="0013032F">
        <w:t xml:space="preserve"> </w:t>
      </w:r>
      <w:r>
        <w:t>the</w:t>
      </w:r>
      <w:r w:rsidR="0013032F">
        <w:t xml:space="preserve"> </w:t>
      </w:r>
      <w:r>
        <w:t>Grampians’</w:t>
      </w:r>
      <w:r w:rsidR="0013032F">
        <w:t xml:space="preserve"> </w:t>
      </w:r>
      <w:r>
        <w:t>workforce</w:t>
      </w:r>
      <w:r w:rsidR="0013032F">
        <w:t xml:space="preserve"> </w:t>
      </w:r>
      <w:r>
        <w:t>supply</w:t>
      </w:r>
      <w:r w:rsidR="0013032F">
        <w:t xml:space="preserve"> </w:t>
      </w:r>
      <w:r>
        <w:t>challenges</w:t>
      </w:r>
    </w:p>
    <w:p w14:paraId="57E3B1E6" w14:textId="28FEFAB0" w:rsidR="00757772" w:rsidRDefault="00305D3C" w:rsidP="00763803">
      <w:pPr>
        <w:pStyle w:val="Bullet"/>
      </w:pPr>
      <w:r>
        <w:t>Advocated</w:t>
      </w:r>
      <w:r w:rsidR="0013032F">
        <w:t xml:space="preserve"> </w:t>
      </w:r>
      <w:r>
        <w:t>successfully</w:t>
      </w:r>
      <w:r w:rsidR="0013032F">
        <w:t xml:space="preserve"> </w:t>
      </w:r>
      <w:r>
        <w:t>for</w:t>
      </w:r>
      <w:r w:rsidR="0013032F">
        <w:t xml:space="preserve"> </w:t>
      </w:r>
      <w:r>
        <w:t>Federation</w:t>
      </w:r>
      <w:r w:rsidR="0013032F">
        <w:t xml:space="preserve"> </w:t>
      </w:r>
      <w:r>
        <w:t>TAFE,</w:t>
      </w:r>
      <w:r w:rsidR="0013032F">
        <w:t xml:space="preserve"> </w:t>
      </w:r>
      <w:r>
        <w:t>which</w:t>
      </w:r>
      <w:r w:rsidR="0013032F">
        <w:t xml:space="preserve"> </w:t>
      </w:r>
      <w:r>
        <w:t>received</w:t>
      </w:r>
      <w:r w:rsidR="0013032F">
        <w:t xml:space="preserve"> </w:t>
      </w:r>
      <w:r>
        <w:t>$6</w:t>
      </w:r>
      <w:r w:rsidR="0013032F">
        <w:t xml:space="preserve"> </w:t>
      </w:r>
      <w:r>
        <w:t>million</w:t>
      </w:r>
      <w:r w:rsidR="0013032F">
        <w:t xml:space="preserve"> </w:t>
      </w:r>
      <w:r>
        <w:t>in</w:t>
      </w:r>
      <w:r w:rsidR="0013032F">
        <w:t xml:space="preserve"> </w:t>
      </w:r>
      <w:r>
        <w:t>the</w:t>
      </w:r>
      <w:r w:rsidR="0013032F">
        <w:t xml:space="preserve"> </w:t>
      </w:r>
      <w:r>
        <w:t>Victorian</w:t>
      </w:r>
      <w:r w:rsidR="0013032F">
        <w:t xml:space="preserve"> </w:t>
      </w:r>
      <w:r>
        <w:t>Government’s</w:t>
      </w:r>
      <w:r w:rsidR="0013032F">
        <w:t xml:space="preserve"> </w:t>
      </w:r>
      <w:r>
        <w:t>2023–24</w:t>
      </w:r>
      <w:r w:rsidR="0013032F">
        <w:t xml:space="preserve"> </w:t>
      </w:r>
      <w:r>
        <w:t>State</w:t>
      </w:r>
      <w:r w:rsidR="0013032F">
        <w:t xml:space="preserve"> </w:t>
      </w:r>
      <w:r>
        <w:t>Budget</w:t>
      </w:r>
      <w:r w:rsidR="0013032F">
        <w:t xml:space="preserve"> </w:t>
      </w:r>
      <w:r>
        <w:t>for</w:t>
      </w:r>
      <w:r w:rsidR="0013032F">
        <w:t xml:space="preserve"> </w:t>
      </w:r>
      <w:r>
        <w:t>the</w:t>
      </w:r>
      <w:r w:rsidR="0013032F">
        <w:t xml:space="preserve"> </w:t>
      </w:r>
      <w:r>
        <w:t>Asia</w:t>
      </w:r>
      <w:r w:rsidR="0013032F">
        <w:t xml:space="preserve"> </w:t>
      </w:r>
      <w:r>
        <w:t>Pacific</w:t>
      </w:r>
      <w:r w:rsidR="0013032F">
        <w:t xml:space="preserve"> </w:t>
      </w:r>
      <w:r>
        <w:t>Renewable</w:t>
      </w:r>
      <w:r w:rsidR="0013032F">
        <w:t xml:space="preserve"> </w:t>
      </w:r>
      <w:r>
        <w:t>Energy</w:t>
      </w:r>
      <w:r w:rsidR="0013032F">
        <w:t xml:space="preserve"> </w:t>
      </w:r>
      <w:r>
        <w:t>Training</w:t>
      </w:r>
      <w:r w:rsidR="0013032F">
        <w:t xml:space="preserve"> </w:t>
      </w:r>
      <w:r>
        <w:t>Centre</w:t>
      </w:r>
      <w:r w:rsidR="0013032F">
        <w:t xml:space="preserve"> </w:t>
      </w:r>
      <w:r>
        <w:t>(APRETC)</w:t>
      </w:r>
      <w:r w:rsidR="0013032F">
        <w:t xml:space="preserve"> </w:t>
      </w:r>
      <w:r>
        <w:t>Stage</w:t>
      </w:r>
      <w:r w:rsidR="0013032F">
        <w:t xml:space="preserve"> </w:t>
      </w:r>
      <w:r>
        <w:t>2</w:t>
      </w:r>
    </w:p>
    <w:p w14:paraId="552CA70C" w14:textId="58E3F390" w:rsidR="00757772" w:rsidRDefault="00305D3C" w:rsidP="00763803">
      <w:pPr>
        <w:pStyle w:val="Bulletlast"/>
      </w:pPr>
      <w:r>
        <w:t>Continued</w:t>
      </w:r>
      <w:r w:rsidR="0013032F">
        <w:t xml:space="preserve"> </w:t>
      </w:r>
      <w:r>
        <w:t>advocating</w:t>
      </w:r>
      <w:r w:rsidR="0013032F">
        <w:t xml:space="preserve"> </w:t>
      </w:r>
      <w:r>
        <w:t>for</w:t>
      </w:r>
      <w:r w:rsidR="0013032F">
        <w:t xml:space="preserve"> </w:t>
      </w:r>
      <w:r>
        <w:t>domestic</w:t>
      </w:r>
      <w:r w:rsidR="0013032F">
        <w:t xml:space="preserve"> </w:t>
      </w:r>
      <w:r>
        <w:t>mobile</w:t>
      </w:r>
      <w:r w:rsidR="0013032F">
        <w:t xml:space="preserve"> </w:t>
      </w:r>
      <w:r>
        <w:t>roaming</w:t>
      </w:r>
      <w:r w:rsidR="0013032F">
        <w:t xml:space="preserve"> </w:t>
      </w:r>
      <w:r>
        <w:t>in</w:t>
      </w:r>
      <w:r w:rsidR="0013032F">
        <w:t xml:space="preserve"> </w:t>
      </w:r>
      <w:r>
        <w:t>collaboration</w:t>
      </w:r>
      <w:r w:rsidR="0013032F">
        <w:t xml:space="preserve"> </w:t>
      </w:r>
      <w:r>
        <w:t>with</w:t>
      </w:r>
      <w:r w:rsidR="0013032F">
        <w:t xml:space="preserve"> </w:t>
      </w:r>
      <w:r>
        <w:t>RDA</w:t>
      </w:r>
      <w:r w:rsidR="0013032F">
        <w:t xml:space="preserve"> </w:t>
      </w:r>
      <w:r>
        <w:t>Grampians,</w:t>
      </w:r>
      <w:r w:rsidR="0013032F">
        <w:t xml:space="preserve"> </w:t>
      </w:r>
      <w:r>
        <w:t>leading</w:t>
      </w:r>
      <w:r w:rsidR="0013032F">
        <w:t xml:space="preserve"> </w:t>
      </w:r>
      <w:r>
        <w:t>to</w:t>
      </w:r>
      <w:r w:rsidR="0013032F">
        <w:t xml:space="preserve"> </w:t>
      </w:r>
      <w:r>
        <w:t>the</w:t>
      </w:r>
      <w:r w:rsidR="0013032F">
        <w:t xml:space="preserve"> </w:t>
      </w:r>
      <w:r>
        <w:t>Australian</w:t>
      </w:r>
      <w:r w:rsidR="0013032F">
        <w:t xml:space="preserve"> </w:t>
      </w:r>
      <w:r>
        <w:t>Co</w:t>
      </w:r>
      <w:r>
        <w:t>mpetition</w:t>
      </w:r>
      <w:r w:rsidR="0013032F">
        <w:t xml:space="preserve"> </w:t>
      </w:r>
      <w:r>
        <w:t>and</w:t>
      </w:r>
      <w:r w:rsidR="0013032F">
        <w:t xml:space="preserve"> </w:t>
      </w:r>
      <w:r>
        <w:t>Consumer</w:t>
      </w:r>
      <w:r w:rsidR="0013032F">
        <w:t xml:space="preserve"> </w:t>
      </w:r>
      <w:r>
        <w:t>Commission</w:t>
      </w:r>
      <w:r w:rsidR="0013032F">
        <w:t xml:space="preserve"> </w:t>
      </w:r>
      <w:r>
        <w:t>(ACCC)</w:t>
      </w:r>
      <w:r w:rsidR="0013032F">
        <w:t xml:space="preserve"> </w:t>
      </w:r>
      <w:r>
        <w:t>undertaking</w:t>
      </w:r>
      <w:r w:rsidR="0013032F">
        <w:t xml:space="preserve"> </w:t>
      </w:r>
      <w:r>
        <w:t>the</w:t>
      </w:r>
      <w:r w:rsidR="0013032F">
        <w:t xml:space="preserve"> </w:t>
      </w:r>
      <w:r>
        <w:t>Regional</w:t>
      </w:r>
      <w:r w:rsidR="0013032F">
        <w:t xml:space="preserve"> </w:t>
      </w:r>
      <w:r>
        <w:t>Mobile</w:t>
      </w:r>
      <w:r w:rsidR="0013032F">
        <w:t xml:space="preserve"> </w:t>
      </w:r>
      <w:r>
        <w:t>Infrastructure</w:t>
      </w:r>
      <w:r w:rsidR="0013032F">
        <w:t xml:space="preserve"> </w:t>
      </w:r>
      <w:r>
        <w:t>Inquiry.</w:t>
      </w:r>
    </w:p>
    <w:p w14:paraId="46809FC8" w14:textId="5CF19AF0" w:rsidR="00763803" w:rsidRPr="00763803" w:rsidRDefault="00763803" w:rsidP="00763803">
      <w:pPr>
        <w:pStyle w:val="Bullet"/>
        <w:rPr>
          <w:lang w:val="en-GB" w:eastAsia="en-AU"/>
        </w:rPr>
      </w:pPr>
      <w:r w:rsidRPr="00763803">
        <w:rPr>
          <w:lang w:val="en-GB" w:eastAsia="en-AU"/>
        </w:rPr>
        <w:t>215,568 Population</w:t>
      </w:r>
      <w:r>
        <w:rPr>
          <w:lang w:val="en-GB" w:eastAsia="en-AU"/>
        </w:rPr>
        <w:t xml:space="preserve"> </w:t>
      </w:r>
      <w:r w:rsidRPr="00763803">
        <w:rPr>
          <w:lang w:val="en-GB" w:eastAsia="en-AU"/>
        </w:rPr>
        <w:t>(2022)</w:t>
      </w:r>
    </w:p>
    <w:p w14:paraId="3C03D0C3" w14:textId="19188220" w:rsidR="00763803" w:rsidRDefault="00763803" w:rsidP="00763803">
      <w:pPr>
        <w:pStyle w:val="Bullet"/>
      </w:pPr>
      <w:r>
        <w:t>23.5% Population growth (2022–2036)</w:t>
      </w:r>
    </w:p>
    <w:p w14:paraId="5C44D4E6" w14:textId="5E42F7C8" w:rsidR="00763803" w:rsidRDefault="00763803" w:rsidP="00763803">
      <w:pPr>
        <w:pStyle w:val="Bulletlast"/>
      </w:pPr>
      <w:r>
        <w:t>$11.4B Gross Regional Product (2022)</w:t>
      </w:r>
    </w:p>
    <w:p w14:paraId="0DEEB17C" w14:textId="79218226" w:rsidR="00757772" w:rsidRPr="00F22F9E" w:rsidRDefault="00305D3C" w:rsidP="00763803">
      <w:pPr>
        <w:pStyle w:val="Heading3"/>
      </w:pPr>
      <w:r w:rsidRPr="00F22F9E">
        <w:t>Case</w:t>
      </w:r>
      <w:r w:rsidR="0013032F">
        <w:t xml:space="preserve"> </w:t>
      </w:r>
      <w:r w:rsidRPr="00F22F9E">
        <w:t>study:</w:t>
      </w:r>
    </w:p>
    <w:p w14:paraId="191B9FF1" w14:textId="0909FF1B" w:rsidR="00757772" w:rsidRPr="00763803" w:rsidRDefault="00305D3C" w:rsidP="00763803">
      <w:pPr>
        <w:pStyle w:val="Normalbeforebullets"/>
        <w:rPr>
          <w:b/>
          <w:bCs/>
        </w:rPr>
      </w:pPr>
      <w:r w:rsidRPr="00763803">
        <w:rPr>
          <w:b/>
          <w:bCs/>
        </w:rPr>
        <w:t>Accessible</w:t>
      </w:r>
      <w:r w:rsidR="0013032F" w:rsidRPr="00763803">
        <w:rPr>
          <w:b/>
          <w:bCs/>
        </w:rPr>
        <w:t xml:space="preserve"> </w:t>
      </w:r>
      <w:r w:rsidRPr="00763803">
        <w:rPr>
          <w:b/>
          <w:bCs/>
        </w:rPr>
        <w:t>and</w:t>
      </w:r>
      <w:r w:rsidR="0013032F" w:rsidRPr="00763803">
        <w:rPr>
          <w:b/>
          <w:bCs/>
        </w:rPr>
        <w:t xml:space="preserve"> </w:t>
      </w:r>
      <w:r w:rsidRPr="00763803">
        <w:rPr>
          <w:b/>
          <w:bCs/>
        </w:rPr>
        <w:t>connected</w:t>
      </w:r>
      <w:r w:rsidR="0013032F" w:rsidRPr="00763803">
        <w:rPr>
          <w:b/>
          <w:bCs/>
        </w:rPr>
        <w:t xml:space="preserve"> </w:t>
      </w:r>
      <w:r w:rsidRPr="00763803">
        <w:rPr>
          <w:b/>
          <w:bCs/>
        </w:rPr>
        <w:t>public</w:t>
      </w:r>
      <w:r w:rsidR="0013032F" w:rsidRPr="00763803">
        <w:rPr>
          <w:b/>
          <w:bCs/>
        </w:rPr>
        <w:t xml:space="preserve"> </w:t>
      </w:r>
      <w:r w:rsidRPr="00763803">
        <w:rPr>
          <w:b/>
          <w:bCs/>
        </w:rPr>
        <w:t>transport</w:t>
      </w:r>
    </w:p>
    <w:p w14:paraId="53D39560" w14:textId="5BA80352" w:rsidR="00757772" w:rsidRPr="00763803" w:rsidRDefault="00305D3C" w:rsidP="00763803">
      <w:r w:rsidRPr="00763803">
        <w:t>The</w:t>
      </w:r>
      <w:r w:rsidR="0013032F" w:rsidRPr="00763803">
        <w:t xml:space="preserve"> </w:t>
      </w:r>
      <w:r w:rsidRPr="00763803">
        <w:t>partnership</w:t>
      </w:r>
      <w:r w:rsidR="0013032F" w:rsidRPr="00763803">
        <w:t xml:space="preserve"> </w:t>
      </w:r>
      <w:r w:rsidRPr="00763803">
        <w:t>identified</w:t>
      </w:r>
      <w:r w:rsidR="0013032F" w:rsidRPr="00763803">
        <w:t xml:space="preserve"> </w:t>
      </w:r>
      <w:r w:rsidRPr="00763803">
        <w:t>accessible</w:t>
      </w:r>
      <w:r w:rsidR="0013032F" w:rsidRPr="00763803">
        <w:t xml:space="preserve"> </w:t>
      </w:r>
      <w:r w:rsidRPr="00763803">
        <w:t>and</w:t>
      </w:r>
      <w:r w:rsidR="0013032F" w:rsidRPr="00763803">
        <w:t xml:space="preserve"> </w:t>
      </w:r>
      <w:r w:rsidRPr="00763803">
        <w:t>connected</w:t>
      </w:r>
      <w:r w:rsidR="0013032F" w:rsidRPr="00763803">
        <w:t xml:space="preserve"> </w:t>
      </w:r>
      <w:r w:rsidRPr="00763803">
        <w:t>public</w:t>
      </w:r>
      <w:r w:rsidR="0013032F" w:rsidRPr="00763803">
        <w:t xml:space="preserve"> </w:t>
      </w:r>
      <w:r w:rsidRPr="00763803">
        <w:t>transport</w:t>
      </w:r>
      <w:r w:rsidR="0013032F" w:rsidRPr="00763803">
        <w:t xml:space="preserve"> </w:t>
      </w:r>
      <w:r w:rsidRPr="00763803">
        <w:t>as</w:t>
      </w:r>
      <w:r w:rsidR="0013032F" w:rsidRPr="00763803">
        <w:t xml:space="preserve"> </w:t>
      </w:r>
      <w:r w:rsidRPr="00763803">
        <w:t>a</w:t>
      </w:r>
      <w:r w:rsidR="0013032F" w:rsidRPr="00763803">
        <w:t xml:space="preserve"> </w:t>
      </w:r>
      <w:r w:rsidRPr="00763803">
        <w:t>priority</w:t>
      </w:r>
      <w:r w:rsidR="0013032F" w:rsidRPr="00763803">
        <w:t xml:space="preserve"> </w:t>
      </w:r>
      <w:r w:rsidRPr="00763803">
        <w:t>for</w:t>
      </w:r>
      <w:r w:rsidR="0013032F" w:rsidRPr="00763803">
        <w:t xml:space="preserve"> </w:t>
      </w:r>
      <w:r w:rsidRPr="00763803">
        <w:t>the</w:t>
      </w:r>
      <w:r w:rsidR="0013032F" w:rsidRPr="00763803">
        <w:t xml:space="preserve"> </w:t>
      </w:r>
      <w:r w:rsidRPr="00763803">
        <w:t>region.</w:t>
      </w:r>
      <w:r w:rsidR="0013032F" w:rsidRPr="00763803">
        <w:t xml:space="preserve"> </w:t>
      </w:r>
      <w:r w:rsidRPr="00763803">
        <w:t>This</w:t>
      </w:r>
      <w:r w:rsidR="0013032F" w:rsidRPr="00763803">
        <w:t xml:space="preserve"> </w:t>
      </w:r>
      <w:r w:rsidRPr="00763803">
        <w:t>will</w:t>
      </w:r>
      <w:r w:rsidR="0013032F" w:rsidRPr="00763803">
        <w:t xml:space="preserve"> </w:t>
      </w:r>
      <w:r w:rsidRPr="00763803">
        <w:t>help</w:t>
      </w:r>
      <w:r w:rsidR="0013032F" w:rsidRPr="00763803">
        <w:t xml:space="preserve"> </w:t>
      </w:r>
      <w:r w:rsidRPr="00763803">
        <w:t>enable</w:t>
      </w:r>
      <w:r w:rsidR="0013032F" w:rsidRPr="00763803">
        <w:t xml:space="preserve"> </w:t>
      </w:r>
      <w:r w:rsidRPr="00763803">
        <w:t>access</w:t>
      </w:r>
      <w:r w:rsidR="0013032F" w:rsidRPr="00763803">
        <w:t xml:space="preserve"> </w:t>
      </w:r>
      <w:r w:rsidRPr="00763803">
        <w:t>to</w:t>
      </w:r>
      <w:r w:rsidR="0013032F" w:rsidRPr="00763803">
        <w:t xml:space="preserve"> </w:t>
      </w:r>
      <w:r w:rsidRPr="00763803">
        <w:t>employment,</w:t>
      </w:r>
      <w:r w:rsidR="0013032F" w:rsidRPr="00763803">
        <w:t xml:space="preserve"> </w:t>
      </w:r>
      <w:r w:rsidRPr="00763803">
        <w:t>education,</w:t>
      </w:r>
      <w:r w:rsidR="0013032F" w:rsidRPr="00763803">
        <w:t xml:space="preserve"> </w:t>
      </w:r>
      <w:r w:rsidRPr="00763803">
        <w:t>services</w:t>
      </w:r>
      <w:r w:rsidR="0013032F" w:rsidRPr="00763803">
        <w:t xml:space="preserve"> </w:t>
      </w:r>
      <w:r w:rsidRPr="00763803">
        <w:t>and</w:t>
      </w:r>
      <w:r w:rsidR="0013032F" w:rsidRPr="00763803">
        <w:t xml:space="preserve"> </w:t>
      </w:r>
      <w:r w:rsidRPr="00763803">
        <w:t>civic</w:t>
      </w:r>
      <w:r w:rsidR="0013032F" w:rsidRPr="00763803">
        <w:t xml:space="preserve"> </w:t>
      </w:r>
      <w:r w:rsidRPr="00763803">
        <w:t>participation</w:t>
      </w:r>
      <w:r w:rsidR="0013032F" w:rsidRPr="00763803">
        <w:t xml:space="preserve"> </w:t>
      </w:r>
      <w:r w:rsidRPr="00763803">
        <w:t>for</w:t>
      </w:r>
      <w:r w:rsidR="0013032F" w:rsidRPr="00763803">
        <w:t xml:space="preserve"> </w:t>
      </w:r>
      <w:r w:rsidRPr="00763803">
        <w:t>some</w:t>
      </w:r>
      <w:r w:rsidR="0013032F" w:rsidRPr="00763803">
        <w:t xml:space="preserve"> </w:t>
      </w:r>
      <w:r w:rsidRPr="00763803">
        <w:t>of</w:t>
      </w:r>
      <w:r w:rsidR="0013032F" w:rsidRPr="00763803">
        <w:t xml:space="preserve"> </w:t>
      </w:r>
      <w:r w:rsidRPr="00763803">
        <w:t>the</w:t>
      </w:r>
      <w:r w:rsidR="0013032F" w:rsidRPr="00763803">
        <w:t xml:space="preserve"> </w:t>
      </w:r>
      <w:r w:rsidRPr="00763803">
        <w:t>most</w:t>
      </w:r>
      <w:r w:rsidR="0013032F" w:rsidRPr="00763803">
        <w:t xml:space="preserve"> </w:t>
      </w:r>
      <w:r w:rsidRPr="00763803">
        <w:t>disadvantaged</w:t>
      </w:r>
      <w:r w:rsidR="0013032F" w:rsidRPr="00763803">
        <w:t xml:space="preserve"> </w:t>
      </w:r>
      <w:r w:rsidRPr="00763803">
        <w:t>communities</w:t>
      </w:r>
      <w:r w:rsidR="0013032F" w:rsidRPr="00763803">
        <w:t xml:space="preserve"> </w:t>
      </w:r>
      <w:r w:rsidRPr="00763803">
        <w:t>in</w:t>
      </w:r>
      <w:r w:rsidR="0013032F" w:rsidRPr="00763803">
        <w:t xml:space="preserve"> </w:t>
      </w:r>
      <w:r w:rsidRPr="00763803">
        <w:t>the</w:t>
      </w:r>
      <w:r w:rsidR="0013032F" w:rsidRPr="00763803">
        <w:t xml:space="preserve"> </w:t>
      </w:r>
      <w:r w:rsidRPr="00763803">
        <w:t>region.</w:t>
      </w:r>
    </w:p>
    <w:p w14:paraId="77165FE2" w14:textId="6D580556" w:rsidR="00757772" w:rsidRPr="00763803" w:rsidRDefault="00305D3C" w:rsidP="00763803">
      <w:r w:rsidRPr="00763803">
        <w:t>Through</w:t>
      </w:r>
      <w:r w:rsidR="0013032F" w:rsidRPr="00763803">
        <w:t xml:space="preserve"> </w:t>
      </w:r>
      <w:r w:rsidRPr="00763803">
        <w:t>the</w:t>
      </w:r>
      <w:r w:rsidR="0013032F" w:rsidRPr="00763803">
        <w:t xml:space="preserve"> </w:t>
      </w:r>
      <w:r w:rsidRPr="00763803">
        <w:t>Regional</w:t>
      </w:r>
      <w:r w:rsidR="0013032F" w:rsidRPr="00763803">
        <w:t xml:space="preserve"> </w:t>
      </w:r>
      <w:r w:rsidRPr="00763803">
        <w:t>Partnership</w:t>
      </w:r>
      <w:r w:rsidR="0013032F" w:rsidRPr="00763803">
        <w:t xml:space="preserve"> </w:t>
      </w:r>
      <w:r w:rsidRPr="00763803">
        <w:t>Development</w:t>
      </w:r>
      <w:r w:rsidR="0013032F" w:rsidRPr="00763803">
        <w:t xml:space="preserve"> </w:t>
      </w:r>
      <w:r w:rsidRPr="00763803">
        <w:t>Fund,</w:t>
      </w:r>
      <w:r w:rsidR="0013032F" w:rsidRPr="00763803">
        <w:t xml:space="preserve"> </w:t>
      </w:r>
      <w:r w:rsidRPr="00763803">
        <w:t>CHRP</w:t>
      </w:r>
      <w:r w:rsidR="0013032F" w:rsidRPr="00763803">
        <w:t xml:space="preserve"> </w:t>
      </w:r>
      <w:r w:rsidRPr="00763803">
        <w:t>commissioned</w:t>
      </w:r>
      <w:r w:rsidR="0013032F" w:rsidRPr="00763803">
        <w:t xml:space="preserve"> </w:t>
      </w:r>
      <w:r w:rsidRPr="00763803">
        <w:t>the</w:t>
      </w:r>
      <w:r w:rsidR="0013032F" w:rsidRPr="00763803">
        <w:t xml:space="preserve"> </w:t>
      </w:r>
      <w:r w:rsidRPr="00763803">
        <w:t>Improving</w:t>
      </w:r>
      <w:r w:rsidR="0013032F" w:rsidRPr="00763803">
        <w:t xml:space="preserve"> </w:t>
      </w:r>
      <w:r w:rsidRPr="00763803">
        <w:t>Public</w:t>
      </w:r>
      <w:r w:rsidR="0013032F" w:rsidRPr="00763803">
        <w:t xml:space="preserve"> </w:t>
      </w:r>
      <w:r w:rsidRPr="00763803">
        <w:t>Transport</w:t>
      </w:r>
      <w:r w:rsidR="0013032F" w:rsidRPr="00763803">
        <w:t xml:space="preserve"> </w:t>
      </w:r>
      <w:r w:rsidRPr="00763803">
        <w:t>Connectivity</w:t>
      </w:r>
      <w:r w:rsidR="0013032F" w:rsidRPr="00763803">
        <w:t xml:space="preserve"> </w:t>
      </w:r>
      <w:r w:rsidRPr="00763803">
        <w:t>in</w:t>
      </w:r>
      <w:r w:rsidR="0013032F" w:rsidRPr="00763803">
        <w:t xml:space="preserve"> </w:t>
      </w:r>
      <w:r w:rsidRPr="00763803">
        <w:t>the</w:t>
      </w:r>
      <w:r w:rsidR="0013032F" w:rsidRPr="00763803">
        <w:t xml:space="preserve"> </w:t>
      </w:r>
      <w:r w:rsidRPr="00763803">
        <w:t>Central</w:t>
      </w:r>
      <w:r w:rsidR="0013032F" w:rsidRPr="00763803">
        <w:t xml:space="preserve"> </w:t>
      </w:r>
      <w:r w:rsidRPr="00763803">
        <w:t>Highlands</w:t>
      </w:r>
      <w:r w:rsidR="0013032F" w:rsidRPr="00763803">
        <w:t xml:space="preserve"> </w:t>
      </w:r>
      <w:r w:rsidRPr="00763803">
        <w:t>project.</w:t>
      </w:r>
      <w:r w:rsidR="0013032F" w:rsidRPr="00763803">
        <w:t xml:space="preserve"> </w:t>
      </w:r>
      <w:r w:rsidRPr="00763803">
        <w:t>The</w:t>
      </w:r>
      <w:r w:rsidR="0013032F" w:rsidRPr="00763803">
        <w:t xml:space="preserve"> </w:t>
      </w:r>
      <w:r w:rsidRPr="00763803">
        <w:t>research</w:t>
      </w:r>
      <w:r w:rsidR="0013032F" w:rsidRPr="00763803">
        <w:t xml:space="preserve"> </w:t>
      </w:r>
      <w:r w:rsidRPr="00763803">
        <w:t>engaged</w:t>
      </w:r>
      <w:r w:rsidR="0013032F" w:rsidRPr="00763803">
        <w:t xml:space="preserve"> </w:t>
      </w:r>
      <w:r w:rsidRPr="00763803">
        <w:t>community</w:t>
      </w:r>
      <w:r w:rsidR="0013032F" w:rsidRPr="00763803">
        <w:t xml:space="preserve"> </w:t>
      </w:r>
      <w:r w:rsidRPr="00763803">
        <w:t>stakeholders</w:t>
      </w:r>
      <w:r w:rsidR="0013032F" w:rsidRPr="00763803">
        <w:t xml:space="preserve"> </w:t>
      </w:r>
      <w:r w:rsidRPr="00763803">
        <w:t>to</w:t>
      </w:r>
      <w:r w:rsidR="0013032F" w:rsidRPr="00763803">
        <w:t xml:space="preserve"> </w:t>
      </w:r>
      <w:r w:rsidRPr="00763803">
        <w:t>identify</w:t>
      </w:r>
      <w:r w:rsidR="0013032F" w:rsidRPr="00763803">
        <w:t xml:space="preserve"> </w:t>
      </w:r>
      <w:r w:rsidRPr="00763803">
        <w:t>the</w:t>
      </w:r>
      <w:r w:rsidR="0013032F" w:rsidRPr="00763803">
        <w:t xml:space="preserve"> </w:t>
      </w:r>
      <w:r w:rsidRPr="00763803">
        <w:t>immediate</w:t>
      </w:r>
      <w:r w:rsidR="0013032F" w:rsidRPr="00763803">
        <w:t xml:space="preserve"> </w:t>
      </w:r>
      <w:r w:rsidRPr="00763803">
        <w:t>opportunities</w:t>
      </w:r>
      <w:r w:rsidR="0013032F" w:rsidRPr="00763803">
        <w:t xml:space="preserve"> </w:t>
      </w:r>
      <w:r w:rsidRPr="00763803">
        <w:t>for</w:t>
      </w:r>
      <w:r w:rsidR="0013032F" w:rsidRPr="00763803">
        <w:t xml:space="preserve"> </w:t>
      </w:r>
      <w:r w:rsidRPr="00763803">
        <w:t>i</w:t>
      </w:r>
      <w:r w:rsidRPr="00763803">
        <w:t>mproving</w:t>
      </w:r>
      <w:r w:rsidR="0013032F" w:rsidRPr="00763803">
        <w:t xml:space="preserve"> </w:t>
      </w:r>
      <w:r w:rsidRPr="00763803">
        <w:t>public</w:t>
      </w:r>
      <w:r w:rsidR="0013032F" w:rsidRPr="00763803">
        <w:t xml:space="preserve"> </w:t>
      </w:r>
      <w:r w:rsidRPr="00763803">
        <w:t>transport</w:t>
      </w:r>
      <w:r w:rsidR="0013032F" w:rsidRPr="00763803">
        <w:t xml:space="preserve"> </w:t>
      </w:r>
      <w:r w:rsidRPr="00763803">
        <w:t>connectivity</w:t>
      </w:r>
      <w:r w:rsidR="0013032F" w:rsidRPr="00763803">
        <w:t xml:space="preserve"> </w:t>
      </w:r>
      <w:r w:rsidRPr="00763803">
        <w:t>in</w:t>
      </w:r>
      <w:r w:rsidR="0013032F" w:rsidRPr="00763803">
        <w:t xml:space="preserve"> </w:t>
      </w:r>
      <w:r w:rsidRPr="00763803">
        <w:t>the</w:t>
      </w:r>
      <w:r w:rsidR="0013032F" w:rsidRPr="00763803">
        <w:t xml:space="preserve"> </w:t>
      </w:r>
      <w:r w:rsidRPr="00763803">
        <w:t>region.</w:t>
      </w:r>
      <w:r w:rsidR="0013032F" w:rsidRPr="00763803">
        <w:t xml:space="preserve"> </w:t>
      </w:r>
    </w:p>
    <w:p w14:paraId="30696367" w14:textId="5B366D49" w:rsidR="00757772" w:rsidRPr="00763803" w:rsidRDefault="00305D3C" w:rsidP="00763803">
      <w:r w:rsidRPr="00763803">
        <w:t>CHRP</w:t>
      </w:r>
      <w:r w:rsidR="0013032F" w:rsidRPr="00763803">
        <w:t xml:space="preserve"> </w:t>
      </w:r>
      <w:r w:rsidRPr="00763803">
        <w:t>continues</w:t>
      </w:r>
      <w:r w:rsidR="0013032F" w:rsidRPr="00763803">
        <w:t xml:space="preserve"> </w:t>
      </w:r>
      <w:r w:rsidRPr="00763803">
        <w:t>to</w:t>
      </w:r>
      <w:r w:rsidR="0013032F" w:rsidRPr="00763803">
        <w:t xml:space="preserve"> </w:t>
      </w:r>
      <w:r w:rsidRPr="00763803">
        <w:t>work</w:t>
      </w:r>
      <w:r w:rsidR="0013032F" w:rsidRPr="00763803">
        <w:t xml:space="preserve"> </w:t>
      </w:r>
      <w:r w:rsidRPr="00763803">
        <w:t>with</w:t>
      </w:r>
      <w:r w:rsidR="0013032F" w:rsidRPr="00763803">
        <w:t xml:space="preserve"> </w:t>
      </w:r>
      <w:r w:rsidRPr="00763803">
        <w:t>the</w:t>
      </w:r>
      <w:r w:rsidR="0013032F" w:rsidRPr="00763803">
        <w:t xml:space="preserve"> </w:t>
      </w:r>
      <w:r w:rsidRPr="00763803">
        <w:t>Department</w:t>
      </w:r>
      <w:r w:rsidR="0013032F" w:rsidRPr="00763803">
        <w:t xml:space="preserve"> </w:t>
      </w:r>
      <w:r w:rsidRPr="00763803">
        <w:t>of</w:t>
      </w:r>
      <w:r w:rsidR="0013032F" w:rsidRPr="00763803">
        <w:t xml:space="preserve"> </w:t>
      </w:r>
      <w:r w:rsidRPr="00763803">
        <w:t>Transport</w:t>
      </w:r>
      <w:r w:rsidR="0013032F" w:rsidRPr="00763803">
        <w:t xml:space="preserve"> </w:t>
      </w:r>
      <w:r w:rsidRPr="00763803">
        <w:t>and</w:t>
      </w:r>
      <w:r w:rsidR="0013032F" w:rsidRPr="00763803">
        <w:t xml:space="preserve"> </w:t>
      </w:r>
      <w:r w:rsidRPr="00763803">
        <w:t>Planning</w:t>
      </w:r>
      <w:r w:rsidR="0013032F" w:rsidRPr="00763803">
        <w:t xml:space="preserve"> </w:t>
      </w:r>
      <w:r w:rsidRPr="00763803">
        <w:t>to</w:t>
      </w:r>
      <w:r w:rsidR="0013032F" w:rsidRPr="00763803">
        <w:t xml:space="preserve"> </w:t>
      </w:r>
      <w:r w:rsidRPr="00763803">
        <w:t>identify</w:t>
      </w:r>
      <w:r w:rsidR="0013032F" w:rsidRPr="00763803">
        <w:t xml:space="preserve"> </w:t>
      </w:r>
      <w:r w:rsidRPr="00763803">
        <w:t>funding</w:t>
      </w:r>
      <w:r w:rsidR="0013032F" w:rsidRPr="00763803">
        <w:t xml:space="preserve"> </w:t>
      </w:r>
      <w:r w:rsidRPr="00763803">
        <w:t>streams</w:t>
      </w:r>
      <w:r w:rsidR="0013032F" w:rsidRPr="00763803">
        <w:t xml:space="preserve"> </w:t>
      </w:r>
      <w:r w:rsidRPr="00763803">
        <w:t>for</w:t>
      </w:r>
      <w:r w:rsidR="0013032F" w:rsidRPr="00763803">
        <w:t xml:space="preserve"> </w:t>
      </w:r>
      <w:r w:rsidRPr="00763803">
        <w:t>implementation</w:t>
      </w:r>
      <w:r w:rsidR="0013032F" w:rsidRPr="00763803">
        <w:t xml:space="preserve"> </w:t>
      </w:r>
      <w:r w:rsidRPr="00763803">
        <w:t>of</w:t>
      </w:r>
      <w:r w:rsidR="0013032F" w:rsidRPr="00763803">
        <w:t xml:space="preserve"> </w:t>
      </w:r>
      <w:r w:rsidRPr="00763803">
        <w:t>the</w:t>
      </w:r>
      <w:r w:rsidR="0013032F" w:rsidRPr="00763803">
        <w:t xml:space="preserve"> </w:t>
      </w:r>
      <w:r w:rsidRPr="00763803">
        <w:t>recommendations.</w:t>
      </w:r>
    </w:p>
    <w:p w14:paraId="56173B76" w14:textId="1C457732" w:rsidR="00757772" w:rsidRDefault="00305D3C" w:rsidP="00286112">
      <w:pPr>
        <w:pStyle w:val="Heading2"/>
      </w:pPr>
      <w:bookmarkStart w:id="20" w:name="_Toc149566566"/>
      <w:r>
        <w:t>Ovens</w:t>
      </w:r>
      <w:r w:rsidR="0013032F">
        <w:t xml:space="preserve"> </w:t>
      </w:r>
      <w:r>
        <w:t>Murray</w:t>
      </w:r>
      <w:bookmarkEnd w:id="20"/>
    </w:p>
    <w:p w14:paraId="5450FDED" w14:textId="58261F12" w:rsidR="00757772" w:rsidRDefault="00305D3C" w:rsidP="00E51BBC">
      <w:r>
        <w:t>In</w:t>
      </w:r>
      <w:r w:rsidR="0013032F">
        <w:t xml:space="preserve"> </w:t>
      </w:r>
      <w:r>
        <w:t>2022–23</w:t>
      </w:r>
      <w:r w:rsidR="0013032F">
        <w:t xml:space="preserve"> </w:t>
      </w:r>
      <w:r>
        <w:t>the</w:t>
      </w:r>
      <w:r w:rsidR="0013032F">
        <w:t xml:space="preserve"> </w:t>
      </w:r>
      <w:r>
        <w:t>Ovens</w:t>
      </w:r>
      <w:r w:rsidR="0013032F">
        <w:t xml:space="preserve"> </w:t>
      </w:r>
      <w:r>
        <w:t>Murray</w:t>
      </w:r>
      <w:r w:rsidR="0013032F">
        <w:t xml:space="preserve"> </w:t>
      </w:r>
      <w:r>
        <w:t>Regional</w:t>
      </w:r>
      <w:r w:rsidR="0013032F">
        <w:t xml:space="preserve"> </w:t>
      </w:r>
      <w:r>
        <w:t>Partnership</w:t>
      </w:r>
      <w:r w:rsidR="0013032F">
        <w:t xml:space="preserve"> </w:t>
      </w:r>
      <w:r>
        <w:t>(OMRP)</w:t>
      </w:r>
      <w:r w:rsidR="0013032F">
        <w:t xml:space="preserve"> </w:t>
      </w:r>
      <w:r>
        <w:t>focused</w:t>
      </w:r>
      <w:r w:rsidR="0013032F">
        <w:t xml:space="preserve"> </w:t>
      </w:r>
      <w:r>
        <w:t>on</w:t>
      </w:r>
      <w:r w:rsidR="0013032F">
        <w:t xml:space="preserve"> </w:t>
      </w:r>
      <w:r>
        <w:t>advocacy</w:t>
      </w:r>
      <w:r w:rsidR="0013032F">
        <w:t xml:space="preserve"> </w:t>
      </w:r>
      <w:r>
        <w:t>for</w:t>
      </w:r>
      <w:r w:rsidR="0013032F">
        <w:t xml:space="preserve"> </w:t>
      </w:r>
      <w:r>
        <w:t>strategic</w:t>
      </w:r>
      <w:r w:rsidR="0013032F">
        <w:t xml:space="preserve"> </w:t>
      </w:r>
      <w:r>
        <w:t>investment</w:t>
      </w:r>
      <w:r w:rsidR="0013032F">
        <w:t xml:space="preserve"> </w:t>
      </w:r>
      <w:r>
        <w:t>into</w:t>
      </w:r>
      <w:r w:rsidR="0013032F">
        <w:t xml:space="preserve"> </w:t>
      </w:r>
      <w:r>
        <w:t>its</w:t>
      </w:r>
      <w:r w:rsidR="0013032F">
        <w:t xml:space="preserve"> </w:t>
      </w:r>
      <w:r>
        <w:t>economic</w:t>
      </w:r>
      <w:r w:rsidR="0013032F">
        <w:t xml:space="preserve"> </w:t>
      </w:r>
      <w:r>
        <w:t>and</w:t>
      </w:r>
      <w:r w:rsidR="0013032F">
        <w:t xml:space="preserve"> </w:t>
      </w:r>
      <w:r>
        <w:t>social</w:t>
      </w:r>
      <w:r w:rsidR="0013032F">
        <w:t xml:space="preserve"> </w:t>
      </w:r>
      <w:r>
        <w:t>infrastructure.</w:t>
      </w:r>
    </w:p>
    <w:p w14:paraId="422A41B1" w14:textId="3EE3D9AA" w:rsidR="00757772" w:rsidRDefault="00305D3C" w:rsidP="0085405D">
      <w:pPr>
        <w:pStyle w:val="Heading3"/>
      </w:pPr>
      <w:r>
        <w:t>Regional</w:t>
      </w:r>
      <w:r w:rsidR="0013032F">
        <w:t xml:space="preserve"> </w:t>
      </w:r>
      <w:r>
        <w:t>priorities:</w:t>
      </w:r>
    </w:p>
    <w:p w14:paraId="6A26FFE9" w14:textId="4096FD18" w:rsidR="00757772" w:rsidRDefault="00305D3C" w:rsidP="0085405D">
      <w:pPr>
        <w:pStyle w:val="Bullet"/>
      </w:pPr>
      <w:r w:rsidRPr="0085405D">
        <w:rPr>
          <w:b/>
          <w:bCs/>
        </w:rPr>
        <w:t>Tourism</w:t>
      </w:r>
      <w:r w:rsidR="0013032F" w:rsidRPr="0085405D">
        <w:rPr>
          <w:b/>
          <w:bCs/>
        </w:rPr>
        <w:t xml:space="preserve"> </w:t>
      </w:r>
      <w:r w:rsidRPr="0085405D">
        <w:rPr>
          <w:b/>
          <w:bCs/>
        </w:rPr>
        <w:t>infrastructure</w:t>
      </w:r>
      <w:r w:rsidR="0013032F" w:rsidRPr="0085405D">
        <w:rPr>
          <w:b/>
          <w:bCs/>
        </w:rPr>
        <w:t xml:space="preserve"> </w:t>
      </w:r>
      <w:r w:rsidRPr="0085405D">
        <w:rPr>
          <w:b/>
          <w:bCs/>
        </w:rPr>
        <w:t>and</w:t>
      </w:r>
      <w:r w:rsidR="0013032F" w:rsidRPr="0085405D">
        <w:rPr>
          <w:b/>
          <w:bCs/>
        </w:rPr>
        <w:t xml:space="preserve"> </w:t>
      </w:r>
      <w:r w:rsidRPr="0085405D">
        <w:rPr>
          <w:b/>
          <w:bCs/>
        </w:rPr>
        <w:t>natural</w:t>
      </w:r>
      <w:r w:rsidR="0013032F" w:rsidRPr="0085405D">
        <w:rPr>
          <w:b/>
          <w:bCs/>
        </w:rPr>
        <w:t xml:space="preserve"> </w:t>
      </w:r>
      <w:r w:rsidRPr="0085405D">
        <w:rPr>
          <w:b/>
          <w:bCs/>
        </w:rPr>
        <w:t>assets</w:t>
      </w:r>
      <w:r w:rsidR="0013032F" w:rsidRPr="0085405D">
        <w:t xml:space="preserve"> </w:t>
      </w:r>
      <w:r>
        <w:t>–</w:t>
      </w:r>
      <w:r w:rsidR="0013032F">
        <w:t xml:space="preserve"> </w:t>
      </w:r>
      <w:r>
        <w:t>continued</w:t>
      </w:r>
      <w:r w:rsidR="0013032F">
        <w:t xml:space="preserve"> </w:t>
      </w:r>
      <w:r>
        <w:t>to</w:t>
      </w:r>
      <w:r w:rsidR="0013032F">
        <w:t xml:space="preserve"> </w:t>
      </w:r>
      <w:r>
        <w:t>advocate</w:t>
      </w:r>
      <w:r w:rsidR="0013032F">
        <w:t xml:space="preserve"> </w:t>
      </w:r>
      <w:r>
        <w:t>for</w:t>
      </w:r>
      <w:r w:rsidR="0013032F">
        <w:t xml:space="preserve"> </w:t>
      </w:r>
      <w:r>
        <w:t>funding</w:t>
      </w:r>
      <w:r w:rsidR="0013032F">
        <w:t xml:space="preserve"> </w:t>
      </w:r>
      <w:r>
        <w:t>to</w:t>
      </w:r>
      <w:r w:rsidR="0013032F">
        <w:t xml:space="preserve"> </w:t>
      </w:r>
      <w:r>
        <w:t>develop</w:t>
      </w:r>
      <w:r w:rsidR="0013032F">
        <w:t xml:space="preserve"> </w:t>
      </w:r>
      <w:r>
        <w:t>iconic</w:t>
      </w:r>
      <w:r w:rsidR="0013032F">
        <w:t xml:space="preserve"> </w:t>
      </w:r>
      <w:r>
        <w:t>tourism</w:t>
      </w:r>
      <w:r w:rsidR="0013032F">
        <w:t xml:space="preserve"> </w:t>
      </w:r>
      <w:r>
        <w:t>infrastructure</w:t>
      </w:r>
      <w:r w:rsidR="0013032F">
        <w:t xml:space="preserve"> </w:t>
      </w:r>
      <w:r>
        <w:t>such</w:t>
      </w:r>
      <w:r w:rsidR="0013032F">
        <w:t xml:space="preserve"> </w:t>
      </w:r>
      <w:r>
        <w:t>as</w:t>
      </w:r>
      <w:r w:rsidR="0013032F">
        <w:t xml:space="preserve"> </w:t>
      </w:r>
      <w:r>
        <w:t>epicurean</w:t>
      </w:r>
      <w:r w:rsidR="0013032F">
        <w:t xml:space="preserve"> </w:t>
      </w:r>
      <w:r>
        <w:t>tourist</w:t>
      </w:r>
      <w:r w:rsidR="0013032F">
        <w:t xml:space="preserve"> </w:t>
      </w:r>
      <w:r>
        <w:t>routes,</w:t>
      </w:r>
      <w:r w:rsidR="0013032F">
        <w:t xml:space="preserve"> </w:t>
      </w:r>
      <w:r>
        <w:t>cycling</w:t>
      </w:r>
      <w:r w:rsidR="0013032F">
        <w:t xml:space="preserve"> </w:t>
      </w:r>
      <w:r>
        <w:t>infrastructure,</w:t>
      </w:r>
      <w:r w:rsidR="0013032F">
        <w:t xml:space="preserve"> </w:t>
      </w:r>
      <w:r>
        <w:t>alpine</w:t>
      </w:r>
      <w:r w:rsidR="0013032F">
        <w:t xml:space="preserve"> </w:t>
      </w:r>
      <w:r>
        <w:t>resorts</w:t>
      </w:r>
      <w:r w:rsidR="0013032F">
        <w:t xml:space="preserve"> </w:t>
      </w:r>
      <w:r>
        <w:t>and</w:t>
      </w:r>
      <w:r w:rsidR="0013032F">
        <w:t xml:space="preserve"> </w:t>
      </w:r>
      <w:r>
        <w:t>cultural</w:t>
      </w:r>
      <w:r w:rsidR="0013032F">
        <w:t xml:space="preserve"> </w:t>
      </w:r>
      <w:r>
        <w:t>experiences</w:t>
      </w:r>
    </w:p>
    <w:p w14:paraId="75347AF6" w14:textId="138D652E" w:rsidR="00757772" w:rsidRDefault="00305D3C" w:rsidP="0085405D">
      <w:pPr>
        <w:pStyle w:val="Bullet"/>
      </w:pPr>
      <w:r w:rsidRPr="0085405D">
        <w:rPr>
          <w:b/>
          <w:bCs/>
        </w:rPr>
        <w:lastRenderedPageBreak/>
        <w:t>Support</w:t>
      </w:r>
      <w:r w:rsidR="0013032F" w:rsidRPr="0085405D">
        <w:rPr>
          <w:b/>
          <w:bCs/>
        </w:rPr>
        <w:t xml:space="preserve"> </w:t>
      </w:r>
      <w:r w:rsidRPr="0085405D">
        <w:rPr>
          <w:b/>
          <w:bCs/>
        </w:rPr>
        <w:t>community</w:t>
      </w:r>
      <w:r w:rsidR="0013032F" w:rsidRPr="0085405D">
        <w:rPr>
          <w:b/>
          <w:bCs/>
        </w:rPr>
        <w:t xml:space="preserve"> </w:t>
      </w:r>
      <w:r w:rsidRPr="0085405D">
        <w:rPr>
          <w:b/>
          <w:bCs/>
        </w:rPr>
        <w:t>resilience,</w:t>
      </w:r>
      <w:r w:rsidR="0013032F" w:rsidRPr="0085405D">
        <w:rPr>
          <w:b/>
          <w:bCs/>
        </w:rPr>
        <w:t xml:space="preserve"> </w:t>
      </w:r>
      <w:r w:rsidRPr="0085405D">
        <w:rPr>
          <w:b/>
          <w:bCs/>
        </w:rPr>
        <w:t>health</w:t>
      </w:r>
      <w:r w:rsidR="0013032F" w:rsidRPr="0085405D">
        <w:rPr>
          <w:b/>
          <w:bCs/>
        </w:rPr>
        <w:t xml:space="preserve"> </w:t>
      </w:r>
      <w:r w:rsidRPr="0085405D">
        <w:rPr>
          <w:b/>
          <w:bCs/>
        </w:rPr>
        <w:t>and</w:t>
      </w:r>
      <w:r w:rsidR="0013032F" w:rsidRPr="0085405D">
        <w:rPr>
          <w:b/>
          <w:bCs/>
        </w:rPr>
        <w:t xml:space="preserve"> </w:t>
      </w:r>
      <w:r w:rsidRPr="0085405D">
        <w:rPr>
          <w:b/>
          <w:bCs/>
        </w:rPr>
        <w:t>wellbeing</w:t>
      </w:r>
      <w:r w:rsidR="0013032F" w:rsidRPr="0085405D">
        <w:t xml:space="preserve"> </w:t>
      </w:r>
      <w:r>
        <w:t>–</w:t>
      </w:r>
      <w:r w:rsidR="0013032F">
        <w:t xml:space="preserve"> </w:t>
      </w:r>
      <w:r>
        <w:t>continued</w:t>
      </w:r>
      <w:r w:rsidR="0013032F">
        <w:t xml:space="preserve"> </w:t>
      </w:r>
      <w:r>
        <w:t>advocating</w:t>
      </w:r>
      <w:r w:rsidR="0013032F">
        <w:t xml:space="preserve"> </w:t>
      </w:r>
      <w:r>
        <w:t>for</w:t>
      </w:r>
      <w:r w:rsidR="0013032F">
        <w:t xml:space="preserve"> </w:t>
      </w:r>
      <w:r>
        <w:t>place-based</w:t>
      </w:r>
      <w:r w:rsidR="0013032F">
        <w:t xml:space="preserve"> </w:t>
      </w:r>
      <w:r>
        <w:t>responses</w:t>
      </w:r>
      <w:r w:rsidR="0013032F">
        <w:t xml:space="preserve"> </w:t>
      </w:r>
      <w:r>
        <w:t>to</w:t>
      </w:r>
      <w:r w:rsidR="0013032F">
        <w:t xml:space="preserve"> </w:t>
      </w:r>
      <w:r>
        <w:t>social</w:t>
      </w:r>
      <w:r w:rsidR="0013032F">
        <w:t xml:space="preserve"> </w:t>
      </w:r>
      <w:r>
        <w:t>and</w:t>
      </w:r>
      <w:r w:rsidR="0013032F">
        <w:t xml:space="preserve"> </w:t>
      </w:r>
      <w:r>
        <w:t>economic</w:t>
      </w:r>
      <w:r w:rsidR="0013032F">
        <w:t xml:space="preserve"> </w:t>
      </w:r>
      <w:r>
        <w:t>disadvantage.</w:t>
      </w:r>
      <w:r w:rsidR="0013032F">
        <w:t xml:space="preserve"> </w:t>
      </w:r>
      <w:r>
        <w:t>OMRP</w:t>
      </w:r>
      <w:r w:rsidR="0013032F">
        <w:t xml:space="preserve"> </w:t>
      </w:r>
      <w:r>
        <w:t>successfully</w:t>
      </w:r>
      <w:r w:rsidR="0013032F">
        <w:t xml:space="preserve"> </w:t>
      </w:r>
      <w:r>
        <w:t>secured</w:t>
      </w:r>
      <w:r w:rsidR="0013032F">
        <w:t xml:space="preserve"> </w:t>
      </w:r>
      <w:r>
        <w:t>funding</w:t>
      </w:r>
      <w:r w:rsidR="0013032F">
        <w:t xml:space="preserve"> </w:t>
      </w:r>
      <w:r>
        <w:t>for</w:t>
      </w:r>
      <w:r w:rsidR="0013032F">
        <w:t xml:space="preserve"> </w:t>
      </w:r>
      <w:r>
        <w:t>2</w:t>
      </w:r>
      <w:r w:rsidR="0013032F">
        <w:t xml:space="preserve"> </w:t>
      </w:r>
      <w:r>
        <w:t>new</w:t>
      </w:r>
      <w:r w:rsidR="0013032F">
        <w:t xml:space="preserve"> </w:t>
      </w:r>
      <w:r>
        <w:t>Youth</w:t>
      </w:r>
      <w:r w:rsidR="0013032F">
        <w:t xml:space="preserve"> </w:t>
      </w:r>
      <w:r>
        <w:t>Foyers</w:t>
      </w:r>
      <w:r w:rsidR="0013032F">
        <w:t xml:space="preserve"> </w:t>
      </w:r>
      <w:r>
        <w:t>in</w:t>
      </w:r>
      <w:r w:rsidR="0013032F">
        <w:t xml:space="preserve"> </w:t>
      </w:r>
      <w:r>
        <w:t>Wodonga</w:t>
      </w:r>
      <w:r w:rsidR="0013032F">
        <w:t xml:space="preserve"> </w:t>
      </w:r>
      <w:r>
        <w:t>and</w:t>
      </w:r>
      <w:r w:rsidR="0013032F">
        <w:t xml:space="preserve"> </w:t>
      </w:r>
      <w:r>
        <w:t>Wangaratta</w:t>
      </w:r>
      <w:r w:rsidR="0013032F">
        <w:t xml:space="preserve"> </w:t>
      </w:r>
      <w:r>
        <w:t>–</w:t>
      </w:r>
      <w:r w:rsidR="0013032F">
        <w:t xml:space="preserve"> </w:t>
      </w:r>
      <w:r>
        <w:t>providing</w:t>
      </w:r>
      <w:r w:rsidR="0013032F">
        <w:t xml:space="preserve"> </w:t>
      </w:r>
      <w:r>
        <w:t>housing</w:t>
      </w:r>
      <w:r w:rsidR="0013032F">
        <w:t xml:space="preserve"> </w:t>
      </w:r>
      <w:r>
        <w:t>for</w:t>
      </w:r>
      <w:r w:rsidR="0013032F">
        <w:t xml:space="preserve"> </w:t>
      </w:r>
      <w:r>
        <w:t>students</w:t>
      </w:r>
      <w:r w:rsidR="0013032F">
        <w:t xml:space="preserve"> </w:t>
      </w:r>
      <w:r>
        <w:t>experiencing</w:t>
      </w:r>
      <w:r w:rsidR="0013032F">
        <w:t xml:space="preserve"> </w:t>
      </w:r>
      <w:r>
        <w:t>or</w:t>
      </w:r>
      <w:r w:rsidR="0013032F">
        <w:t xml:space="preserve"> </w:t>
      </w:r>
      <w:r>
        <w:t>at</w:t>
      </w:r>
      <w:r w:rsidR="0013032F">
        <w:t xml:space="preserve"> </w:t>
      </w:r>
      <w:r>
        <w:t>risk</w:t>
      </w:r>
      <w:r w:rsidR="0013032F">
        <w:t xml:space="preserve"> </w:t>
      </w:r>
      <w:r>
        <w:t>of</w:t>
      </w:r>
      <w:r w:rsidR="0013032F">
        <w:t xml:space="preserve"> </w:t>
      </w:r>
      <w:r>
        <w:t>homelessness.</w:t>
      </w:r>
      <w:r w:rsidR="0013032F">
        <w:t xml:space="preserve"> </w:t>
      </w:r>
      <w:r>
        <w:t>OMRP</w:t>
      </w:r>
      <w:r w:rsidR="0013032F">
        <w:t xml:space="preserve"> </w:t>
      </w:r>
      <w:r>
        <w:t>welcomed</w:t>
      </w:r>
      <w:r w:rsidR="0013032F">
        <w:t xml:space="preserve"> </w:t>
      </w:r>
      <w:r>
        <w:t>funding</w:t>
      </w:r>
      <w:r w:rsidR="0013032F">
        <w:t xml:space="preserve"> </w:t>
      </w:r>
      <w:r>
        <w:t>for</w:t>
      </w:r>
      <w:r w:rsidR="0013032F">
        <w:t xml:space="preserve"> </w:t>
      </w:r>
      <w:r>
        <w:t>services</w:t>
      </w:r>
      <w:r w:rsidR="0013032F">
        <w:t xml:space="preserve"> </w:t>
      </w:r>
      <w:r>
        <w:t>and</w:t>
      </w:r>
      <w:r w:rsidR="0013032F">
        <w:t xml:space="preserve"> </w:t>
      </w:r>
      <w:r>
        <w:t>programs</w:t>
      </w:r>
      <w:r w:rsidR="0013032F">
        <w:t xml:space="preserve"> </w:t>
      </w:r>
      <w:r>
        <w:t>such</w:t>
      </w:r>
      <w:r w:rsidR="0013032F">
        <w:t xml:space="preserve"> </w:t>
      </w:r>
      <w:r>
        <w:t>as</w:t>
      </w:r>
      <w:r w:rsidR="0013032F">
        <w:t xml:space="preserve"> </w:t>
      </w:r>
      <w:r>
        <w:t>the</w:t>
      </w:r>
      <w:r w:rsidR="0013032F">
        <w:t xml:space="preserve"> </w:t>
      </w:r>
      <w:r>
        <w:t>Mansfield</w:t>
      </w:r>
      <w:r w:rsidR="0013032F">
        <w:t xml:space="preserve"> </w:t>
      </w:r>
      <w:r>
        <w:t>Autism</w:t>
      </w:r>
      <w:r w:rsidR="0013032F">
        <w:t xml:space="preserve"> </w:t>
      </w:r>
      <w:proofErr w:type="spellStart"/>
      <w:r>
        <w:t>Statewide</w:t>
      </w:r>
      <w:proofErr w:type="spellEnd"/>
      <w:r w:rsidR="0013032F">
        <w:t xml:space="preserve"> </w:t>
      </w:r>
      <w:r>
        <w:t>Services</w:t>
      </w:r>
      <w:r w:rsidR="0013032F">
        <w:t xml:space="preserve"> </w:t>
      </w:r>
      <w:r>
        <w:t>and</w:t>
      </w:r>
      <w:r w:rsidR="0013032F">
        <w:t xml:space="preserve"> </w:t>
      </w:r>
      <w:r>
        <w:t>the</w:t>
      </w:r>
      <w:r w:rsidR="0013032F">
        <w:t xml:space="preserve"> </w:t>
      </w:r>
      <w:r>
        <w:t>Tomorrow</w:t>
      </w:r>
      <w:r w:rsidR="0013032F">
        <w:t xml:space="preserve"> </w:t>
      </w:r>
      <w:r>
        <w:t>Today</w:t>
      </w:r>
      <w:r w:rsidR="0013032F">
        <w:t xml:space="preserve"> </w:t>
      </w:r>
      <w:r>
        <w:t>Foundation</w:t>
      </w:r>
      <w:r w:rsidR="0013032F">
        <w:t xml:space="preserve"> </w:t>
      </w:r>
      <w:r>
        <w:t>in</w:t>
      </w:r>
      <w:r w:rsidR="0013032F">
        <w:t xml:space="preserve"> </w:t>
      </w:r>
      <w:r>
        <w:t>Benalla</w:t>
      </w:r>
    </w:p>
    <w:p w14:paraId="795E3017" w14:textId="145DDB97" w:rsidR="00757772" w:rsidRDefault="00305D3C" w:rsidP="0085405D">
      <w:pPr>
        <w:pStyle w:val="Bulletlast"/>
      </w:pPr>
      <w:r w:rsidRPr="0085405D">
        <w:rPr>
          <w:b/>
          <w:bCs/>
        </w:rPr>
        <w:t>Connectivity</w:t>
      </w:r>
      <w:r w:rsidR="0013032F">
        <w:t xml:space="preserve"> </w:t>
      </w:r>
      <w:r>
        <w:t>–</w:t>
      </w:r>
      <w:r w:rsidR="0013032F">
        <w:t xml:space="preserve"> </w:t>
      </w:r>
      <w:r>
        <w:t>continued</w:t>
      </w:r>
      <w:r w:rsidR="0013032F">
        <w:t xml:space="preserve"> </w:t>
      </w:r>
      <w:r>
        <w:t>to</w:t>
      </w:r>
      <w:r w:rsidR="0013032F">
        <w:t xml:space="preserve"> </w:t>
      </w:r>
      <w:r>
        <w:t>promote</w:t>
      </w:r>
      <w:r w:rsidR="0013032F">
        <w:t xml:space="preserve"> </w:t>
      </w:r>
      <w:r>
        <w:t>the</w:t>
      </w:r>
      <w:r w:rsidR="0013032F">
        <w:t xml:space="preserve"> </w:t>
      </w:r>
      <w:r>
        <w:t>region’s</w:t>
      </w:r>
      <w:r w:rsidR="0013032F">
        <w:t xml:space="preserve"> </w:t>
      </w:r>
      <w:r>
        <w:t>strengths</w:t>
      </w:r>
      <w:r w:rsidR="0013032F">
        <w:t xml:space="preserve"> </w:t>
      </w:r>
      <w:r>
        <w:t>in</w:t>
      </w:r>
      <w:r w:rsidR="0013032F">
        <w:t xml:space="preserve"> </w:t>
      </w:r>
      <w:r>
        <w:t>digital</w:t>
      </w:r>
      <w:r w:rsidR="0013032F">
        <w:t xml:space="preserve"> </w:t>
      </w:r>
      <w:r>
        <w:t>innovation</w:t>
      </w:r>
      <w:r w:rsidR="0013032F">
        <w:t xml:space="preserve"> </w:t>
      </w:r>
      <w:r>
        <w:t>and</w:t>
      </w:r>
      <w:r w:rsidR="0013032F">
        <w:t xml:space="preserve"> </w:t>
      </w:r>
      <w:r>
        <w:t>leadership</w:t>
      </w:r>
      <w:r w:rsidR="0013032F">
        <w:t xml:space="preserve"> </w:t>
      </w:r>
      <w:r>
        <w:t>by</w:t>
      </w:r>
      <w:r w:rsidR="0013032F">
        <w:t xml:space="preserve"> </w:t>
      </w:r>
      <w:r>
        <w:t>coordinating</w:t>
      </w:r>
      <w:r w:rsidR="0013032F">
        <w:t xml:space="preserve"> </w:t>
      </w:r>
      <w:r>
        <w:t>a</w:t>
      </w:r>
      <w:r w:rsidR="0013032F">
        <w:t xml:space="preserve"> </w:t>
      </w:r>
      <w:r>
        <w:t>Digital</w:t>
      </w:r>
      <w:r w:rsidR="0013032F">
        <w:t xml:space="preserve"> </w:t>
      </w:r>
      <w:r>
        <w:t>Futures</w:t>
      </w:r>
      <w:r w:rsidR="0013032F">
        <w:t xml:space="preserve"> </w:t>
      </w:r>
      <w:r>
        <w:t>group</w:t>
      </w:r>
      <w:r w:rsidR="0013032F">
        <w:t xml:space="preserve"> </w:t>
      </w:r>
      <w:r>
        <w:t>to</w:t>
      </w:r>
      <w:r w:rsidR="0013032F">
        <w:t xml:space="preserve"> </w:t>
      </w:r>
      <w:r>
        <w:t>advocate</w:t>
      </w:r>
      <w:r w:rsidR="0013032F">
        <w:t xml:space="preserve"> </w:t>
      </w:r>
      <w:r>
        <w:t>for</w:t>
      </w:r>
      <w:r w:rsidR="0013032F">
        <w:t xml:space="preserve"> </w:t>
      </w:r>
      <w:r>
        <w:t>ongoing</w:t>
      </w:r>
      <w:r w:rsidR="0013032F">
        <w:t xml:space="preserve"> </w:t>
      </w:r>
      <w:r>
        <w:t>infrastructure</w:t>
      </w:r>
      <w:r w:rsidR="0013032F">
        <w:t xml:space="preserve"> </w:t>
      </w:r>
      <w:r>
        <w:t>investment.</w:t>
      </w:r>
    </w:p>
    <w:p w14:paraId="05C75590" w14:textId="77777777" w:rsidR="00757772" w:rsidRDefault="00305D3C" w:rsidP="0085405D">
      <w:pPr>
        <w:pStyle w:val="Heading3"/>
      </w:pPr>
      <w:r>
        <w:t>Highlights:</w:t>
      </w:r>
    </w:p>
    <w:p w14:paraId="4B2A1E86" w14:textId="4673F166" w:rsidR="00757772" w:rsidRDefault="00305D3C" w:rsidP="0085405D">
      <w:pPr>
        <w:pStyle w:val="Bullet"/>
      </w:pPr>
      <w:r>
        <w:t>The</w:t>
      </w:r>
      <w:r w:rsidR="0013032F">
        <w:t xml:space="preserve"> </w:t>
      </w:r>
      <w:r>
        <w:t>Ride</w:t>
      </w:r>
      <w:r w:rsidR="0013032F">
        <w:t xml:space="preserve"> </w:t>
      </w:r>
      <w:r>
        <w:t>High</w:t>
      </w:r>
      <w:r w:rsidR="0013032F">
        <w:t xml:space="preserve"> </w:t>
      </w:r>
      <w:r>
        <w:t>Country</w:t>
      </w:r>
      <w:r w:rsidR="0013032F">
        <w:t xml:space="preserve"> </w:t>
      </w:r>
      <w:r>
        <w:t>initiative</w:t>
      </w:r>
      <w:r w:rsidR="0013032F">
        <w:t xml:space="preserve"> </w:t>
      </w:r>
      <w:r>
        <w:t>continued</w:t>
      </w:r>
      <w:r w:rsidR="0013032F">
        <w:t xml:space="preserve"> </w:t>
      </w:r>
      <w:r>
        <w:t>to</w:t>
      </w:r>
      <w:r w:rsidR="0013032F">
        <w:t xml:space="preserve"> </w:t>
      </w:r>
      <w:r>
        <w:t>attract</w:t>
      </w:r>
      <w:r w:rsidR="0013032F">
        <w:t xml:space="preserve"> </w:t>
      </w:r>
      <w:r>
        <w:t>cycling</w:t>
      </w:r>
      <w:r w:rsidR="0013032F">
        <w:t xml:space="preserve"> </w:t>
      </w:r>
      <w:r>
        <w:t>visitors</w:t>
      </w:r>
      <w:r w:rsidR="0013032F">
        <w:t xml:space="preserve"> </w:t>
      </w:r>
      <w:r>
        <w:t>to</w:t>
      </w:r>
      <w:r w:rsidR="0013032F">
        <w:t xml:space="preserve"> </w:t>
      </w:r>
      <w:r>
        <w:t>the</w:t>
      </w:r>
      <w:r w:rsidR="0013032F">
        <w:t xml:space="preserve"> </w:t>
      </w:r>
      <w:r>
        <w:t>region</w:t>
      </w:r>
      <w:r w:rsidR="0013032F">
        <w:t xml:space="preserve"> </w:t>
      </w:r>
      <w:r>
        <w:t>and</w:t>
      </w:r>
      <w:r w:rsidR="0013032F">
        <w:t xml:space="preserve"> </w:t>
      </w:r>
      <w:r>
        <w:t>supported</w:t>
      </w:r>
      <w:r w:rsidR="0013032F">
        <w:t xml:space="preserve"> </w:t>
      </w:r>
      <w:r>
        <w:t>the</w:t>
      </w:r>
      <w:r w:rsidR="0013032F">
        <w:t xml:space="preserve"> </w:t>
      </w:r>
      <w:r>
        <w:t>development</w:t>
      </w:r>
      <w:r w:rsidR="0013032F">
        <w:t xml:space="preserve"> </w:t>
      </w:r>
      <w:r>
        <w:t>of</w:t>
      </w:r>
      <w:r w:rsidR="0013032F">
        <w:t xml:space="preserve"> </w:t>
      </w:r>
      <w:r>
        <w:t>accommodation,</w:t>
      </w:r>
      <w:r w:rsidR="0013032F">
        <w:t xml:space="preserve"> </w:t>
      </w:r>
      <w:r>
        <w:t>cycling</w:t>
      </w:r>
      <w:r w:rsidR="0013032F">
        <w:t xml:space="preserve"> </w:t>
      </w:r>
      <w:r>
        <w:t>services</w:t>
      </w:r>
      <w:r w:rsidR="0013032F">
        <w:t xml:space="preserve"> </w:t>
      </w:r>
      <w:r>
        <w:t>and</w:t>
      </w:r>
      <w:r w:rsidR="0013032F">
        <w:t xml:space="preserve"> </w:t>
      </w:r>
      <w:r>
        <w:t>experiences</w:t>
      </w:r>
      <w:r w:rsidR="0013032F">
        <w:t xml:space="preserve"> </w:t>
      </w:r>
      <w:r>
        <w:t>to</w:t>
      </w:r>
      <w:r w:rsidR="0013032F">
        <w:t xml:space="preserve"> </w:t>
      </w:r>
      <w:r>
        <w:t>further</w:t>
      </w:r>
      <w:r w:rsidR="0013032F">
        <w:t xml:space="preserve"> </w:t>
      </w:r>
      <w:r>
        <w:t>build</w:t>
      </w:r>
      <w:r w:rsidR="0013032F">
        <w:t xml:space="preserve"> </w:t>
      </w:r>
      <w:r>
        <w:t>Australia’s</w:t>
      </w:r>
      <w:r w:rsidR="0013032F">
        <w:t xml:space="preserve"> </w:t>
      </w:r>
      <w:r>
        <w:t>premier</w:t>
      </w:r>
      <w:r w:rsidR="0013032F">
        <w:t xml:space="preserve"> </w:t>
      </w:r>
      <w:r>
        <w:t>cycling</w:t>
      </w:r>
      <w:r w:rsidR="0013032F">
        <w:t xml:space="preserve"> </w:t>
      </w:r>
      <w:r>
        <w:t>destination</w:t>
      </w:r>
    </w:p>
    <w:p w14:paraId="29E1D0C6" w14:textId="6A168D1B" w:rsidR="00757772" w:rsidRDefault="00305D3C" w:rsidP="0085405D">
      <w:pPr>
        <w:pStyle w:val="Bullet"/>
      </w:pPr>
      <w:r>
        <w:t>Secured</w:t>
      </w:r>
      <w:r w:rsidR="0013032F">
        <w:t xml:space="preserve"> </w:t>
      </w:r>
      <w:r>
        <w:t>$220,000</w:t>
      </w:r>
      <w:r w:rsidR="0013032F">
        <w:t xml:space="preserve"> </w:t>
      </w:r>
      <w:r>
        <w:t>funding</w:t>
      </w:r>
      <w:r w:rsidR="0013032F">
        <w:t xml:space="preserve"> </w:t>
      </w:r>
      <w:r>
        <w:t>for</w:t>
      </w:r>
      <w:r w:rsidR="0013032F">
        <w:t xml:space="preserve"> </w:t>
      </w:r>
      <w:r>
        <w:t>further</w:t>
      </w:r>
      <w:r w:rsidR="0013032F">
        <w:t xml:space="preserve"> </w:t>
      </w:r>
      <w:r>
        <w:t>business</w:t>
      </w:r>
      <w:r w:rsidR="0013032F">
        <w:t xml:space="preserve"> </w:t>
      </w:r>
      <w:r>
        <w:t>c</w:t>
      </w:r>
      <w:r>
        <w:t>ase</w:t>
      </w:r>
      <w:r w:rsidR="0013032F">
        <w:t xml:space="preserve"> </w:t>
      </w:r>
      <w:r>
        <w:rPr>
          <w:spacing w:val="-2"/>
        </w:rPr>
        <w:t>development</w:t>
      </w:r>
      <w:r w:rsidR="0013032F">
        <w:rPr>
          <w:spacing w:val="-2"/>
        </w:rPr>
        <w:t xml:space="preserve"> </w:t>
      </w:r>
      <w:r>
        <w:rPr>
          <w:spacing w:val="-2"/>
        </w:rPr>
        <w:t>for</w:t>
      </w:r>
      <w:r w:rsidR="0013032F">
        <w:rPr>
          <w:spacing w:val="-2"/>
        </w:rPr>
        <w:t xml:space="preserve"> </w:t>
      </w:r>
      <w:r>
        <w:rPr>
          <w:spacing w:val="-2"/>
        </w:rPr>
        <w:t>the</w:t>
      </w:r>
      <w:r w:rsidR="0013032F">
        <w:rPr>
          <w:spacing w:val="-2"/>
        </w:rPr>
        <w:t xml:space="preserve"> </w:t>
      </w:r>
      <w:r>
        <w:rPr>
          <w:spacing w:val="-2"/>
        </w:rPr>
        <w:t>Wangaratta</w:t>
      </w:r>
      <w:r w:rsidR="0013032F">
        <w:rPr>
          <w:spacing w:val="-2"/>
        </w:rPr>
        <w:t xml:space="preserve"> </w:t>
      </w:r>
      <w:r>
        <w:rPr>
          <w:spacing w:val="-2"/>
        </w:rPr>
        <w:t>Digital</w:t>
      </w:r>
      <w:r w:rsidR="0013032F">
        <w:rPr>
          <w:spacing w:val="-2"/>
        </w:rPr>
        <w:t xml:space="preserve"> </w:t>
      </w:r>
      <w:r>
        <w:rPr>
          <w:spacing w:val="-2"/>
        </w:rPr>
        <w:t>Hub</w:t>
      </w:r>
      <w:r w:rsidR="0013032F">
        <w:rPr>
          <w:spacing w:val="-2"/>
        </w:rPr>
        <w:t xml:space="preserve"> </w:t>
      </w:r>
      <w:r>
        <w:rPr>
          <w:spacing w:val="-2"/>
        </w:rPr>
        <w:t>to</w:t>
      </w:r>
      <w:r w:rsidR="0013032F">
        <w:rPr>
          <w:spacing w:val="-2"/>
        </w:rPr>
        <w:t xml:space="preserve"> </w:t>
      </w:r>
      <w:r>
        <w:rPr>
          <w:spacing w:val="-2"/>
        </w:rPr>
        <w:t>provide</w:t>
      </w:r>
      <w:r w:rsidR="0013032F">
        <w:t xml:space="preserve"> </w:t>
      </w:r>
      <w:r>
        <w:t>critical</w:t>
      </w:r>
      <w:r w:rsidR="0013032F">
        <w:t xml:space="preserve"> </w:t>
      </w:r>
      <w:r>
        <w:t>education</w:t>
      </w:r>
      <w:r w:rsidR="0013032F">
        <w:t xml:space="preserve"> </w:t>
      </w:r>
      <w:r>
        <w:t>and</w:t>
      </w:r>
      <w:r w:rsidR="0013032F">
        <w:t xml:space="preserve"> </w:t>
      </w:r>
      <w:r>
        <w:t>support</w:t>
      </w:r>
      <w:r w:rsidR="0013032F">
        <w:t xml:space="preserve"> </w:t>
      </w:r>
      <w:r>
        <w:t>for</w:t>
      </w:r>
      <w:r w:rsidR="0013032F">
        <w:t xml:space="preserve"> </w:t>
      </w:r>
      <w:r>
        <w:t>people</w:t>
      </w:r>
      <w:r w:rsidR="0013032F">
        <w:t xml:space="preserve"> </w:t>
      </w:r>
      <w:r>
        <w:t>navigating</w:t>
      </w:r>
      <w:r w:rsidR="0013032F">
        <w:t xml:space="preserve"> </w:t>
      </w:r>
      <w:r>
        <w:t>the</w:t>
      </w:r>
      <w:r w:rsidR="0013032F">
        <w:t xml:space="preserve"> </w:t>
      </w:r>
      <w:r>
        <w:t>digital</w:t>
      </w:r>
      <w:r w:rsidR="0013032F">
        <w:t xml:space="preserve"> </w:t>
      </w:r>
      <w:r>
        <w:t>world</w:t>
      </w:r>
      <w:r w:rsidR="0013032F">
        <w:t xml:space="preserve"> </w:t>
      </w:r>
      <w:r>
        <w:t>and</w:t>
      </w:r>
      <w:r w:rsidR="0013032F">
        <w:t xml:space="preserve"> </w:t>
      </w:r>
      <w:r>
        <w:t>workplace</w:t>
      </w:r>
      <w:r w:rsidR="0013032F">
        <w:t xml:space="preserve"> </w:t>
      </w:r>
    </w:p>
    <w:p w14:paraId="57130A74" w14:textId="20088DF2" w:rsidR="00757772" w:rsidRDefault="00305D3C" w:rsidP="0085405D">
      <w:pPr>
        <w:pStyle w:val="Bullet"/>
      </w:pPr>
      <w:r>
        <w:t>Successfully</w:t>
      </w:r>
      <w:r w:rsidR="0013032F">
        <w:t xml:space="preserve"> </w:t>
      </w:r>
      <w:r>
        <w:t>advocated</w:t>
      </w:r>
      <w:r w:rsidR="0013032F">
        <w:t xml:space="preserve"> </w:t>
      </w:r>
      <w:r>
        <w:t>for</w:t>
      </w:r>
      <w:r w:rsidR="0013032F">
        <w:t xml:space="preserve"> </w:t>
      </w:r>
      <w:r>
        <w:t>funding</w:t>
      </w:r>
      <w:r w:rsidR="0013032F">
        <w:t xml:space="preserve"> </w:t>
      </w:r>
      <w:r>
        <w:t>to</w:t>
      </w:r>
      <w:r w:rsidR="0013032F">
        <w:t xml:space="preserve"> </w:t>
      </w:r>
      <w:r>
        <w:t>develop</w:t>
      </w:r>
      <w:r w:rsidR="0013032F">
        <w:t xml:space="preserve"> </w:t>
      </w:r>
      <w:r>
        <w:t>the</w:t>
      </w:r>
      <w:r w:rsidR="0013032F">
        <w:t xml:space="preserve"> </w:t>
      </w:r>
      <w:r>
        <w:t>Wodonga</w:t>
      </w:r>
      <w:r w:rsidR="0013032F">
        <w:t xml:space="preserve"> </w:t>
      </w:r>
      <w:r>
        <w:t>and</w:t>
      </w:r>
      <w:r w:rsidR="0013032F">
        <w:t xml:space="preserve"> </w:t>
      </w:r>
      <w:r>
        <w:t>Wangaratta</w:t>
      </w:r>
      <w:r w:rsidR="0013032F">
        <w:t xml:space="preserve"> </w:t>
      </w:r>
      <w:r>
        <w:t>Youth</w:t>
      </w:r>
      <w:r w:rsidR="0013032F">
        <w:t xml:space="preserve"> </w:t>
      </w:r>
      <w:r>
        <w:t>Foyers</w:t>
      </w:r>
      <w:r w:rsidR="0013032F">
        <w:t xml:space="preserve"> </w:t>
      </w:r>
      <w:r>
        <w:t>to</w:t>
      </w:r>
      <w:r w:rsidR="0013032F">
        <w:t xml:space="preserve"> </w:t>
      </w:r>
      <w:r>
        <w:t>provide</w:t>
      </w:r>
      <w:r w:rsidR="0013032F">
        <w:t xml:space="preserve"> </w:t>
      </w:r>
      <w:r>
        <w:t>critical</w:t>
      </w:r>
      <w:r w:rsidR="0013032F">
        <w:t xml:space="preserve"> </w:t>
      </w:r>
      <w:r>
        <w:t>housing</w:t>
      </w:r>
      <w:r w:rsidR="0013032F">
        <w:t xml:space="preserve"> </w:t>
      </w:r>
      <w:r>
        <w:t>and</w:t>
      </w:r>
      <w:r w:rsidR="0013032F">
        <w:t xml:space="preserve"> </w:t>
      </w:r>
      <w:r>
        <w:t>support</w:t>
      </w:r>
      <w:r w:rsidR="0013032F">
        <w:t xml:space="preserve"> </w:t>
      </w:r>
      <w:r>
        <w:t>services</w:t>
      </w:r>
      <w:r w:rsidR="0013032F">
        <w:t xml:space="preserve"> </w:t>
      </w:r>
      <w:r>
        <w:t>for</w:t>
      </w:r>
      <w:r w:rsidR="0013032F">
        <w:t xml:space="preserve"> </w:t>
      </w:r>
      <w:r>
        <w:t>students</w:t>
      </w:r>
      <w:r w:rsidR="0013032F">
        <w:t xml:space="preserve"> </w:t>
      </w:r>
      <w:r>
        <w:t>at</w:t>
      </w:r>
      <w:r w:rsidR="0013032F">
        <w:t xml:space="preserve"> </w:t>
      </w:r>
      <w:r>
        <w:t>risk</w:t>
      </w:r>
      <w:r w:rsidR="0013032F">
        <w:t xml:space="preserve"> </w:t>
      </w:r>
      <w:r>
        <w:t>of</w:t>
      </w:r>
      <w:r w:rsidR="0013032F">
        <w:t xml:space="preserve"> </w:t>
      </w:r>
      <w:r>
        <w:t>homelessness</w:t>
      </w:r>
    </w:p>
    <w:p w14:paraId="1084EBC5" w14:textId="24E87684" w:rsidR="00757772" w:rsidRDefault="00305D3C" w:rsidP="0085405D">
      <w:pPr>
        <w:pStyle w:val="Bullet"/>
      </w:pPr>
      <w:r>
        <w:t>Secured</w:t>
      </w:r>
      <w:r w:rsidR="0013032F">
        <w:t xml:space="preserve"> </w:t>
      </w:r>
      <w:r>
        <w:t>ongoing</w:t>
      </w:r>
      <w:r w:rsidR="0013032F">
        <w:t xml:space="preserve"> </w:t>
      </w:r>
      <w:r>
        <w:t>funding</w:t>
      </w:r>
      <w:r w:rsidR="0013032F">
        <w:t xml:space="preserve"> </w:t>
      </w:r>
      <w:r>
        <w:t>for</w:t>
      </w:r>
      <w:r w:rsidR="0013032F">
        <w:t xml:space="preserve"> </w:t>
      </w:r>
      <w:r>
        <w:t>the</w:t>
      </w:r>
      <w:r w:rsidR="0013032F">
        <w:t xml:space="preserve"> </w:t>
      </w:r>
      <w:r>
        <w:t>Tomorrow</w:t>
      </w:r>
      <w:r w:rsidR="0013032F">
        <w:t xml:space="preserve"> </w:t>
      </w:r>
      <w:r>
        <w:t>Today</w:t>
      </w:r>
      <w:r w:rsidR="0013032F">
        <w:t xml:space="preserve"> </w:t>
      </w:r>
      <w:r>
        <w:t>program</w:t>
      </w:r>
      <w:r w:rsidR="0013032F">
        <w:t xml:space="preserve"> </w:t>
      </w:r>
      <w:r>
        <w:t>in</w:t>
      </w:r>
      <w:r w:rsidR="0013032F">
        <w:t xml:space="preserve"> </w:t>
      </w:r>
      <w:r>
        <w:t>Benalla</w:t>
      </w:r>
      <w:r w:rsidR="0013032F">
        <w:t xml:space="preserve"> </w:t>
      </w:r>
      <w:r>
        <w:t>which</w:t>
      </w:r>
      <w:r w:rsidR="0013032F">
        <w:t xml:space="preserve"> </w:t>
      </w:r>
      <w:r>
        <w:t>takes</w:t>
      </w:r>
      <w:r w:rsidR="0013032F">
        <w:t xml:space="preserve"> </w:t>
      </w:r>
      <w:r>
        <w:t>a</w:t>
      </w:r>
      <w:r w:rsidR="0013032F">
        <w:t xml:space="preserve"> </w:t>
      </w:r>
      <w:r>
        <w:t>place-based</w:t>
      </w:r>
      <w:r w:rsidR="0013032F">
        <w:t xml:space="preserve"> </w:t>
      </w:r>
      <w:r>
        <w:t>approach</w:t>
      </w:r>
      <w:r w:rsidR="0013032F">
        <w:t xml:space="preserve"> </w:t>
      </w:r>
      <w:r>
        <w:t>to</w:t>
      </w:r>
      <w:r w:rsidR="0013032F">
        <w:t xml:space="preserve"> </w:t>
      </w:r>
      <w:r>
        <w:t>improving</w:t>
      </w:r>
      <w:r w:rsidR="0013032F">
        <w:t xml:space="preserve"> </w:t>
      </w:r>
      <w:r>
        <w:t>early</w:t>
      </w:r>
      <w:r w:rsidR="0013032F">
        <w:t xml:space="preserve"> </w:t>
      </w:r>
      <w:r>
        <w:t>childhood</w:t>
      </w:r>
      <w:r w:rsidR="0013032F">
        <w:t xml:space="preserve"> </w:t>
      </w:r>
      <w:r>
        <w:t>development</w:t>
      </w:r>
      <w:r w:rsidR="0013032F">
        <w:t xml:space="preserve"> </w:t>
      </w:r>
      <w:r>
        <w:t>outcomes</w:t>
      </w:r>
      <w:r w:rsidR="0013032F">
        <w:t xml:space="preserve"> </w:t>
      </w:r>
      <w:r>
        <w:t>and</w:t>
      </w:r>
      <w:r w:rsidR="0013032F">
        <w:t xml:space="preserve"> </w:t>
      </w:r>
      <w:r>
        <w:t>engagement</w:t>
      </w:r>
      <w:r w:rsidR="0013032F">
        <w:t xml:space="preserve"> </w:t>
      </w:r>
      <w:r>
        <w:t>with</w:t>
      </w:r>
      <w:r w:rsidR="0013032F">
        <w:t xml:space="preserve"> </w:t>
      </w:r>
      <w:r>
        <w:t>education</w:t>
      </w:r>
      <w:r w:rsidR="0013032F">
        <w:t xml:space="preserve"> </w:t>
      </w:r>
      <w:r>
        <w:t>and</w:t>
      </w:r>
      <w:r w:rsidR="0013032F">
        <w:t xml:space="preserve"> </w:t>
      </w:r>
      <w:r>
        <w:t>employment</w:t>
      </w:r>
    </w:p>
    <w:p w14:paraId="5655A00F" w14:textId="152299B2" w:rsidR="00757772" w:rsidRDefault="00305D3C" w:rsidP="0085405D">
      <w:pPr>
        <w:pStyle w:val="Bulletlast"/>
      </w:pPr>
      <w:r>
        <w:t>The</w:t>
      </w:r>
      <w:r w:rsidR="0013032F">
        <w:t xml:space="preserve"> </w:t>
      </w:r>
      <w:r>
        <w:t>OMRP</w:t>
      </w:r>
      <w:r w:rsidR="0013032F">
        <w:t xml:space="preserve"> </w:t>
      </w:r>
      <w:r>
        <w:t>Digital</w:t>
      </w:r>
      <w:r w:rsidR="0013032F">
        <w:t xml:space="preserve"> </w:t>
      </w:r>
      <w:r>
        <w:t>Futures</w:t>
      </w:r>
      <w:r w:rsidR="0013032F">
        <w:t xml:space="preserve"> </w:t>
      </w:r>
      <w:r>
        <w:t>group</w:t>
      </w:r>
      <w:r w:rsidR="0013032F">
        <w:t xml:space="preserve"> </w:t>
      </w:r>
      <w:r>
        <w:t>delivered</w:t>
      </w:r>
      <w:r w:rsidR="0013032F">
        <w:t xml:space="preserve"> </w:t>
      </w:r>
      <w:r>
        <w:t>projects</w:t>
      </w:r>
      <w:r w:rsidR="0013032F">
        <w:t xml:space="preserve"> </w:t>
      </w:r>
      <w:r>
        <w:t>in</w:t>
      </w:r>
      <w:r w:rsidR="0013032F">
        <w:t xml:space="preserve"> </w:t>
      </w:r>
      <w:r>
        <w:t>healthcare</w:t>
      </w:r>
      <w:r w:rsidR="0013032F">
        <w:t xml:space="preserve"> </w:t>
      </w:r>
      <w:r>
        <w:t>technology</w:t>
      </w:r>
      <w:r w:rsidR="0013032F">
        <w:t xml:space="preserve"> </w:t>
      </w:r>
      <w:r>
        <w:t>trials,</w:t>
      </w:r>
      <w:r w:rsidR="0013032F">
        <w:t xml:space="preserve"> </w:t>
      </w:r>
      <w:r>
        <w:t>boosting</w:t>
      </w:r>
      <w:r w:rsidR="0013032F">
        <w:t xml:space="preserve"> </w:t>
      </w:r>
      <w:r>
        <w:t>digital</w:t>
      </w:r>
      <w:r w:rsidR="0013032F">
        <w:t xml:space="preserve"> </w:t>
      </w:r>
      <w:r>
        <w:t>workforce</w:t>
      </w:r>
      <w:r w:rsidR="0013032F">
        <w:t xml:space="preserve"> </w:t>
      </w:r>
      <w:r>
        <w:t>capacity</w:t>
      </w:r>
      <w:r w:rsidR="0013032F">
        <w:t xml:space="preserve"> </w:t>
      </w:r>
      <w:r>
        <w:t>and</w:t>
      </w:r>
      <w:r w:rsidR="0013032F">
        <w:t xml:space="preserve"> </w:t>
      </w:r>
      <w:r>
        <w:t>the</w:t>
      </w:r>
      <w:r w:rsidR="0013032F">
        <w:t xml:space="preserve"> </w:t>
      </w:r>
      <w:r>
        <w:t>development</w:t>
      </w:r>
      <w:r w:rsidR="0013032F">
        <w:t xml:space="preserve"> </w:t>
      </w:r>
      <w:r>
        <w:t>of</w:t>
      </w:r>
      <w:r w:rsidR="0013032F">
        <w:t xml:space="preserve"> </w:t>
      </w:r>
      <w:r>
        <w:t>free</w:t>
      </w:r>
      <w:r w:rsidR="0013032F">
        <w:t xml:space="preserve"> </w:t>
      </w:r>
      <w:r>
        <w:t>public</w:t>
      </w:r>
      <w:r w:rsidR="0013032F">
        <w:t xml:space="preserve"> </w:t>
      </w:r>
      <w:r>
        <w:t>Wi-Fi</w:t>
      </w:r>
      <w:r w:rsidR="0013032F">
        <w:t xml:space="preserve"> </w:t>
      </w:r>
      <w:r>
        <w:t>networks.</w:t>
      </w:r>
    </w:p>
    <w:p w14:paraId="2DEA41D5" w14:textId="7E741AAD" w:rsidR="00757772" w:rsidRDefault="0085405D" w:rsidP="0085405D">
      <w:pPr>
        <w:pStyle w:val="Bullet"/>
      </w:pPr>
      <w:r>
        <w:t>135,054 Population (2022)</w:t>
      </w:r>
    </w:p>
    <w:p w14:paraId="4730498C" w14:textId="1C6B67DC" w:rsidR="0085405D" w:rsidRDefault="0085405D" w:rsidP="0085405D">
      <w:pPr>
        <w:pStyle w:val="Bullet"/>
      </w:pPr>
      <w:r>
        <w:t>14.7% Population growth (2022–2036)</w:t>
      </w:r>
    </w:p>
    <w:p w14:paraId="5F7C223C" w14:textId="4EDAEFB6" w:rsidR="0085405D" w:rsidRDefault="0085405D" w:rsidP="0085405D">
      <w:pPr>
        <w:pStyle w:val="Bulletlast"/>
      </w:pPr>
      <w:r>
        <w:t>$7.7B Gross Regional Product (2022)</w:t>
      </w:r>
    </w:p>
    <w:p w14:paraId="0EEC4ED1" w14:textId="1DF832A3" w:rsidR="00757772" w:rsidRPr="00F22F9E" w:rsidRDefault="00305D3C" w:rsidP="0085405D">
      <w:pPr>
        <w:pStyle w:val="Heading3"/>
      </w:pPr>
      <w:r w:rsidRPr="00F22F9E">
        <w:t>Case</w:t>
      </w:r>
      <w:r w:rsidR="0013032F">
        <w:t xml:space="preserve"> </w:t>
      </w:r>
      <w:r w:rsidRPr="00F22F9E">
        <w:t>study:</w:t>
      </w:r>
    </w:p>
    <w:p w14:paraId="1A985183" w14:textId="33C801D5" w:rsidR="00757772" w:rsidRPr="0085405D" w:rsidRDefault="00305D3C" w:rsidP="0085405D">
      <w:r w:rsidRPr="0085405D">
        <w:t>The</w:t>
      </w:r>
      <w:r w:rsidR="0013032F" w:rsidRPr="0085405D">
        <w:t xml:space="preserve"> </w:t>
      </w:r>
      <w:r w:rsidRPr="0085405D">
        <w:t>Ovens</w:t>
      </w:r>
      <w:r w:rsidR="0013032F" w:rsidRPr="0085405D">
        <w:t xml:space="preserve"> </w:t>
      </w:r>
      <w:r w:rsidRPr="0085405D">
        <w:t>Murray</w:t>
      </w:r>
      <w:r w:rsidR="0013032F" w:rsidRPr="0085405D">
        <w:t xml:space="preserve"> </w:t>
      </w:r>
      <w:r w:rsidRPr="0085405D">
        <w:t>Regional</w:t>
      </w:r>
      <w:r w:rsidR="0013032F" w:rsidRPr="0085405D">
        <w:t xml:space="preserve"> </w:t>
      </w:r>
      <w:r w:rsidRPr="0085405D">
        <w:t>Partnership</w:t>
      </w:r>
      <w:r w:rsidR="0013032F" w:rsidRPr="0085405D">
        <w:t xml:space="preserve"> </w:t>
      </w:r>
      <w:r w:rsidRPr="0085405D">
        <w:t>develops</w:t>
      </w:r>
      <w:r w:rsidR="0013032F" w:rsidRPr="0085405D">
        <w:t xml:space="preserve"> </w:t>
      </w:r>
      <w:r w:rsidRPr="0085405D">
        <w:t>strategies</w:t>
      </w:r>
      <w:r w:rsidR="0013032F" w:rsidRPr="0085405D">
        <w:t xml:space="preserve"> </w:t>
      </w:r>
      <w:r w:rsidRPr="0085405D">
        <w:t>and</w:t>
      </w:r>
      <w:r w:rsidR="0013032F" w:rsidRPr="0085405D">
        <w:t xml:space="preserve"> </w:t>
      </w:r>
      <w:r w:rsidRPr="0085405D">
        <w:t>advocates</w:t>
      </w:r>
      <w:r w:rsidR="0013032F" w:rsidRPr="0085405D">
        <w:t xml:space="preserve"> </w:t>
      </w:r>
      <w:r w:rsidRPr="0085405D">
        <w:t>for</w:t>
      </w:r>
      <w:r w:rsidR="0013032F" w:rsidRPr="0085405D">
        <w:t xml:space="preserve"> </w:t>
      </w:r>
      <w:r w:rsidRPr="0085405D">
        <w:t>cycle</w:t>
      </w:r>
      <w:r w:rsidR="0013032F" w:rsidRPr="0085405D">
        <w:t xml:space="preserve"> </w:t>
      </w:r>
      <w:r w:rsidRPr="0085405D">
        <w:t>tourism</w:t>
      </w:r>
      <w:r w:rsidR="0013032F" w:rsidRPr="0085405D">
        <w:t xml:space="preserve"> </w:t>
      </w:r>
      <w:r w:rsidRPr="0085405D">
        <w:t>in</w:t>
      </w:r>
      <w:r w:rsidR="0013032F" w:rsidRPr="0085405D">
        <w:t xml:space="preserve"> </w:t>
      </w:r>
      <w:r w:rsidRPr="0085405D">
        <w:t>the</w:t>
      </w:r>
      <w:r w:rsidR="0013032F" w:rsidRPr="0085405D">
        <w:t xml:space="preserve"> </w:t>
      </w:r>
      <w:r w:rsidRPr="0085405D">
        <w:t>region’s</w:t>
      </w:r>
      <w:r w:rsidR="0013032F" w:rsidRPr="0085405D">
        <w:t xml:space="preserve"> </w:t>
      </w:r>
      <w:r w:rsidRPr="0085405D">
        <w:t>High</w:t>
      </w:r>
      <w:r w:rsidR="0013032F" w:rsidRPr="0085405D">
        <w:t xml:space="preserve"> </w:t>
      </w:r>
      <w:r w:rsidRPr="0085405D">
        <w:t>Country.</w:t>
      </w:r>
      <w:r w:rsidR="0013032F" w:rsidRPr="0085405D">
        <w:t xml:space="preserve"> </w:t>
      </w:r>
      <w:r w:rsidRPr="0085405D">
        <w:t>Since</w:t>
      </w:r>
      <w:r w:rsidR="0013032F" w:rsidRPr="0085405D">
        <w:t xml:space="preserve"> </w:t>
      </w:r>
      <w:r w:rsidRPr="0085405D">
        <w:t>2017,</w:t>
      </w:r>
      <w:r w:rsidR="0013032F" w:rsidRPr="0085405D">
        <w:t xml:space="preserve"> </w:t>
      </w:r>
      <w:r w:rsidRPr="0085405D">
        <w:t>the</w:t>
      </w:r>
      <w:r w:rsidR="0013032F" w:rsidRPr="0085405D">
        <w:t xml:space="preserve"> </w:t>
      </w:r>
      <w:r w:rsidRPr="0085405D">
        <w:t>Ride</w:t>
      </w:r>
      <w:r w:rsidR="0013032F" w:rsidRPr="0085405D">
        <w:t xml:space="preserve"> </w:t>
      </w:r>
      <w:r w:rsidRPr="0085405D">
        <w:t>High</w:t>
      </w:r>
      <w:r w:rsidR="0013032F" w:rsidRPr="0085405D">
        <w:t xml:space="preserve"> </w:t>
      </w:r>
      <w:r w:rsidRPr="0085405D">
        <w:t>Country</w:t>
      </w:r>
      <w:r w:rsidR="0013032F" w:rsidRPr="0085405D">
        <w:t xml:space="preserve"> </w:t>
      </w:r>
      <w:r w:rsidRPr="0085405D">
        <w:t>initiative</w:t>
      </w:r>
      <w:r w:rsidR="0013032F" w:rsidRPr="0085405D">
        <w:t xml:space="preserve"> </w:t>
      </w:r>
      <w:r w:rsidRPr="0085405D">
        <w:t>has</w:t>
      </w:r>
      <w:r w:rsidR="0013032F" w:rsidRPr="0085405D">
        <w:t xml:space="preserve"> </w:t>
      </w:r>
      <w:r w:rsidRPr="0085405D">
        <w:t>attracted</w:t>
      </w:r>
      <w:r w:rsidR="0013032F" w:rsidRPr="0085405D">
        <w:t xml:space="preserve"> </w:t>
      </w:r>
      <w:r w:rsidRPr="0085405D">
        <w:t>over</w:t>
      </w:r>
      <w:r w:rsidR="0013032F" w:rsidRPr="0085405D">
        <w:t xml:space="preserve"> </w:t>
      </w:r>
      <w:r w:rsidRPr="0085405D">
        <w:t>$12</w:t>
      </w:r>
      <w:r w:rsidR="0013032F" w:rsidRPr="0085405D">
        <w:t xml:space="preserve"> </w:t>
      </w:r>
      <w:r w:rsidRPr="0085405D">
        <w:t>million</w:t>
      </w:r>
      <w:r w:rsidR="0013032F" w:rsidRPr="0085405D">
        <w:t xml:space="preserve"> </w:t>
      </w:r>
      <w:r w:rsidRPr="0085405D">
        <w:t>in</w:t>
      </w:r>
      <w:r w:rsidR="0013032F" w:rsidRPr="0085405D">
        <w:t xml:space="preserve"> </w:t>
      </w:r>
      <w:r w:rsidRPr="0085405D">
        <w:t>funding,</w:t>
      </w:r>
      <w:r w:rsidR="0013032F" w:rsidRPr="0085405D">
        <w:t xml:space="preserve"> </w:t>
      </w:r>
      <w:r w:rsidRPr="0085405D">
        <w:t>leading</w:t>
      </w:r>
      <w:r w:rsidR="0013032F" w:rsidRPr="0085405D">
        <w:t xml:space="preserve"> </w:t>
      </w:r>
      <w:r w:rsidRPr="0085405D">
        <w:t>to</w:t>
      </w:r>
      <w:r w:rsidR="0013032F" w:rsidRPr="0085405D">
        <w:t xml:space="preserve"> </w:t>
      </w:r>
      <w:r w:rsidRPr="0085405D">
        <w:t>significant</w:t>
      </w:r>
      <w:r w:rsidR="0013032F" w:rsidRPr="0085405D">
        <w:t xml:space="preserve"> </w:t>
      </w:r>
      <w:r w:rsidRPr="0085405D">
        <w:t>increases</w:t>
      </w:r>
      <w:r w:rsidR="0013032F" w:rsidRPr="0085405D">
        <w:t xml:space="preserve"> </w:t>
      </w:r>
      <w:r w:rsidRPr="0085405D">
        <w:t>in</w:t>
      </w:r>
      <w:r w:rsidR="0013032F" w:rsidRPr="0085405D">
        <w:t xml:space="preserve"> </w:t>
      </w:r>
      <w:r w:rsidRPr="0085405D">
        <w:t>cycling-focused</w:t>
      </w:r>
      <w:r w:rsidR="0013032F" w:rsidRPr="0085405D">
        <w:t xml:space="preserve"> </w:t>
      </w:r>
      <w:r w:rsidRPr="0085405D">
        <w:t>visitors</w:t>
      </w:r>
      <w:r w:rsidR="0013032F" w:rsidRPr="0085405D">
        <w:t xml:space="preserve"> </w:t>
      </w:r>
      <w:r w:rsidRPr="0085405D">
        <w:t>and</w:t>
      </w:r>
      <w:r w:rsidR="0013032F" w:rsidRPr="0085405D">
        <w:t xml:space="preserve"> </w:t>
      </w:r>
      <w:r w:rsidRPr="0085405D">
        <w:t>supported</w:t>
      </w:r>
      <w:r w:rsidR="0013032F" w:rsidRPr="0085405D">
        <w:t xml:space="preserve"> </w:t>
      </w:r>
      <w:r w:rsidRPr="0085405D">
        <w:t>the</w:t>
      </w:r>
      <w:r w:rsidR="0013032F" w:rsidRPr="0085405D">
        <w:t xml:space="preserve"> </w:t>
      </w:r>
      <w:r w:rsidRPr="0085405D">
        <w:t>development</w:t>
      </w:r>
      <w:r w:rsidR="0013032F" w:rsidRPr="0085405D">
        <w:t xml:space="preserve"> </w:t>
      </w:r>
      <w:r w:rsidRPr="0085405D">
        <w:t>of</w:t>
      </w:r>
      <w:r w:rsidR="0013032F" w:rsidRPr="0085405D">
        <w:t xml:space="preserve"> </w:t>
      </w:r>
      <w:r w:rsidRPr="0085405D">
        <w:t>key</w:t>
      </w:r>
      <w:r w:rsidR="0013032F" w:rsidRPr="0085405D">
        <w:t xml:space="preserve"> </w:t>
      </w:r>
      <w:r w:rsidRPr="0085405D">
        <w:t>infrastructure</w:t>
      </w:r>
      <w:r w:rsidR="0013032F" w:rsidRPr="0085405D">
        <w:t xml:space="preserve"> </w:t>
      </w:r>
      <w:r w:rsidRPr="0085405D">
        <w:t>to</w:t>
      </w:r>
      <w:r w:rsidR="0013032F" w:rsidRPr="0085405D">
        <w:t xml:space="preserve"> </w:t>
      </w:r>
      <w:r w:rsidRPr="0085405D">
        <w:t>grow</w:t>
      </w:r>
      <w:r w:rsidR="0013032F" w:rsidRPr="0085405D">
        <w:t xml:space="preserve"> </w:t>
      </w:r>
      <w:r w:rsidRPr="0085405D">
        <w:t>the</w:t>
      </w:r>
      <w:r w:rsidR="0013032F" w:rsidRPr="0085405D">
        <w:t xml:space="preserve"> </w:t>
      </w:r>
      <w:r w:rsidRPr="0085405D">
        <w:t>cycle-tourism</w:t>
      </w:r>
      <w:r w:rsidR="0013032F" w:rsidRPr="0085405D">
        <w:t xml:space="preserve"> </w:t>
      </w:r>
      <w:r w:rsidRPr="0085405D">
        <w:t>offering</w:t>
      </w:r>
      <w:r w:rsidR="0013032F" w:rsidRPr="0085405D">
        <w:t xml:space="preserve"> </w:t>
      </w:r>
      <w:r w:rsidRPr="0085405D">
        <w:t>in</w:t>
      </w:r>
      <w:r w:rsidR="0013032F" w:rsidRPr="0085405D">
        <w:t xml:space="preserve"> </w:t>
      </w:r>
      <w:r w:rsidRPr="0085405D">
        <w:t>the</w:t>
      </w:r>
      <w:r w:rsidR="0013032F" w:rsidRPr="0085405D">
        <w:t xml:space="preserve"> </w:t>
      </w:r>
      <w:r w:rsidRPr="0085405D">
        <w:t>region.</w:t>
      </w:r>
    </w:p>
    <w:p w14:paraId="607BE129" w14:textId="7FDAC185" w:rsidR="00757772" w:rsidRPr="0085405D" w:rsidRDefault="00305D3C" w:rsidP="0085405D">
      <w:r w:rsidRPr="0085405D">
        <w:lastRenderedPageBreak/>
        <w:t>This</w:t>
      </w:r>
      <w:r w:rsidR="0013032F" w:rsidRPr="0085405D">
        <w:t xml:space="preserve"> </w:t>
      </w:r>
      <w:r w:rsidRPr="0085405D">
        <w:t>includes</w:t>
      </w:r>
      <w:r w:rsidR="0013032F" w:rsidRPr="0085405D">
        <w:t xml:space="preserve"> </w:t>
      </w:r>
      <w:r w:rsidRPr="0085405D">
        <w:t>projects</w:t>
      </w:r>
      <w:r w:rsidR="0013032F" w:rsidRPr="0085405D">
        <w:t xml:space="preserve"> </w:t>
      </w:r>
      <w:r w:rsidRPr="0085405D">
        <w:t>such</w:t>
      </w:r>
      <w:r w:rsidR="0013032F" w:rsidRPr="0085405D">
        <w:t xml:space="preserve"> </w:t>
      </w:r>
      <w:r w:rsidRPr="0085405D">
        <w:t>as</w:t>
      </w:r>
      <w:r w:rsidR="0013032F" w:rsidRPr="0085405D">
        <w:t xml:space="preserve"> </w:t>
      </w:r>
      <w:r w:rsidRPr="0085405D">
        <w:t>the</w:t>
      </w:r>
      <w:r w:rsidR="0013032F" w:rsidRPr="0085405D">
        <w:t xml:space="preserve"> </w:t>
      </w:r>
      <w:r w:rsidRPr="0085405D">
        <w:t>recent</w:t>
      </w:r>
      <w:r w:rsidR="0013032F" w:rsidRPr="0085405D">
        <w:t xml:space="preserve"> </w:t>
      </w:r>
      <w:r w:rsidRPr="0085405D">
        <w:t>$8.5</w:t>
      </w:r>
      <w:r w:rsidR="0013032F" w:rsidRPr="0085405D">
        <w:t xml:space="preserve"> </w:t>
      </w:r>
      <w:r w:rsidRPr="0085405D">
        <w:t>million</w:t>
      </w:r>
      <w:r w:rsidR="0013032F" w:rsidRPr="0085405D">
        <w:t xml:space="preserve"> </w:t>
      </w:r>
      <w:r w:rsidRPr="0085405D">
        <w:t>investment</w:t>
      </w:r>
      <w:r w:rsidR="0013032F" w:rsidRPr="0085405D">
        <w:t xml:space="preserve"> </w:t>
      </w:r>
      <w:r w:rsidRPr="0085405D">
        <w:t>in</w:t>
      </w:r>
      <w:r w:rsidR="0013032F" w:rsidRPr="0085405D">
        <w:t xml:space="preserve"> </w:t>
      </w:r>
      <w:r w:rsidRPr="0085405D">
        <w:t>the</w:t>
      </w:r>
      <w:r w:rsidR="0013032F" w:rsidRPr="0085405D">
        <w:t xml:space="preserve"> </w:t>
      </w:r>
      <w:r w:rsidRPr="0085405D">
        <w:t>Murray</w:t>
      </w:r>
      <w:r w:rsidR="0013032F" w:rsidRPr="0085405D">
        <w:t xml:space="preserve"> </w:t>
      </w:r>
      <w:r w:rsidRPr="0085405D">
        <w:t>to</w:t>
      </w:r>
      <w:r w:rsidR="0013032F" w:rsidRPr="0085405D">
        <w:t xml:space="preserve"> </w:t>
      </w:r>
      <w:r w:rsidRPr="0085405D">
        <w:t>Mountains</w:t>
      </w:r>
      <w:r w:rsidR="0013032F" w:rsidRPr="0085405D">
        <w:t xml:space="preserve"> </w:t>
      </w:r>
      <w:r w:rsidRPr="0085405D">
        <w:t>Rail</w:t>
      </w:r>
      <w:r w:rsidR="0013032F" w:rsidRPr="0085405D">
        <w:t xml:space="preserve"> </w:t>
      </w:r>
      <w:r w:rsidRPr="0085405D">
        <w:t>Trail</w:t>
      </w:r>
      <w:r w:rsidR="0013032F" w:rsidRPr="0085405D">
        <w:t xml:space="preserve"> </w:t>
      </w:r>
      <w:r w:rsidRPr="0085405D">
        <w:t>enhancements</w:t>
      </w:r>
      <w:r w:rsidR="0013032F" w:rsidRPr="0085405D">
        <w:t xml:space="preserve"> </w:t>
      </w:r>
      <w:r w:rsidRPr="0085405D">
        <w:t>and</w:t>
      </w:r>
      <w:r w:rsidR="0013032F" w:rsidRPr="0085405D">
        <w:t xml:space="preserve"> </w:t>
      </w:r>
      <w:r w:rsidRPr="0085405D">
        <w:t>$3</w:t>
      </w:r>
      <w:r w:rsidR="0013032F" w:rsidRPr="0085405D">
        <w:t xml:space="preserve"> </w:t>
      </w:r>
      <w:r w:rsidRPr="0085405D">
        <w:t>million</w:t>
      </w:r>
      <w:r w:rsidR="0013032F" w:rsidRPr="0085405D">
        <w:t xml:space="preserve"> </w:t>
      </w:r>
      <w:r w:rsidRPr="0085405D">
        <w:t>in</w:t>
      </w:r>
      <w:r w:rsidR="0013032F" w:rsidRPr="0085405D">
        <w:t xml:space="preserve"> </w:t>
      </w:r>
      <w:r w:rsidRPr="0085405D">
        <w:t>private</w:t>
      </w:r>
      <w:r w:rsidR="0013032F" w:rsidRPr="0085405D">
        <w:t xml:space="preserve"> </w:t>
      </w:r>
      <w:r w:rsidRPr="0085405D">
        <w:t>sector</w:t>
      </w:r>
      <w:r w:rsidR="0013032F" w:rsidRPr="0085405D">
        <w:t xml:space="preserve"> </w:t>
      </w:r>
      <w:r w:rsidRPr="0085405D">
        <w:t>activation</w:t>
      </w:r>
      <w:r w:rsidR="0013032F" w:rsidRPr="0085405D">
        <w:t xml:space="preserve"> </w:t>
      </w:r>
      <w:r w:rsidRPr="0085405D">
        <w:t>funding</w:t>
      </w:r>
      <w:r w:rsidR="0013032F" w:rsidRPr="0085405D">
        <w:t xml:space="preserve"> </w:t>
      </w:r>
      <w:r w:rsidRPr="0085405D">
        <w:t>for</w:t>
      </w:r>
      <w:r w:rsidR="0013032F" w:rsidRPr="0085405D">
        <w:t xml:space="preserve"> </w:t>
      </w:r>
      <w:r w:rsidRPr="0085405D">
        <w:t>various</w:t>
      </w:r>
      <w:r w:rsidR="0013032F" w:rsidRPr="0085405D">
        <w:t xml:space="preserve"> </w:t>
      </w:r>
      <w:r w:rsidRPr="0085405D">
        <w:t>accommodation,</w:t>
      </w:r>
      <w:r w:rsidR="0013032F" w:rsidRPr="0085405D">
        <w:t xml:space="preserve"> </w:t>
      </w:r>
      <w:r w:rsidRPr="0085405D">
        <w:t>bike</w:t>
      </w:r>
      <w:r w:rsidR="0013032F" w:rsidRPr="0085405D">
        <w:t xml:space="preserve"> </w:t>
      </w:r>
      <w:r w:rsidRPr="0085405D">
        <w:t>hubs</w:t>
      </w:r>
      <w:r w:rsidR="0013032F" w:rsidRPr="0085405D">
        <w:t xml:space="preserve"> </w:t>
      </w:r>
      <w:r w:rsidRPr="0085405D">
        <w:t>and</w:t>
      </w:r>
      <w:r w:rsidR="0013032F" w:rsidRPr="0085405D">
        <w:t xml:space="preserve"> </w:t>
      </w:r>
      <w:r w:rsidRPr="0085405D">
        <w:t>services,</w:t>
      </w:r>
      <w:r w:rsidR="0013032F" w:rsidRPr="0085405D">
        <w:t xml:space="preserve"> </w:t>
      </w:r>
      <w:r w:rsidRPr="0085405D">
        <w:t>food</w:t>
      </w:r>
      <w:r w:rsidR="0013032F" w:rsidRPr="0085405D">
        <w:t xml:space="preserve"> </w:t>
      </w:r>
      <w:r w:rsidRPr="0085405D">
        <w:t>and</w:t>
      </w:r>
      <w:r w:rsidR="0013032F" w:rsidRPr="0085405D">
        <w:t xml:space="preserve"> </w:t>
      </w:r>
      <w:r w:rsidRPr="0085405D">
        <w:t>beverage</w:t>
      </w:r>
      <w:r w:rsidR="0013032F" w:rsidRPr="0085405D">
        <w:t xml:space="preserve"> </w:t>
      </w:r>
      <w:r w:rsidRPr="0085405D">
        <w:t>offerings</w:t>
      </w:r>
      <w:r w:rsidR="0013032F" w:rsidRPr="0085405D">
        <w:t xml:space="preserve"> </w:t>
      </w:r>
      <w:r w:rsidRPr="0085405D">
        <w:t>and</w:t>
      </w:r>
      <w:r w:rsidR="0013032F" w:rsidRPr="0085405D">
        <w:t xml:space="preserve"> </w:t>
      </w:r>
      <w:r w:rsidRPr="0085405D">
        <w:t>tours.</w:t>
      </w:r>
      <w:r w:rsidR="0013032F" w:rsidRPr="0085405D">
        <w:t xml:space="preserve"> </w:t>
      </w:r>
    </w:p>
    <w:p w14:paraId="0B79C22E" w14:textId="77777777" w:rsidR="00757772" w:rsidRDefault="00305D3C" w:rsidP="0085405D">
      <w:pPr>
        <w:pStyle w:val="Heading2"/>
      </w:pPr>
      <w:bookmarkStart w:id="21" w:name="_Toc149566567"/>
      <w:r>
        <w:t>Goulburn</w:t>
      </w:r>
      <w:bookmarkEnd w:id="21"/>
    </w:p>
    <w:p w14:paraId="591B21D8" w14:textId="2349CDD0" w:rsidR="00757772" w:rsidRDefault="00305D3C" w:rsidP="0085405D">
      <w:r>
        <w:t>The</w:t>
      </w:r>
      <w:r w:rsidR="0013032F">
        <w:t xml:space="preserve"> </w:t>
      </w:r>
      <w:r>
        <w:t>Goulburn</w:t>
      </w:r>
      <w:r w:rsidR="0013032F">
        <w:t xml:space="preserve"> </w:t>
      </w:r>
      <w:r>
        <w:t>Regional</w:t>
      </w:r>
      <w:r w:rsidR="0013032F">
        <w:t xml:space="preserve"> </w:t>
      </w:r>
      <w:r>
        <w:t>Partnership</w:t>
      </w:r>
      <w:r w:rsidR="0013032F">
        <w:t xml:space="preserve"> </w:t>
      </w:r>
      <w:r>
        <w:t>(GRP)</w:t>
      </w:r>
      <w:r w:rsidR="0013032F">
        <w:t xml:space="preserve"> </w:t>
      </w:r>
      <w:r>
        <w:t>continued</w:t>
      </w:r>
      <w:r w:rsidR="0013032F">
        <w:t xml:space="preserve"> </w:t>
      </w:r>
      <w:r>
        <w:t>to</w:t>
      </w:r>
      <w:r w:rsidR="0013032F">
        <w:t xml:space="preserve"> </w:t>
      </w:r>
      <w:r>
        <w:t>identify</w:t>
      </w:r>
      <w:r w:rsidR="0013032F">
        <w:t xml:space="preserve"> </w:t>
      </w:r>
      <w:r>
        <w:t>and</w:t>
      </w:r>
      <w:r w:rsidR="0013032F">
        <w:t xml:space="preserve"> </w:t>
      </w:r>
      <w:r>
        <w:t>advocate</w:t>
      </w:r>
      <w:r w:rsidR="0013032F">
        <w:t xml:space="preserve"> </w:t>
      </w:r>
      <w:r>
        <w:t>for</w:t>
      </w:r>
      <w:r w:rsidR="0013032F">
        <w:t xml:space="preserve"> </w:t>
      </w:r>
      <w:r>
        <w:t>opportunities</w:t>
      </w:r>
      <w:r w:rsidR="0013032F">
        <w:t xml:space="preserve"> </w:t>
      </w:r>
      <w:r>
        <w:t>that</w:t>
      </w:r>
      <w:r w:rsidR="0013032F">
        <w:t xml:space="preserve"> </w:t>
      </w:r>
      <w:r>
        <w:t>aligned</w:t>
      </w:r>
      <w:r w:rsidR="0013032F">
        <w:t xml:space="preserve"> </w:t>
      </w:r>
      <w:r>
        <w:t>with</w:t>
      </w:r>
      <w:r w:rsidR="0013032F">
        <w:t xml:space="preserve"> </w:t>
      </w:r>
      <w:r>
        <w:t>its</w:t>
      </w:r>
      <w:r w:rsidR="0013032F">
        <w:t xml:space="preserve"> </w:t>
      </w:r>
      <w:r>
        <w:t>strategic</w:t>
      </w:r>
      <w:r w:rsidR="0013032F">
        <w:t xml:space="preserve"> </w:t>
      </w:r>
      <w:r>
        <w:t>directions</w:t>
      </w:r>
      <w:r w:rsidR="0013032F">
        <w:t xml:space="preserve"> </w:t>
      </w:r>
      <w:r>
        <w:t>and</w:t>
      </w:r>
      <w:r w:rsidR="0013032F">
        <w:t xml:space="preserve"> </w:t>
      </w:r>
      <w:r>
        <w:t>regional</w:t>
      </w:r>
      <w:r w:rsidR="0013032F">
        <w:t xml:space="preserve"> </w:t>
      </w:r>
      <w:r>
        <w:t>strengths.</w:t>
      </w:r>
      <w:r w:rsidR="0013032F">
        <w:t xml:space="preserve"> </w:t>
      </w:r>
    </w:p>
    <w:p w14:paraId="00EE5216" w14:textId="25799A3B" w:rsidR="00757772" w:rsidRDefault="00305D3C" w:rsidP="0085405D">
      <w:pPr>
        <w:pStyle w:val="Heading3"/>
      </w:pPr>
      <w:r>
        <w:t>Regional</w:t>
      </w:r>
      <w:r w:rsidR="0013032F">
        <w:t xml:space="preserve"> </w:t>
      </w:r>
      <w:r>
        <w:t>priorities:</w:t>
      </w:r>
    </w:p>
    <w:p w14:paraId="51CFB7B6" w14:textId="16FC9C94" w:rsidR="00757772" w:rsidRDefault="00305D3C" w:rsidP="0085405D">
      <w:pPr>
        <w:pStyle w:val="Bullet"/>
      </w:pPr>
      <w:r w:rsidRPr="009B1556">
        <w:rPr>
          <w:b/>
          <w:bCs/>
        </w:rPr>
        <w:t>First</w:t>
      </w:r>
      <w:r w:rsidR="0013032F" w:rsidRPr="009B1556">
        <w:rPr>
          <w:b/>
          <w:bCs/>
        </w:rPr>
        <w:t xml:space="preserve"> </w:t>
      </w:r>
      <w:r w:rsidRPr="009B1556">
        <w:rPr>
          <w:b/>
          <w:bCs/>
        </w:rPr>
        <w:t>Nations</w:t>
      </w:r>
      <w:r w:rsidR="0013032F" w:rsidRPr="009B1556">
        <w:rPr>
          <w:b/>
          <w:bCs/>
        </w:rPr>
        <w:t xml:space="preserve"> </w:t>
      </w:r>
      <w:r w:rsidRPr="009B1556">
        <w:rPr>
          <w:b/>
          <w:bCs/>
        </w:rPr>
        <w:t>prosperity</w:t>
      </w:r>
      <w:r w:rsidR="0013032F" w:rsidRPr="009B1556">
        <w:t xml:space="preserve"> </w:t>
      </w:r>
      <w:r>
        <w:t>–</w:t>
      </w:r>
      <w:r w:rsidR="0013032F">
        <w:t xml:space="preserve"> </w:t>
      </w:r>
      <w:r>
        <w:t>Goulburn</w:t>
      </w:r>
      <w:r w:rsidR="0013032F">
        <w:t xml:space="preserve"> </w:t>
      </w:r>
      <w:r>
        <w:t>is</w:t>
      </w:r>
      <w:r w:rsidR="0013032F">
        <w:t xml:space="preserve"> </w:t>
      </w:r>
      <w:r>
        <w:t>home</w:t>
      </w:r>
      <w:r w:rsidR="0013032F">
        <w:t xml:space="preserve"> </w:t>
      </w:r>
      <w:r>
        <w:t>to</w:t>
      </w:r>
      <w:r w:rsidR="0013032F">
        <w:t xml:space="preserve"> </w:t>
      </w:r>
      <w:r>
        <w:t>the</w:t>
      </w:r>
      <w:r w:rsidR="0013032F">
        <w:t xml:space="preserve"> </w:t>
      </w:r>
      <w:r>
        <w:t>largest</w:t>
      </w:r>
      <w:r w:rsidR="0013032F">
        <w:t xml:space="preserve"> </w:t>
      </w:r>
      <w:r>
        <w:t>Indigenous</w:t>
      </w:r>
      <w:r w:rsidR="0013032F">
        <w:t xml:space="preserve"> </w:t>
      </w:r>
      <w:r>
        <w:t>population</w:t>
      </w:r>
      <w:r w:rsidR="0013032F">
        <w:t xml:space="preserve"> </w:t>
      </w:r>
      <w:r>
        <w:t>outside</w:t>
      </w:r>
      <w:r w:rsidR="0013032F">
        <w:t xml:space="preserve"> </w:t>
      </w:r>
      <w:r>
        <w:t>of</w:t>
      </w:r>
      <w:r w:rsidR="0013032F">
        <w:t xml:space="preserve"> </w:t>
      </w:r>
      <w:r>
        <w:t>metr</w:t>
      </w:r>
      <w:r>
        <w:t>opolitan</w:t>
      </w:r>
      <w:r w:rsidR="0013032F">
        <w:t xml:space="preserve"> </w:t>
      </w:r>
      <w:r>
        <w:t>Melbourne.</w:t>
      </w:r>
      <w:r w:rsidR="0013032F">
        <w:t xml:space="preserve"> </w:t>
      </w:r>
      <w:r>
        <w:t>The</w:t>
      </w:r>
      <w:r w:rsidR="0013032F">
        <w:t xml:space="preserve"> </w:t>
      </w:r>
      <w:r>
        <w:t>Goulburn</w:t>
      </w:r>
      <w:r w:rsidR="0013032F">
        <w:t xml:space="preserve"> </w:t>
      </w:r>
      <w:r>
        <w:t>Murray</w:t>
      </w:r>
      <w:r w:rsidR="0013032F">
        <w:t xml:space="preserve"> </w:t>
      </w:r>
      <w:r>
        <w:t>Regional</w:t>
      </w:r>
      <w:r w:rsidR="0013032F">
        <w:t xml:space="preserve"> </w:t>
      </w:r>
      <w:r>
        <w:t>Prosperity</w:t>
      </w:r>
      <w:r w:rsidR="0013032F">
        <w:t xml:space="preserve"> </w:t>
      </w:r>
      <w:r>
        <w:t>Plan</w:t>
      </w:r>
      <w:r w:rsidR="0013032F">
        <w:t xml:space="preserve"> </w:t>
      </w:r>
      <w:r>
        <w:t>highlights</w:t>
      </w:r>
      <w:r w:rsidR="0013032F">
        <w:t xml:space="preserve"> </w:t>
      </w:r>
      <w:r>
        <w:t>$150</w:t>
      </w:r>
      <w:r w:rsidR="0013032F">
        <w:t xml:space="preserve"> </w:t>
      </w:r>
      <w:r>
        <w:t>million</w:t>
      </w:r>
      <w:r w:rsidR="0013032F">
        <w:t xml:space="preserve"> </w:t>
      </w:r>
      <w:r>
        <w:t>in</w:t>
      </w:r>
      <w:r w:rsidR="0013032F">
        <w:t xml:space="preserve"> </w:t>
      </w:r>
      <w:r>
        <w:t>economic</w:t>
      </w:r>
      <w:r w:rsidR="0013032F">
        <w:t xml:space="preserve"> </w:t>
      </w:r>
      <w:r>
        <w:t>benefit</w:t>
      </w:r>
      <w:r w:rsidR="0013032F">
        <w:t xml:space="preserve"> </w:t>
      </w:r>
      <w:r>
        <w:t>from</w:t>
      </w:r>
      <w:r w:rsidR="0013032F">
        <w:t xml:space="preserve"> </w:t>
      </w:r>
      <w:r>
        <w:t>closing</w:t>
      </w:r>
      <w:r w:rsidR="0013032F">
        <w:t xml:space="preserve"> </w:t>
      </w:r>
      <w:r>
        <w:t>the</w:t>
      </w:r>
      <w:r w:rsidR="0013032F">
        <w:t xml:space="preserve"> </w:t>
      </w:r>
      <w:r>
        <w:t>gaps</w:t>
      </w:r>
      <w:r w:rsidR="0013032F">
        <w:t xml:space="preserve"> </w:t>
      </w:r>
      <w:r>
        <w:t>in</w:t>
      </w:r>
      <w:r w:rsidR="0013032F">
        <w:t xml:space="preserve"> </w:t>
      </w:r>
      <w:r>
        <w:t>economic</w:t>
      </w:r>
      <w:r w:rsidR="0013032F">
        <w:t xml:space="preserve"> </w:t>
      </w:r>
      <w:r>
        <w:t>and</w:t>
      </w:r>
      <w:r w:rsidR="0013032F">
        <w:t xml:space="preserve"> </w:t>
      </w:r>
      <w:r>
        <w:t>social</w:t>
      </w:r>
      <w:r w:rsidR="0013032F">
        <w:t xml:space="preserve"> </w:t>
      </w:r>
      <w:r>
        <w:t>outcomes</w:t>
      </w:r>
      <w:r w:rsidR="0013032F">
        <w:t xml:space="preserve"> </w:t>
      </w:r>
      <w:r>
        <w:t>between</w:t>
      </w:r>
      <w:r w:rsidR="0013032F">
        <w:t xml:space="preserve"> </w:t>
      </w:r>
      <w:r>
        <w:t>Aboriginal</w:t>
      </w:r>
      <w:r w:rsidR="0013032F">
        <w:t xml:space="preserve"> </w:t>
      </w:r>
      <w:r>
        <w:t>people</w:t>
      </w:r>
      <w:r w:rsidR="0013032F">
        <w:t xml:space="preserve"> </w:t>
      </w:r>
      <w:r>
        <w:t>and</w:t>
      </w:r>
      <w:r w:rsidR="0013032F">
        <w:t xml:space="preserve"> </w:t>
      </w:r>
      <w:r>
        <w:t>non-Aboriginal</w:t>
      </w:r>
      <w:r w:rsidR="0013032F">
        <w:t xml:space="preserve"> </w:t>
      </w:r>
      <w:r>
        <w:t>people.</w:t>
      </w:r>
      <w:r w:rsidR="0013032F">
        <w:t xml:space="preserve"> </w:t>
      </w:r>
      <w:r>
        <w:t>The</w:t>
      </w:r>
      <w:r w:rsidR="0013032F">
        <w:t xml:space="preserve"> </w:t>
      </w:r>
      <w:r>
        <w:t>first</w:t>
      </w:r>
      <w:r w:rsidR="0013032F">
        <w:t xml:space="preserve"> </w:t>
      </w:r>
      <w:r>
        <w:t>sod</w:t>
      </w:r>
      <w:r w:rsidR="0013032F">
        <w:t xml:space="preserve"> </w:t>
      </w:r>
      <w:r>
        <w:t>was</w:t>
      </w:r>
      <w:r w:rsidR="0013032F">
        <w:t xml:space="preserve"> </w:t>
      </w:r>
      <w:r>
        <w:t>turned</w:t>
      </w:r>
      <w:r w:rsidR="0013032F">
        <w:t xml:space="preserve"> </w:t>
      </w:r>
      <w:r>
        <w:t>for</w:t>
      </w:r>
      <w:r w:rsidR="0013032F">
        <w:t xml:space="preserve"> </w:t>
      </w:r>
      <w:r>
        <w:t>the</w:t>
      </w:r>
      <w:r w:rsidR="0013032F">
        <w:t xml:space="preserve"> </w:t>
      </w:r>
      <w:r>
        <w:t>Munarra</w:t>
      </w:r>
      <w:r w:rsidR="0013032F">
        <w:t xml:space="preserve"> </w:t>
      </w:r>
      <w:r>
        <w:t>Centre</w:t>
      </w:r>
      <w:r w:rsidR="0013032F">
        <w:t xml:space="preserve"> </w:t>
      </w:r>
      <w:r>
        <w:t>of</w:t>
      </w:r>
      <w:r w:rsidR="0013032F">
        <w:t xml:space="preserve"> </w:t>
      </w:r>
      <w:r>
        <w:t>Regional</w:t>
      </w:r>
      <w:r w:rsidR="0013032F">
        <w:t xml:space="preserve"> </w:t>
      </w:r>
      <w:r>
        <w:t>Excellence</w:t>
      </w:r>
      <w:r w:rsidR="0013032F">
        <w:t xml:space="preserve"> </w:t>
      </w:r>
      <w:r>
        <w:t>which</w:t>
      </w:r>
      <w:r w:rsidR="0013032F">
        <w:t xml:space="preserve"> </w:t>
      </w:r>
      <w:r>
        <w:t>will</w:t>
      </w:r>
      <w:r w:rsidR="0013032F">
        <w:t xml:space="preserve"> </w:t>
      </w:r>
      <w:r>
        <w:t>provide</w:t>
      </w:r>
      <w:r w:rsidR="0013032F">
        <w:t xml:space="preserve"> </w:t>
      </w:r>
      <w:r>
        <w:t>a</w:t>
      </w:r>
      <w:r w:rsidR="0013032F">
        <w:t xml:space="preserve"> </w:t>
      </w:r>
      <w:r>
        <w:t>regional</w:t>
      </w:r>
      <w:r w:rsidR="0013032F">
        <w:t xml:space="preserve"> </w:t>
      </w:r>
      <w:r>
        <w:t>hub</w:t>
      </w:r>
      <w:r w:rsidR="0013032F">
        <w:t xml:space="preserve"> </w:t>
      </w:r>
      <w:r>
        <w:t>for</w:t>
      </w:r>
      <w:r w:rsidR="0013032F">
        <w:t xml:space="preserve"> </w:t>
      </w:r>
      <w:r>
        <w:t>education,</w:t>
      </w:r>
      <w:r w:rsidR="0013032F">
        <w:t xml:space="preserve"> </w:t>
      </w:r>
      <w:r>
        <w:t>sporting</w:t>
      </w:r>
      <w:r w:rsidR="0013032F">
        <w:t xml:space="preserve"> </w:t>
      </w:r>
      <w:r>
        <w:t>and</w:t>
      </w:r>
      <w:r w:rsidR="0013032F">
        <w:t xml:space="preserve"> </w:t>
      </w:r>
      <w:r>
        <w:t>cultural</w:t>
      </w:r>
      <w:r w:rsidR="0013032F">
        <w:t xml:space="preserve"> </w:t>
      </w:r>
      <w:r>
        <w:t>excellence</w:t>
      </w:r>
    </w:p>
    <w:p w14:paraId="28C790EB" w14:textId="4F1E0283" w:rsidR="00757772" w:rsidRDefault="00305D3C" w:rsidP="0085405D">
      <w:pPr>
        <w:pStyle w:val="Bullet"/>
      </w:pPr>
      <w:r w:rsidRPr="009B1556">
        <w:rPr>
          <w:b/>
          <w:bCs/>
        </w:rPr>
        <w:t>Support</w:t>
      </w:r>
      <w:r w:rsidR="0013032F" w:rsidRPr="009B1556">
        <w:rPr>
          <w:b/>
          <w:bCs/>
        </w:rPr>
        <w:t xml:space="preserve"> </w:t>
      </w:r>
      <w:r w:rsidRPr="009B1556">
        <w:rPr>
          <w:b/>
          <w:bCs/>
        </w:rPr>
        <w:t>sustainable</w:t>
      </w:r>
      <w:r w:rsidR="0013032F" w:rsidRPr="009B1556">
        <w:rPr>
          <w:b/>
          <w:bCs/>
        </w:rPr>
        <w:t xml:space="preserve"> </w:t>
      </w:r>
      <w:r w:rsidRPr="009B1556">
        <w:rPr>
          <w:b/>
          <w:bCs/>
        </w:rPr>
        <w:t>growth</w:t>
      </w:r>
      <w:r w:rsidR="0013032F" w:rsidRPr="009B1556">
        <w:rPr>
          <w:b/>
          <w:bCs/>
        </w:rPr>
        <w:t xml:space="preserve"> </w:t>
      </w:r>
      <w:r w:rsidRPr="009B1556">
        <w:rPr>
          <w:b/>
          <w:bCs/>
        </w:rPr>
        <w:t>and</w:t>
      </w:r>
      <w:r w:rsidR="0013032F" w:rsidRPr="009B1556">
        <w:rPr>
          <w:b/>
          <w:bCs/>
        </w:rPr>
        <w:t xml:space="preserve"> </w:t>
      </w:r>
      <w:r w:rsidRPr="009B1556">
        <w:rPr>
          <w:b/>
          <w:bCs/>
        </w:rPr>
        <w:t>peri-urban</w:t>
      </w:r>
      <w:r w:rsidR="0013032F" w:rsidRPr="009B1556">
        <w:rPr>
          <w:b/>
          <w:bCs/>
        </w:rPr>
        <w:t xml:space="preserve"> </w:t>
      </w:r>
      <w:r w:rsidRPr="009B1556">
        <w:rPr>
          <w:b/>
          <w:bCs/>
        </w:rPr>
        <w:t>development</w:t>
      </w:r>
      <w:r w:rsidR="0013032F" w:rsidRPr="009B1556">
        <w:rPr>
          <w:b/>
          <w:bCs/>
        </w:rPr>
        <w:t xml:space="preserve"> </w:t>
      </w:r>
      <w:r w:rsidRPr="009B1556">
        <w:rPr>
          <w:b/>
          <w:bCs/>
        </w:rPr>
        <w:t>opportunities</w:t>
      </w:r>
      <w:r w:rsidR="0013032F" w:rsidRPr="009B1556">
        <w:t xml:space="preserve"> </w:t>
      </w:r>
      <w:r>
        <w:t>–</w:t>
      </w:r>
      <w:r w:rsidR="0013032F">
        <w:t xml:space="preserve"> </w:t>
      </w:r>
      <w:r>
        <w:t>continued</w:t>
      </w:r>
      <w:r w:rsidR="0013032F">
        <w:t xml:space="preserve"> </w:t>
      </w:r>
      <w:r>
        <w:t>to</w:t>
      </w:r>
      <w:r w:rsidR="0013032F">
        <w:t xml:space="preserve"> </w:t>
      </w:r>
      <w:r>
        <w:t>advocate</w:t>
      </w:r>
      <w:r w:rsidR="0013032F">
        <w:t xml:space="preserve"> </w:t>
      </w:r>
      <w:r>
        <w:t>for</w:t>
      </w:r>
      <w:r w:rsidR="0013032F">
        <w:t xml:space="preserve"> </w:t>
      </w:r>
      <w:r>
        <w:t>projects</w:t>
      </w:r>
      <w:r w:rsidR="0013032F">
        <w:t xml:space="preserve"> </w:t>
      </w:r>
      <w:r>
        <w:t>that</w:t>
      </w:r>
      <w:r w:rsidR="0013032F">
        <w:t xml:space="preserve"> </w:t>
      </w:r>
      <w:r>
        <w:t>capitalise</w:t>
      </w:r>
      <w:r w:rsidR="0013032F">
        <w:t xml:space="preserve"> </w:t>
      </w:r>
      <w:r>
        <w:t>on</w:t>
      </w:r>
      <w:r w:rsidR="0013032F">
        <w:t xml:space="preserve"> </w:t>
      </w:r>
      <w:r>
        <w:t>peri-urban</w:t>
      </w:r>
      <w:r w:rsidR="0013032F">
        <w:t xml:space="preserve"> </w:t>
      </w:r>
      <w:r>
        <w:t>growth</w:t>
      </w:r>
      <w:r w:rsidR="0013032F">
        <w:t xml:space="preserve"> </w:t>
      </w:r>
      <w:r>
        <w:t>such</w:t>
      </w:r>
      <w:r w:rsidR="0013032F">
        <w:t xml:space="preserve"> </w:t>
      </w:r>
      <w:r>
        <w:t>as</w:t>
      </w:r>
      <w:r w:rsidR="0013032F">
        <w:t xml:space="preserve"> </w:t>
      </w:r>
      <w:r>
        <w:t>the</w:t>
      </w:r>
      <w:r w:rsidR="0013032F">
        <w:t xml:space="preserve"> </w:t>
      </w:r>
      <w:r>
        <w:t>Seymour</w:t>
      </w:r>
      <w:r w:rsidR="0013032F">
        <w:t xml:space="preserve"> </w:t>
      </w:r>
      <w:r>
        <w:t>Revitalisation</w:t>
      </w:r>
      <w:r w:rsidR="0013032F">
        <w:t xml:space="preserve"> </w:t>
      </w:r>
      <w:r>
        <w:t>initiative.</w:t>
      </w:r>
      <w:r w:rsidR="0013032F">
        <w:t xml:space="preserve"> </w:t>
      </w:r>
      <w:r>
        <w:t>This</w:t>
      </w:r>
      <w:r w:rsidR="0013032F">
        <w:t xml:space="preserve"> </w:t>
      </w:r>
      <w:r>
        <w:t>identified</w:t>
      </w:r>
      <w:r w:rsidR="0013032F">
        <w:t xml:space="preserve"> </w:t>
      </w:r>
      <w:r>
        <w:t>issues</w:t>
      </w:r>
      <w:r w:rsidR="0013032F">
        <w:t xml:space="preserve"> </w:t>
      </w:r>
      <w:r>
        <w:t>with</w:t>
      </w:r>
      <w:r w:rsidR="0013032F">
        <w:t xml:space="preserve"> </w:t>
      </w:r>
      <w:r>
        <w:t>the</w:t>
      </w:r>
      <w:r w:rsidR="0013032F">
        <w:t xml:space="preserve"> </w:t>
      </w:r>
      <w:r>
        <w:t>lack</w:t>
      </w:r>
      <w:r w:rsidR="0013032F">
        <w:t xml:space="preserve"> </w:t>
      </w:r>
      <w:r>
        <w:t>of</w:t>
      </w:r>
      <w:r w:rsidR="0013032F">
        <w:t xml:space="preserve"> </w:t>
      </w:r>
      <w:r>
        <w:t>baseline</w:t>
      </w:r>
      <w:r w:rsidR="0013032F">
        <w:t xml:space="preserve"> </w:t>
      </w:r>
      <w:r>
        <w:t>infrastructure</w:t>
      </w:r>
      <w:r w:rsidR="0013032F">
        <w:t xml:space="preserve"> </w:t>
      </w:r>
      <w:r>
        <w:t>which</w:t>
      </w:r>
      <w:r w:rsidR="0013032F">
        <w:t xml:space="preserve"> </w:t>
      </w:r>
      <w:r>
        <w:t>is</w:t>
      </w:r>
      <w:r w:rsidR="0013032F">
        <w:t xml:space="preserve"> </w:t>
      </w:r>
      <w:r>
        <w:t>limiting</w:t>
      </w:r>
      <w:r w:rsidR="0013032F">
        <w:t xml:space="preserve"> </w:t>
      </w:r>
      <w:r>
        <w:t>the</w:t>
      </w:r>
      <w:r w:rsidR="0013032F">
        <w:t xml:space="preserve"> </w:t>
      </w:r>
      <w:r>
        <w:t>growth</w:t>
      </w:r>
      <w:r w:rsidR="0013032F">
        <w:t xml:space="preserve"> </w:t>
      </w:r>
      <w:r>
        <w:t>potential</w:t>
      </w:r>
      <w:r w:rsidR="0013032F">
        <w:t xml:space="preserve"> </w:t>
      </w:r>
      <w:r>
        <w:t>and</w:t>
      </w:r>
      <w:r w:rsidR="0013032F">
        <w:t xml:space="preserve"> </w:t>
      </w:r>
      <w:r>
        <w:t>liveability</w:t>
      </w:r>
      <w:r w:rsidR="0013032F">
        <w:t xml:space="preserve"> </w:t>
      </w:r>
      <w:r>
        <w:t>of</w:t>
      </w:r>
      <w:r w:rsidR="0013032F">
        <w:t xml:space="preserve"> </w:t>
      </w:r>
      <w:r>
        <w:t>our</w:t>
      </w:r>
      <w:r w:rsidR="0013032F">
        <w:t xml:space="preserve"> </w:t>
      </w:r>
      <w:r>
        <w:t>region</w:t>
      </w:r>
      <w:r w:rsidR="0013032F">
        <w:t xml:space="preserve"> </w:t>
      </w:r>
      <w:r>
        <w:t>–</w:t>
      </w:r>
      <w:r w:rsidR="0013032F">
        <w:t xml:space="preserve"> </w:t>
      </w:r>
      <w:r>
        <w:t>such</w:t>
      </w:r>
      <w:r w:rsidR="0013032F">
        <w:t xml:space="preserve"> </w:t>
      </w:r>
      <w:r>
        <w:t>as</w:t>
      </w:r>
      <w:r w:rsidR="0013032F">
        <w:t xml:space="preserve"> </w:t>
      </w:r>
      <w:r>
        <w:t>the</w:t>
      </w:r>
      <w:r w:rsidR="0013032F">
        <w:t xml:space="preserve"> </w:t>
      </w:r>
      <w:r>
        <w:t>reliability</w:t>
      </w:r>
      <w:r w:rsidR="0013032F">
        <w:t xml:space="preserve"> </w:t>
      </w:r>
      <w:r>
        <w:t>of</w:t>
      </w:r>
      <w:r w:rsidR="0013032F">
        <w:t xml:space="preserve"> </w:t>
      </w:r>
      <w:r>
        <w:t>power</w:t>
      </w:r>
      <w:r w:rsidR="0013032F">
        <w:t xml:space="preserve"> </w:t>
      </w:r>
      <w:r>
        <w:t>in</w:t>
      </w:r>
      <w:r w:rsidR="0013032F">
        <w:t xml:space="preserve"> </w:t>
      </w:r>
      <w:r>
        <w:t>Euroa</w:t>
      </w:r>
      <w:r w:rsidR="0013032F">
        <w:t xml:space="preserve"> </w:t>
      </w:r>
      <w:r>
        <w:t>and</w:t>
      </w:r>
      <w:r w:rsidR="0013032F">
        <w:t xml:space="preserve"> </w:t>
      </w:r>
      <w:r>
        <w:t>Nagam</w:t>
      </w:r>
      <w:r>
        <w:t>bie</w:t>
      </w:r>
      <w:r w:rsidR="0013032F">
        <w:t xml:space="preserve"> </w:t>
      </w:r>
      <w:r>
        <w:t>and</w:t>
      </w:r>
      <w:r w:rsidR="0013032F">
        <w:t xml:space="preserve"> </w:t>
      </w:r>
      <w:r>
        <w:t>the</w:t>
      </w:r>
      <w:r w:rsidR="0013032F">
        <w:t xml:space="preserve"> </w:t>
      </w:r>
      <w:r>
        <w:t>various</w:t>
      </w:r>
      <w:r w:rsidR="0013032F">
        <w:t xml:space="preserve"> </w:t>
      </w:r>
      <w:r>
        <w:t>planning</w:t>
      </w:r>
      <w:r w:rsidR="0013032F">
        <w:t xml:space="preserve"> </w:t>
      </w:r>
      <w:r>
        <w:t>constraints</w:t>
      </w:r>
      <w:r w:rsidR="0013032F">
        <w:t xml:space="preserve"> </w:t>
      </w:r>
      <w:r>
        <w:t>being</w:t>
      </w:r>
      <w:r w:rsidR="0013032F">
        <w:t xml:space="preserve"> </w:t>
      </w:r>
      <w:r>
        <w:t>experienced</w:t>
      </w:r>
      <w:r w:rsidR="0013032F">
        <w:t xml:space="preserve"> </w:t>
      </w:r>
      <w:r>
        <w:t>due</w:t>
      </w:r>
      <w:r w:rsidR="0013032F">
        <w:t xml:space="preserve"> </w:t>
      </w:r>
      <w:r>
        <w:t>to</w:t>
      </w:r>
      <w:r w:rsidR="0013032F">
        <w:t xml:space="preserve"> </w:t>
      </w:r>
      <w:r>
        <w:t>increased</w:t>
      </w:r>
      <w:r w:rsidR="0013032F">
        <w:t xml:space="preserve"> </w:t>
      </w:r>
      <w:r>
        <w:t>regional</w:t>
      </w:r>
      <w:r w:rsidR="0013032F">
        <w:t xml:space="preserve"> </w:t>
      </w:r>
      <w:r>
        <w:t>migration</w:t>
      </w:r>
      <w:r w:rsidR="0013032F">
        <w:t xml:space="preserve"> </w:t>
      </w:r>
    </w:p>
    <w:p w14:paraId="0B0F5779" w14:textId="3F11EAA0" w:rsidR="00757772" w:rsidRDefault="00305D3C" w:rsidP="0085405D">
      <w:pPr>
        <w:pStyle w:val="Bulletlast"/>
      </w:pPr>
      <w:r w:rsidRPr="009B1556">
        <w:rPr>
          <w:b/>
          <w:bCs/>
        </w:rPr>
        <w:t>Activate</w:t>
      </w:r>
      <w:r w:rsidR="0013032F" w:rsidRPr="009B1556">
        <w:rPr>
          <w:b/>
          <w:bCs/>
        </w:rPr>
        <w:t xml:space="preserve"> </w:t>
      </w:r>
      <w:r w:rsidRPr="009B1556">
        <w:rPr>
          <w:b/>
          <w:bCs/>
        </w:rPr>
        <w:t>key</w:t>
      </w:r>
      <w:r w:rsidR="0013032F" w:rsidRPr="009B1556">
        <w:rPr>
          <w:b/>
          <w:bCs/>
        </w:rPr>
        <w:t xml:space="preserve"> </w:t>
      </w:r>
      <w:r w:rsidRPr="009B1556">
        <w:rPr>
          <w:b/>
          <w:bCs/>
        </w:rPr>
        <w:t>regional</w:t>
      </w:r>
      <w:r w:rsidR="0013032F" w:rsidRPr="009B1556">
        <w:rPr>
          <w:b/>
          <w:bCs/>
        </w:rPr>
        <w:t xml:space="preserve"> </w:t>
      </w:r>
      <w:r w:rsidRPr="009B1556">
        <w:rPr>
          <w:b/>
          <w:bCs/>
        </w:rPr>
        <w:t>tourism</w:t>
      </w:r>
      <w:r w:rsidR="0013032F" w:rsidRPr="009B1556">
        <w:rPr>
          <w:b/>
          <w:bCs/>
        </w:rPr>
        <w:t xml:space="preserve"> </w:t>
      </w:r>
      <w:r w:rsidRPr="009B1556">
        <w:rPr>
          <w:b/>
          <w:bCs/>
        </w:rPr>
        <w:t>assets</w:t>
      </w:r>
      <w:r w:rsidR="0013032F" w:rsidRPr="009B1556">
        <w:t xml:space="preserve"> </w:t>
      </w:r>
      <w:r>
        <w:t>–</w:t>
      </w:r>
      <w:r w:rsidR="0013032F">
        <w:t xml:space="preserve"> </w:t>
      </w:r>
      <w:r>
        <w:t>continued</w:t>
      </w:r>
      <w:r w:rsidR="0013032F">
        <w:t xml:space="preserve"> </w:t>
      </w:r>
      <w:r>
        <w:t>to</w:t>
      </w:r>
      <w:r w:rsidR="0013032F">
        <w:t xml:space="preserve"> </w:t>
      </w:r>
      <w:r>
        <w:t>progress</w:t>
      </w:r>
      <w:r w:rsidR="0013032F">
        <w:t xml:space="preserve"> </w:t>
      </w:r>
      <w:r>
        <w:t>activation</w:t>
      </w:r>
      <w:r w:rsidR="0013032F">
        <w:t xml:space="preserve"> </w:t>
      </w:r>
      <w:r>
        <w:t>of</w:t>
      </w:r>
      <w:r w:rsidR="0013032F">
        <w:t xml:space="preserve"> </w:t>
      </w:r>
      <w:r>
        <w:t>Lake</w:t>
      </w:r>
      <w:r w:rsidR="0013032F">
        <w:t xml:space="preserve"> </w:t>
      </w:r>
      <w:r>
        <w:t>Eildon</w:t>
      </w:r>
      <w:r w:rsidR="0013032F">
        <w:t xml:space="preserve"> </w:t>
      </w:r>
      <w:r>
        <w:t>as</w:t>
      </w:r>
      <w:r w:rsidR="0013032F">
        <w:t xml:space="preserve"> </w:t>
      </w:r>
      <w:r>
        <w:t>an</w:t>
      </w:r>
      <w:r w:rsidR="0013032F">
        <w:t xml:space="preserve"> </w:t>
      </w:r>
      <w:r>
        <w:t>underutilised</w:t>
      </w:r>
      <w:r w:rsidR="0013032F">
        <w:t xml:space="preserve"> </w:t>
      </w:r>
      <w:r>
        <w:t>tourism</w:t>
      </w:r>
      <w:r w:rsidR="0013032F">
        <w:t xml:space="preserve"> </w:t>
      </w:r>
      <w:r>
        <w:t>asset</w:t>
      </w:r>
      <w:r w:rsidR="0013032F">
        <w:t xml:space="preserve"> </w:t>
      </w:r>
      <w:r>
        <w:t>for</w:t>
      </w:r>
      <w:r w:rsidR="0013032F">
        <w:t xml:space="preserve"> </w:t>
      </w:r>
      <w:r>
        <w:t>the</w:t>
      </w:r>
      <w:r w:rsidR="0013032F">
        <w:t xml:space="preserve"> </w:t>
      </w:r>
      <w:r>
        <w:t>region.</w:t>
      </w:r>
      <w:r w:rsidR="0013032F">
        <w:t xml:space="preserve"> </w:t>
      </w:r>
      <w:r>
        <w:t>Despite</w:t>
      </w:r>
      <w:r w:rsidR="0013032F">
        <w:t xml:space="preserve"> </w:t>
      </w:r>
      <w:r>
        <w:t>attracting</w:t>
      </w:r>
      <w:r w:rsidR="0013032F">
        <w:t xml:space="preserve"> </w:t>
      </w:r>
      <w:r>
        <w:t>over</w:t>
      </w:r>
      <w:r w:rsidR="0013032F">
        <w:t xml:space="preserve"> </w:t>
      </w:r>
      <w:r>
        <w:t>one</w:t>
      </w:r>
      <w:r w:rsidR="0013032F">
        <w:t xml:space="preserve"> </w:t>
      </w:r>
      <w:r>
        <w:t>million</w:t>
      </w:r>
      <w:r w:rsidR="0013032F">
        <w:t xml:space="preserve"> </w:t>
      </w:r>
      <w:r>
        <w:t>visitors</w:t>
      </w:r>
      <w:r w:rsidR="0013032F">
        <w:t xml:space="preserve"> </w:t>
      </w:r>
      <w:r>
        <w:t>a</w:t>
      </w:r>
      <w:r w:rsidR="0013032F">
        <w:t xml:space="preserve"> </w:t>
      </w:r>
      <w:r>
        <w:t>year,</w:t>
      </w:r>
      <w:r w:rsidR="0013032F">
        <w:t xml:space="preserve"> </w:t>
      </w:r>
      <w:r>
        <w:t>Lake</w:t>
      </w:r>
      <w:r w:rsidR="0013032F">
        <w:t xml:space="preserve"> </w:t>
      </w:r>
      <w:r>
        <w:t>Eildon</w:t>
      </w:r>
      <w:r w:rsidR="0013032F">
        <w:t xml:space="preserve"> </w:t>
      </w:r>
      <w:r>
        <w:t>lacks</w:t>
      </w:r>
      <w:r w:rsidR="0013032F">
        <w:t xml:space="preserve"> </w:t>
      </w:r>
      <w:r>
        <w:t>suitable</w:t>
      </w:r>
      <w:r w:rsidR="0013032F">
        <w:t xml:space="preserve"> </w:t>
      </w:r>
      <w:r>
        <w:t>accommodation</w:t>
      </w:r>
      <w:r w:rsidR="0013032F">
        <w:t xml:space="preserve"> </w:t>
      </w:r>
      <w:r>
        <w:t>and</w:t>
      </w:r>
      <w:r w:rsidR="0013032F">
        <w:t xml:space="preserve"> </w:t>
      </w:r>
      <w:r>
        <w:t>tourism</w:t>
      </w:r>
      <w:r w:rsidR="0013032F">
        <w:t xml:space="preserve"> </w:t>
      </w:r>
      <w:r>
        <w:t>products</w:t>
      </w:r>
      <w:r w:rsidR="0013032F">
        <w:t xml:space="preserve"> </w:t>
      </w:r>
      <w:r>
        <w:t>to</w:t>
      </w:r>
      <w:r w:rsidR="0013032F">
        <w:t xml:space="preserve"> </w:t>
      </w:r>
      <w:r>
        <w:t>encourage</w:t>
      </w:r>
      <w:r w:rsidR="0013032F">
        <w:t xml:space="preserve"> </w:t>
      </w:r>
      <w:r>
        <w:t>longer</w:t>
      </w:r>
      <w:r w:rsidR="0013032F">
        <w:t xml:space="preserve"> </w:t>
      </w:r>
      <w:r>
        <w:t>stays</w:t>
      </w:r>
      <w:r w:rsidR="0013032F">
        <w:t xml:space="preserve"> </w:t>
      </w:r>
      <w:r>
        <w:t>and</w:t>
      </w:r>
      <w:r w:rsidR="0013032F">
        <w:t xml:space="preserve"> </w:t>
      </w:r>
      <w:r>
        <w:t>greater</w:t>
      </w:r>
      <w:r w:rsidR="0013032F">
        <w:t xml:space="preserve"> </w:t>
      </w:r>
      <w:r>
        <w:t>spending</w:t>
      </w:r>
      <w:r w:rsidR="0013032F">
        <w:t xml:space="preserve"> </w:t>
      </w:r>
      <w:r>
        <w:t>in</w:t>
      </w:r>
      <w:r w:rsidR="0013032F">
        <w:t xml:space="preserve"> </w:t>
      </w:r>
      <w:r>
        <w:t>the</w:t>
      </w:r>
      <w:r w:rsidR="0013032F">
        <w:t xml:space="preserve"> </w:t>
      </w:r>
      <w:r>
        <w:t>region.</w:t>
      </w:r>
      <w:r w:rsidR="0013032F">
        <w:t xml:space="preserve"> </w:t>
      </w:r>
    </w:p>
    <w:p w14:paraId="7534F87C" w14:textId="77777777" w:rsidR="00757772" w:rsidRDefault="00305D3C" w:rsidP="00DF5FD7">
      <w:pPr>
        <w:pStyle w:val="Heading3"/>
      </w:pPr>
      <w:r>
        <w:t>Highlights:</w:t>
      </w:r>
    </w:p>
    <w:p w14:paraId="0C2D974C" w14:textId="6211029C" w:rsidR="00757772" w:rsidRDefault="00305D3C" w:rsidP="00DF5FD7">
      <w:pPr>
        <w:pStyle w:val="Bullet"/>
      </w:pPr>
      <w:r w:rsidRPr="00DF5FD7">
        <w:t>Advocated</w:t>
      </w:r>
      <w:r w:rsidR="0013032F" w:rsidRPr="00DF5FD7">
        <w:t xml:space="preserve"> </w:t>
      </w:r>
      <w:r w:rsidRPr="00DF5FD7">
        <w:t>for</w:t>
      </w:r>
      <w:r w:rsidR="0013032F" w:rsidRPr="00DF5FD7">
        <w:t xml:space="preserve"> </w:t>
      </w:r>
      <w:r w:rsidRPr="00DF5FD7">
        <w:t>First</w:t>
      </w:r>
      <w:r w:rsidR="0013032F" w:rsidRPr="00DF5FD7">
        <w:t xml:space="preserve"> </w:t>
      </w:r>
      <w:r w:rsidRPr="00DF5FD7">
        <w:t>Nations</w:t>
      </w:r>
      <w:r w:rsidR="0013032F" w:rsidRPr="00DF5FD7">
        <w:t xml:space="preserve"> </w:t>
      </w:r>
      <w:r w:rsidRPr="00DF5FD7">
        <w:t>prosperity</w:t>
      </w:r>
      <w:r w:rsidR="0013032F" w:rsidRPr="00DF5FD7">
        <w:t xml:space="preserve"> </w:t>
      </w:r>
      <w:r w:rsidRPr="00DF5FD7">
        <w:t>by</w:t>
      </w:r>
      <w:r w:rsidR="0013032F" w:rsidRPr="00DF5FD7">
        <w:t xml:space="preserve"> </w:t>
      </w:r>
      <w:r w:rsidRPr="00DF5FD7">
        <w:t>providing</w:t>
      </w:r>
      <w:r w:rsidR="0013032F" w:rsidRPr="00DF5FD7">
        <w:t xml:space="preserve"> </w:t>
      </w:r>
      <w:r w:rsidRPr="00DF5FD7">
        <w:t>funding</w:t>
      </w:r>
      <w:r w:rsidR="0013032F" w:rsidRPr="00DF5FD7">
        <w:t xml:space="preserve"> </w:t>
      </w:r>
      <w:r w:rsidRPr="00DF5FD7">
        <w:t>for</w:t>
      </w:r>
      <w:r w:rsidR="0013032F" w:rsidRPr="00DF5FD7">
        <w:t xml:space="preserve"> </w:t>
      </w:r>
      <w:r w:rsidRPr="00DF5FD7">
        <w:t>the</w:t>
      </w:r>
      <w:r w:rsidR="0013032F" w:rsidRPr="00DF5FD7">
        <w:t xml:space="preserve"> </w:t>
      </w:r>
      <w:r w:rsidRPr="00DF5FD7">
        <w:t>Goulbu</w:t>
      </w:r>
      <w:r w:rsidRPr="00DF5FD7">
        <w:t>rn</w:t>
      </w:r>
      <w:r w:rsidR="0013032F" w:rsidRPr="00DF5FD7">
        <w:t xml:space="preserve"> </w:t>
      </w:r>
      <w:r w:rsidRPr="00DF5FD7">
        <w:t>Murray</w:t>
      </w:r>
      <w:r w:rsidR="0013032F" w:rsidRPr="00DF5FD7">
        <w:t xml:space="preserve"> </w:t>
      </w:r>
      <w:proofErr w:type="spellStart"/>
      <w:r w:rsidRPr="00DF5FD7">
        <w:t>Woka</w:t>
      </w:r>
      <w:proofErr w:type="spellEnd"/>
      <w:r w:rsidR="0013032F" w:rsidRPr="00DF5FD7">
        <w:t xml:space="preserve"> </w:t>
      </w:r>
      <w:proofErr w:type="spellStart"/>
      <w:r w:rsidRPr="00DF5FD7">
        <w:t>Yurringa</w:t>
      </w:r>
      <w:proofErr w:type="spellEnd"/>
      <w:r w:rsidR="0013032F" w:rsidRPr="00DF5FD7">
        <w:t xml:space="preserve"> </w:t>
      </w:r>
      <w:r w:rsidRPr="00DF5FD7">
        <w:t>Feasibility</w:t>
      </w:r>
      <w:r w:rsidR="0013032F" w:rsidRPr="00DF5FD7">
        <w:t xml:space="preserve"> </w:t>
      </w:r>
      <w:r w:rsidRPr="00DF5FD7">
        <w:t>St</w:t>
      </w:r>
      <w:r>
        <w:rPr>
          <w:spacing w:val="-2"/>
        </w:rPr>
        <w:t>udy</w:t>
      </w:r>
      <w:r w:rsidR="0013032F">
        <w:rPr>
          <w:spacing w:val="-2"/>
        </w:rPr>
        <w:t xml:space="preserve"> </w:t>
      </w:r>
      <w:r>
        <w:rPr>
          <w:spacing w:val="-2"/>
        </w:rPr>
        <w:t>which</w:t>
      </w:r>
      <w:r w:rsidR="0013032F">
        <w:rPr>
          <w:spacing w:val="-2"/>
        </w:rPr>
        <w:t xml:space="preserve"> </w:t>
      </w:r>
      <w:r>
        <w:rPr>
          <w:spacing w:val="-2"/>
        </w:rPr>
        <w:t>highlights</w:t>
      </w:r>
      <w:r w:rsidR="0013032F">
        <w:rPr>
          <w:spacing w:val="-2"/>
        </w:rPr>
        <w:t xml:space="preserve"> </w:t>
      </w:r>
      <w:r>
        <w:rPr>
          <w:spacing w:val="-2"/>
        </w:rPr>
        <w:t>an</w:t>
      </w:r>
      <w:r w:rsidR="0013032F">
        <w:rPr>
          <w:spacing w:val="-2"/>
        </w:rPr>
        <w:t xml:space="preserve"> </w:t>
      </w:r>
      <w:r>
        <w:rPr>
          <w:spacing w:val="-2"/>
        </w:rPr>
        <w:t>opportunity</w:t>
      </w:r>
      <w:r w:rsidR="0013032F">
        <w:rPr>
          <w:spacing w:val="-2"/>
        </w:rPr>
        <w:t xml:space="preserve"> </w:t>
      </w:r>
      <w:r>
        <w:rPr>
          <w:spacing w:val="-2"/>
        </w:rPr>
        <w:t>for</w:t>
      </w:r>
      <w:r w:rsidR="0013032F">
        <w:rPr>
          <w:spacing w:val="-2"/>
        </w:rPr>
        <w:t xml:space="preserve"> </w:t>
      </w:r>
      <w:r>
        <w:t>Aboriginal-owned</w:t>
      </w:r>
      <w:r w:rsidR="0013032F">
        <w:t xml:space="preserve"> </w:t>
      </w:r>
      <w:r>
        <w:t>renewable</w:t>
      </w:r>
      <w:r w:rsidR="0013032F">
        <w:t xml:space="preserve"> </w:t>
      </w:r>
      <w:r>
        <w:t>energy</w:t>
      </w:r>
      <w:r w:rsidR="0013032F">
        <w:t xml:space="preserve"> </w:t>
      </w:r>
      <w:r>
        <w:t>development</w:t>
      </w:r>
      <w:r w:rsidR="0013032F">
        <w:t xml:space="preserve"> </w:t>
      </w:r>
      <w:r>
        <w:t>in</w:t>
      </w:r>
      <w:r w:rsidR="0013032F">
        <w:t xml:space="preserve"> </w:t>
      </w:r>
      <w:r>
        <w:t>the</w:t>
      </w:r>
      <w:r w:rsidR="0013032F">
        <w:t xml:space="preserve"> </w:t>
      </w:r>
      <w:r>
        <w:t>region</w:t>
      </w:r>
    </w:p>
    <w:p w14:paraId="4C1207F7" w14:textId="6E9BB615" w:rsidR="00757772" w:rsidRDefault="00305D3C" w:rsidP="00DF5FD7">
      <w:pPr>
        <w:pStyle w:val="Bullet"/>
      </w:pPr>
      <w:r>
        <w:t>Supported</w:t>
      </w:r>
      <w:r w:rsidR="0013032F">
        <w:t xml:space="preserve"> </w:t>
      </w:r>
      <w:r>
        <w:t>the</w:t>
      </w:r>
      <w:r w:rsidR="0013032F">
        <w:t xml:space="preserve"> </w:t>
      </w:r>
      <w:r>
        <w:t>development</w:t>
      </w:r>
      <w:r w:rsidR="0013032F">
        <w:t xml:space="preserve"> </w:t>
      </w:r>
      <w:r>
        <w:t>of</w:t>
      </w:r>
      <w:r w:rsidR="0013032F">
        <w:t xml:space="preserve"> </w:t>
      </w:r>
      <w:r>
        <w:t>a</w:t>
      </w:r>
      <w:r w:rsidR="0013032F">
        <w:t xml:space="preserve"> </w:t>
      </w:r>
      <w:r>
        <w:t>business</w:t>
      </w:r>
      <w:r w:rsidR="0013032F">
        <w:t xml:space="preserve"> </w:t>
      </w:r>
      <w:r>
        <w:t>case</w:t>
      </w:r>
      <w:r w:rsidR="0013032F">
        <w:t xml:space="preserve"> </w:t>
      </w:r>
      <w:r>
        <w:t>for</w:t>
      </w:r>
      <w:r w:rsidR="0013032F">
        <w:t xml:space="preserve"> </w:t>
      </w:r>
      <w:r>
        <w:t>the</w:t>
      </w:r>
      <w:r w:rsidR="0013032F">
        <w:t xml:space="preserve"> </w:t>
      </w:r>
      <w:r>
        <w:t>Skyline</w:t>
      </w:r>
      <w:r w:rsidR="0013032F">
        <w:t xml:space="preserve"> </w:t>
      </w:r>
      <w:r>
        <w:t>Road</w:t>
      </w:r>
      <w:r w:rsidR="0013032F">
        <w:t xml:space="preserve"> </w:t>
      </w:r>
      <w:r>
        <w:t>Tourist</w:t>
      </w:r>
      <w:r w:rsidR="0013032F">
        <w:t xml:space="preserve"> </w:t>
      </w:r>
      <w:r>
        <w:t>Route</w:t>
      </w:r>
      <w:r w:rsidR="0013032F">
        <w:t xml:space="preserve"> </w:t>
      </w:r>
      <w:r>
        <w:t>and</w:t>
      </w:r>
      <w:r w:rsidR="0013032F">
        <w:t xml:space="preserve"> </w:t>
      </w:r>
      <w:r>
        <w:t>continued</w:t>
      </w:r>
      <w:r w:rsidR="0013032F">
        <w:t xml:space="preserve"> </w:t>
      </w:r>
      <w:r>
        <w:t>to</w:t>
      </w:r>
      <w:r w:rsidR="0013032F">
        <w:t xml:space="preserve"> </w:t>
      </w:r>
      <w:r>
        <w:t>advocate</w:t>
      </w:r>
      <w:r w:rsidR="0013032F">
        <w:t xml:space="preserve"> </w:t>
      </w:r>
      <w:r>
        <w:t>for</w:t>
      </w:r>
      <w:r w:rsidR="0013032F">
        <w:t xml:space="preserve"> </w:t>
      </w:r>
      <w:r>
        <w:t>much-needed</w:t>
      </w:r>
      <w:r w:rsidR="0013032F">
        <w:t xml:space="preserve"> </w:t>
      </w:r>
      <w:r>
        <w:t>planning</w:t>
      </w:r>
      <w:r w:rsidR="0013032F">
        <w:t xml:space="preserve"> </w:t>
      </w:r>
      <w:r>
        <w:t>support</w:t>
      </w:r>
      <w:r w:rsidR="0013032F">
        <w:t xml:space="preserve"> </w:t>
      </w:r>
      <w:r>
        <w:t>to</w:t>
      </w:r>
      <w:r w:rsidR="0013032F">
        <w:t xml:space="preserve"> </w:t>
      </w:r>
      <w:r>
        <w:t>unlock</w:t>
      </w:r>
      <w:r w:rsidR="0013032F">
        <w:t xml:space="preserve"> </w:t>
      </w:r>
      <w:r>
        <w:t>strategic</w:t>
      </w:r>
      <w:r w:rsidR="0013032F">
        <w:t xml:space="preserve"> </w:t>
      </w:r>
      <w:r>
        <w:t>land</w:t>
      </w:r>
      <w:r w:rsidR="0013032F">
        <w:t xml:space="preserve"> </w:t>
      </w:r>
      <w:r>
        <w:t>parcels</w:t>
      </w:r>
    </w:p>
    <w:p w14:paraId="6AC861E6" w14:textId="419DF6FC" w:rsidR="00757772" w:rsidRDefault="00305D3C" w:rsidP="00DF5FD7">
      <w:pPr>
        <w:pStyle w:val="Bulletlast"/>
      </w:pPr>
      <w:r>
        <w:t>Facilitated</w:t>
      </w:r>
      <w:r w:rsidR="0013032F">
        <w:t xml:space="preserve"> </w:t>
      </w:r>
      <w:r>
        <w:t>a</w:t>
      </w:r>
      <w:r w:rsidR="0013032F">
        <w:t xml:space="preserve"> </w:t>
      </w:r>
      <w:r>
        <w:t>stakeholder</w:t>
      </w:r>
      <w:r w:rsidR="0013032F">
        <w:t xml:space="preserve"> </w:t>
      </w:r>
      <w:r>
        <w:t>meeting</w:t>
      </w:r>
      <w:r w:rsidR="0013032F">
        <w:t xml:space="preserve"> </w:t>
      </w:r>
      <w:r>
        <w:t>at</w:t>
      </w:r>
      <w:r w:rsidR="0013032F">
        <w:t xml:space="preserve"> </w:t>
      </w:r>
      <w:r>
        <w:t>Thompson’s</w:t>
      </w:r>
      <w:r w:rsidR="0013032F">
        <w:t xml:space="preserve"> </w:t>
      </w:r>
      <w:r>
        <w:t>Beach</w:t>
      </w:r>
      <w:r w:rsidR="0013032F">
        <w:t xml:space="preserve"> </w:t>
      </w:r>
      <w:r>
        <w:t>in</w:t>
      </w:r>
      <w:r w:rsidR="0013032F">
        <w:t xml:space="preserve"> </w:t>
      </w:r>
      <w:r>
        <w:t>Cobram</w:t>
      </w:r>
      <w:r w:rsidR="0013032F">
        <w:t xml:space="preserve"> </w:t>
      </w:r>
      <w:r>
        <w:t>and</w:t>
      </w:r>
      <w:r w:rsidR="0013032F">
        <w:t xml:space="preserve"> </w:t>
      </w:r>
      <w:r>
        <w:t>endorsed</w:t>
      </w:r>
      <w:r w:rsidR="0013032F">
        <w:t xml:space="preserve"> </w:t>
      </w:r>
      <w:r>
        <w:t>a</w:t>
      </w:r>
      <w:r w:rsidR="0013032F">
        <w:t xml:space="preserve"> </w:t>
      </w:r>
      <w:r>
        <w:t>new</w:t>
      </w:r>
      <w:r w:rsidR="0013032F">
        <w:t xml:space="preserve"> </w:t>
      </w:r>
      <w:r>
        <w:t>masterplan</w:t>
      </w:r>
      <w:r w:rsidR="0013032F">
        <w:t xml:space="preserve"> </w:t>
      </w:r>
      <w:r>
        <w:t>for</w:t>
      </w:r>
      <w:r w:rsidR="0013032F">
        <w:t xml:space="preserve"> </w:t>
      </w:r>
      <w:r>
        <w:t>the</w:t>
      </w:r>
      <w:r w:rsidR="0013032F">
        <w:t xml:space="preserve"> </w:t>
      </w:r>
      <w:r>
        <w:t>precinct</w:t>
      </w:r>
      <w:r w:rsidR="0013032F">
        <w:t xml:space="preserve"> </w:t>
      </w:r>
      <w:r>
        <w:t>as</w:t>
      </w:r>
      <w:r w:rsidR="0013032F">
        <w:t xml:space="preserve"> </w:t>
      </w:r>
      <w:r>
        <w:t>a</w:t>
      </w:r>
      <w:r w:rsidR="0013032F">
        <w:t xml:space="preserve"> </w:t>
      </w:r>
      <w:r>
        <w:t>regional</w:t>
      </w:r>
      <w:r w:rsidR="0013032F">
        <w:t xml:space="preserve"> </w:t>
      </w:r>
      <w:r>
        <w:t>priority</w:t>
      </w:r>
      <w:r w:rsidR="0013032F">
        <w:t xml:space="preserve"> </w:t>
      </w:r>
      <w:r>
        <w:t>for</w:t>
      </w:r>
      <w:r w:rsidR="0013032F">
        <w:t xml:space="preserve"> </w:t>
      </w:r>
      <w:r>
        <w:t>advocacy.</w:t>
      </w:r>
    </w:p>
    <w:p w14:paraId="344565D3" w14:textId="3C8090DA" w:rsidR="00DF5FD7" w:rsidRPr="00DF5FD7" w:rsidRDefault="00DF5FD7" w:rsidP="00DF5FD7">
      <w:pPr>
        <w:pStyle w:val="Bullet"/>
        <w:keepNext/>
        <w:rPr>
          <w:lang w:val="en-GB" w:eastAsia="en-AU"/>
        </w:rPr>
      </w:pPr>
      <w:r w:rsidRPr="00DF5FD7">
        <w:rPr>
          <w:lang w:val="en-GB" w:eastAsia="en-AU"/>
        </w:rPr>
        <w:lastRenderedPageBreak/>
        <w:t>177,825 Population (2022)</w:t>
      </w:r>
    </w:p>
    <w:p w14:paraId="37FD7F57" w14:textId="433B73D9" w:rsidR="00DF5FD7" w:rsidRPr="00DF5FD7" w:rsidRDefault="00DF5FD7" w:rsidP="00DF5FD7">
      <w:pPr>
        <w:pStyle w:val="Bullet"/>
        <w:keepNext/>
        <w:rPr>
          <w:lang w:val="en-GB" w:eastAsia="en-AU"/>
        </w:rPr>
      </w:pPr>
      <w:r w:rsidRPr="00DF5FD7">
        <w:rPr>
          <w:lang w:val="en-GB" w:eastAsia="en-AU"/>
        </w:rPr>
        <w:t xml:space="preserve">33.2% Population growth (2022–2036) </w:t>
      </w:r>
    </w:p>
    <w:p w14:paraId="3C203A02" w14:textId="1D2F2C99" w:rsidR="00DF5FD7" w:rsidRPr="00DF5FD7" w:rsidRDefault="00DF5FD7" w:rsidP="00DF5FD7">
      <w:pPr>
        <w:pStyle w:val="Bulletlast"/>
        <w:rPr>
          <w:lang w:val="en-GB" w:eastAsia="en-AU"/>
        </w:rPr>
      </w:pPr>
      <w:r w:rsidRPr="00DF5FD7">
        <w:rPr>
          <w:lang w:val="en-GB" w:eastAsia="en-AU"/>
        </w:rPr>
        <w:t>$9.1B Gross Regional Product (2022)</w:t>
      </w:r>
    </w:p>
    <w:p w14:paraId="2AD5A150" w14:textId="578F2EE1" w:rsidR="00757772" w:rsidRPr="00F22F9E" w:rsidRDefault="00305D3C" w:rsidP="00DF5FD7">
      <w:pPr>
        <w:pStyle w:val="Heading3"/>
      </w:pPr>
      <w:r w:rsidRPr="00F22F9E">
        <w:t>Case</w:t>
      </w:r>
      <w:r w:rsidR="0013032F">
        <w:t xml:space="preserve"> </w:t>
      </w:r>
      <w:r w:rsidRPr="00F22F9E">
        <w:t>study:</w:t>
      </w:r>
    </w:p>
    <w:p w14:paraId="609A5446" w14:textId="790462AD" w:rsidR="00757772" w:rsidRPr="00DF5FD7" w:rsidRDefault="00305D3C" w:rsidP="00DF5FD7">
      <w:r w:rsidRPr="00DF5FD7">
        <w:t>The</w:t>
      </w:r>
      <w:r w:rsidR="0013032F" w:rsidRPr="00DF5FD7">
        <w:t xml:space="preserve"> </w:t>
      </w:r>
      <w:r w:rsidRPr="00DF5FD7">
        <w:t>Goulburn</w:t>
      </w:r>
      <w:r w:rsidR="0013032F" w:rsidRPr="00DF5FD7">
        <w:t xml:space="preserve"> </w:t>
      </w:r>
      <w:r w:rsidRPr="00DF5FD7">
        <w:t>Regional</w:t>
      </w:r>
      <w:r w:rsidR="0013032F" w:rsidRPr="00DF5FD7">
        <w:t xml:space="preserve"> </w:t>
      </w:r>
      <w:r w:rsidRPr="00DF5FD7">
        <w:t>Partnership</w:t>
      </w:r>
      <w:r w:rsidR="0013032F" w:rsidRPr="00DF5FD7">
        <w:t xml:space="preserve"> </w:t>
      </w:r>
      <w:r w:rsidRPr="00DF5FD7">
        <w:t>supported</w:t>
      </w:r>
      <w:r w:rsidR="0013032F" w:rsidRPr="00DF5FD7">
        <w:t xml:space="preserve"> </w:t>
      </w:r>
      <w:r w:rsidRPr="00DF5FD7">
        <w:t>the</w:t>
      </w:r>
      <w:r w:rsidR="0013032F" w:rsidRPr="00DF5FD7">
        <w:t xml:space="preserve"> </w:t>
      </w:r>
      <w:r w:rsidRPr="00DF5FD7">
        <w:t>development</w:t>
      </w:r>
      <w:r w:rsidR="0013032F" w:rsidRPr="00DF5FD7">
        <w:t xml:space="preserve"> </w:t>
      </w:r>
      <w:r w:rsidRPr="00DF5FD7">
        <w:t>of</w:t>
      </w:r>
      <w:r w:rsidR="0013032F" w:rsidRPr="00DF5FD7">
        <w:t xml:space="preserve"> </w:t>
      </w:r>
      <w:r w:rsidRPr="00DF5FD7">
        <w:t>the</w:t>
      </w:r>
      <w:r w:rsidR="0013032F" w:rsidRPr="00DF5FD7">
        <w:t xml:space="preserve"> </w:t>
      </w:r>
      <w:r w:rsidRPr="00DF5FD7">
        <w:t>Goulburn</w:t>
      </w:r>
      <w:r w:rsidR="0013032F" w:rsidRPr="00DF5FD7">
        <w:t xml:space="preserve"> </w:t>
      </w:r>
      <w:r w:rsidRPr="00DF5FD7">
        <w:t>Murray</w:t>
      </w:r>
      <w:r w:rsidR="0013032F" w:rsidRPr="00DF5FD7">
        <w:t xml:space="preserve"> </w:t>
      </w:r>
      <w:r w:rsidRPr="00DF5FD7">
        <w:t>Resilience</w:t>
      </w:r>
      <w:r w:rsidR="0013032F" w:rsidRPr="00DF5FD7">
        <w:t xml:space="preserve"> </w:t>
      </w:r>
      <w:r w:rsidRPr="00DF5FD7">
        <w:t>Strategy</w:t>
      </w:r>
      <w:r w:rsidR="0013032F" w:rsidRPr="00DF5FD7">
        <w:t xml:space="preserve"> </w:t>
      </w:r>
      <w:r w:rsidRPr="00DF5FD7">
        <w:t>and</w:t>
      </w:r>
      <w:r w:rsidR="0013032F" w:rsidRPr="00DF5FD7">
        <w:t xml:space="preserve"> </w:t>
      </w:r>
      <w:r w:rsidRPr="00DF5FD7">
        <w:t>subsequent</w:t>
      </w:r>
      <w:r w:rsidR="0013032F" w:rsidRPr="00DF5FD7">
        <w:t xml:space="preserve"> </w:t>
      </w:r>
      <w:r w:rsidRPr="00DF5FD7">
        <w:t>formation</w:t>
      </w:r>
      <w:r w:rsidR="0013032F" w:rsidRPr="00DF5FD7">
        <w:t xml:space="preserve"> </w:t>
      </w:r>
      <w:r w:rsidRPr="00DF5FD7">
        <w:t>of</w:t>
      </w:r>
      <w:r w:rsidR="0013032F" w:rsidRPr="00DF5FD7">
        <w:t xml:space="preserve"> </w:t>
      </w:r>
      <w:r w:rsidRPr="00DF5FD7">
        <w:t>a</w:t>
      </w:r>
      <w:r w:rsidR="0013032F" w:rsidRPr="00DF5FD7">
        <w:t xml:space="preserve"> </w:t>
      </w:r>
      <w:r w:rsidRPr="00DF5FD7">
        <w:t>Resilience</w:t>
      </w:r>
      <w:r w:rsidR="0013032F" w:rsidRPr="00DF5FD7">
        <w:t xml:space="preserve"> </w:t>
      </w:r>
      <w:r w:rsidRPr="00DF5FD7">
        <w:t>Taskforce</w:t>
      </w:r>
      <w:r w:rsidR="0013032F" w:rsidRPr="00DF5FD7">
        <w:t xml:space="preserve"> </w:t>
      </w:r>
      <w:r w:rsidRPr="00DF5FD7">
        <w:t>for</w:t>
      </w:r>
      <w:r w:rsidR="0013032F" w:rsidRPr="00DF5FD7">
        <w:t xml:space="preserve"> </w:t>
      </w:r>
      <w:r w:rsidRPr="00DF5FD7">
        <w:t>the</w:t>
      </w:r>
      <w:r w:rsidR="0013032F" w:rsidRPr="00DF5FD7">
        <w:t xml:space="preserve"> </w:t>
      </w:r>
      <w:r w:rsidRPr="00DF5FD7">
        <w:t>Goulburn</w:t>
      </w:r>
      <w:r w:rsidR="0013032F" w:rsidRPr="00DF5FD7">
        <w:t xml:space="preserve"> </w:t>
      </w:r>
      <w:r w:rsidRPr="00DF5FD7">
        <w:t>Murray</w:t>
      </w:r>
      <w:r w:rsidR="0013032F" w:rsidRPr="00DF5FD7">
        <w:t xml:space="preserve"> </w:t>
      </w:r>
      <w:r w:rsidRPr="00DF5FD7">
        <w:t>region.</w:t>
      </w:r>
      <w:r w:rsidR="0013032F" w:rsidRPr="00DF5FD7">
        <w:t xml:space="preserve"> </w:t>
      </w:r>
      <w:r w:rsidRPr="00DF5FD7">
        <w:t>The</w:t>
      </w:r>
      <w:r w:rsidR="0013032F" w:rsidRPr="00DF5FD7">
        <w:t xml:space="preserve"> </w:t>
      </w:r>
      <w:r w:rsidRPr="00DF5FD7">
        <w:t>taskforce</w:t>
      </w:r>
      <w:r w:rsidR="0013032F" w:rsidRPr="00DF5FD7">
        <w:t xml:space="preserve"> </w:t>
      </w:r>
      <w:r w:rsidRPr="00DF5FD7">
        <w:t>meets</w:t>
      </w:r>
      <w:r w:rsidR="0013032F" w:rsidRPr="00DF5FD7">
        <w:t xml:space="preserve"> </w:t>
      </w:r>
      <w:r w:rsidRPr="00DF5FD7">
        <w:t>regularly</w:t>
      </w:r>
      <w:r w:rsidR="0013032F" w:rsidRPr="00DF5FD7">
        <w:t xml:space="preserve"> </w:t>
      </w:r>
      <w:r w:rsidRPr="00DF5FD7">
        <w:t>to</w:t>
      </w:r>
      <w:r w:rsidR="0013032F" w:rsidRPr="00DF5FD7">
        <w:t xml:space="preserve"> </w:t>
      </w:r>
      <w:r w:rsidRPr="00DF5FD7">
        <w:t>identify</w:t>
      </w:r>
      <w:r w:rsidR="0013032F" w:rsidRPr="00DF5FD7">
        <w:t xml:space="preserve"> </w:t>
      </w:r>
      <w:r w:rsidRPr="00DF5FD7">
        <w:t>and</w:t>
      </w:r>
      <w:r w:rsidR="0013032F" w:rsidRPr="00DF5FD7">
        <w:t xml:space="preserve"> </w:t>
      </w:r>
      <w:r w:rsidRPr="00DF5FD7">
        <w:t>support</w:t>
      </w:r>
      <w:r w:rsidR="0013032F" w:rsidRPr="00DF5FD7">
        <w:t xml:space="preserve"> </w:t>
      </w:r>
      <w:r w:rsidRPr="00DF5FD7">
        <w:t>opportunities</w:t>
      </w:r>
      <w:r w:rsidR="0013032F" w:rsidRPr="00DF5FD7">
        <w:t xml:space="preserve"> </w:t>
      </w:r>
      <w:r w:rsidRPr="00DF5FD7">
        <w:t>to</w:t>
      </w:r>
      <w:r w:rsidR="0013032F" w:rsidRPr="00DF5FD7">
        <w:t xml:space="preserve"> </w:t>
      </w:r>
      <w:r w:rsidRPr="00DF5FD7">
        <w:t>enhance</w:t>
      </w:r>
      <w:r w:rsidR="0013032F" w:rsidRPr="00DF5FD7">
        <w:t xml:space="preserve"> </w:t>
      </w:r>
      <w:r w:rsidRPr="00DF5FD7">
        <w:t>the</w:t>
      </w:r>
      <w:r w:rsidR="0013032F" w:rsidRPr="00DF5FD7">
        <w:t xml:space="preserve"> </w:t>
      </w:r>
      <w:r w:rsidRPr="00DF5FD7">
        <w:t>region’s</w:t>
      </w:r>
      <w:r w:rsidR="0013032F" w:rsidRPr="00DF5FD7">
        <w:t xml:space="preserve"> </w:t>
      </w:r>
      <w:r w:rsidRPr="00DF5FD7">
        <w:t>resilience</w:t>
      </w:r>
      <w:r w:rsidR="0013032F" w:rsidRPr="00DF5FD7">
        <w:t xml:space="preserve"> </w:t>
      </w:r>
      <w:r w:rsidRPr="00DF5FD7">
        <w:t>to</w:t>
      </w:r>
      <w:r w:rsidR="0013032F" w:rsidRPr="00DF5FD7">
        <w:t xml:space="preserve"> </w:t>
      </w:r>
      <w:r w:rsidRPr="00DF5FD7">
        <w:t>future</w:t>
      </w:r>
      <w:r w:rsidR="0013032F" w:rsidRPr="00DF5FD7">
        <w:t xml:space="preserve"> </w:t>
      </w:r>
      <w:r w:rsidRPr="00DF5FD7">
        <w:t>shocks</w:t>
      </w:r>
      <w:r w:rsidR="0013032F" w:rsidRPr="00DF5FD7">
        <w:t xml:space="preserve"> </w:t>
      </w:r>
      <w:r w:rsidRPr="00DF5FD7">
        <w:t>through</w:t>
      </w:r>
      <w:r w:rsidR="0013032F" w:rsidRPr="00DF5FD7">
        <w:t xml:space="preserve"> </w:t>
      </w:r>
      <w:r w:rsidRPr="00DF5FD7">
        <w:t>diversification,</w:t>
      </w:r>
      <w:r w:rsidR="0013032F" w:rsidRPr="00DF5FD7">
        <w:t xml:space="preserve"> </w:t>
      </w:r>
      <w:r w:rsidRPr="00DF5FD7">
        <w:t>adaptation</w:t>
      </w:r>
      <w:r w:rsidR="0013032F" w:rsidRPr="00DF5FD7">
        <w:t xml:space="preserve"> </w:t>
      </w:r>
      <w:r w:rsidRPr="00DF5FD7">
        <w:t>and</w:t>
      </w:r>
      <w:r w:rsidR="0013032F" w:rsidRPr="00DF5FD7">
        <w:t xml:space="preserve"> </w:t>
      </w:r>
      <w:r w:rsidRPr="00DF5FD7">
        <w:t>transformation.</w:t>
      </w:r>
      <w:r w:rsidR="0013032F" w:rsidRPr="00DF5FD7">
        <w:t xml:space="preserve"> </w:t>
      </w:r>
    </w:p>
    <w:p w14:paraId="1B9FF5F2" w14:textId="6F53227F" w:rsidR="00757772" w:rsidRPr="00DF5FD7" w:rsidRDefault="00305D3C" w:rsidP="00DF5FD7">
      <w:r w:rsidRPr="00DF5FD7">
        <w:t>The</w:t>
      </w:r>
      <w:r w:rsidR="0013032F" w:rsidRPr="00DF5FD7">
        <w:t xml:space="preserve"> </w:t>
      </w:r>
      <w:r w:rsidRPr="00DF5FD7">
        <w:t>taskforce</w:t>
      </w:r>
      <w:r w:rsidR="0013032F" w:rsidRPr="00DF5FD7">
        <w:t xml:space="preserve"> </w:t>
      </w:r>
      <w:r w:rsidRPr="00DF5FD7">
        <w:t>is</w:t>
      </w:r>
      <w:r w:rsidR="0013032F" w:rsidRPr="00DF5FD7">
        <w:t xml:space="preserve"> </w:t>
      </w:r>
      <w:r w:rsidRPr="00DF5FD7">
        <w:t>comprised</w:t>
      </w:r>
      <w:r w:rsidR="0013032F" w:rsidRPr="00DF5FD7">
        <w:t xml:space="preserve"> </w:t>
      </w:r>
      <w:r w:rsidRPr="00DF5FD7">
        <w:t>of</w:t>
      </w:r>
      <w:r w:rsidR="0013032F" w:rsidRPr="00DF5FD7">
        <w:t xml:space="preserve"> </w:t>
      </w:r>
      <w:r w:rsidRPr="00DF5FD7">
        <w:t>and</w:t>
      </w:r>
      <w:r w:rsidR="0013032F" w:rsidRPr="00DF5FD7">
        <w:t xml:space="preserve"> </w:t>
      </w:r>
      <w:r w:rsidRPr="00DF5FD7">
        <w:t>driven</w:t>
      </w:r>
      <w:r w:rsidR="0013032F" w:rsidRPr="00DF5FD7">
        <w:t xml:space="preserve"> </w:t>
      </w:r>
      <w:r w:rsidRPr="00DF5FD7">
        <w:t>by</w:t>
      </w:r>
      <w:r w:rsidR="0013032F" w:rsidRPr="00DF5FD7">
        <w:t xml:space="preserve"> </w:t>
      </w:r>
      <w:r w:rsidRPr="00DF5FD7">
        <w:t>community</w:t>
      </w:r>
      <w:r w:rsidR="0013032F" w:rsidRPr="00DF5FD7">
        <w:t xml:space="preserve"> </w:t>
      </w:r>
      <w:r w:rsidRPr="00DF5FD7">
        <w:t>l</w:t>
      </w:r>
      <w:r w:rsidRPr="00DF5FD7">
        <w:t>eaders</w:t>
      </w:r>
      <w:r w:rsidR="0013032F" w:rsidRPr="00DF5FD7">
        <w:t xml:space="preserve"> </w:t>
      </w:r>
      <w:r w:rsidRPr="00DF5FD7">
        <w:t>–</w:t>
      </w:r>
      <w:r w:rsidR="0013032F" w:rsidRPr="00DF5FD7">
        <w:t xml:space="preserve"> </w:t>
      </w:r>
      <w:r w:rsidRPr="00DF5FD7">
        <w:t>with</w:t>
      </w:r>
      <w:r w:rsidR="0013032F" w:rsidRPr="00DF5FD7">
        <w:t xml:space="preserve"> </w:t>
      </w:r>
      <w:r w:rsidRPr="00DF5FD7">
        <w:t>key</w:t>
      </w:r>
      <w:r w:rsidR="0013032F" w:rsidRPr="00DF5FD7">
        <w:t xml:space="preserve"> </w:t>
      </w:r>
      <w:r w:rsidRPr="00DF5FD7">
        <w:t>government</w:t>
      </w:r>
      <w:r w:rsidR="0013032F" w:rsidRPr="00DF5FD7">
        <w:t xml:space="preserve"> </w:t>
      </w:r>
      <w:r w:rsidRPr="00DF5FD7">
        <w:t>agencies</w:t>
      </w:r>
      <w:r w:rsidR="0013032F" w:rsidRPr="00DF5FD7">
        <w:t xml:space="preserve"> </w:t>
      </w:r>
      <w:r w:rsidRPr="00DF5FD7">
        <w:t>and</w:t>
      </w:r>
      <w:r w:rsidR="0013032F" w:rsidRPr="00DF5FD7">
        <w:t xml:space="preserve"> </w:t>
      </w:r>
      <w:r w:rsidRPr="00DF5FD7">
        <w:t>stakeholders</w:t>
      </w:r>
      <w:r w:rsidR="0013032F" w:rsidRPr="00DF5FD7">
        <w:t xml:space="preserve"> </w:t>
      </w:r>
      <w:r w:rsidRPr="00DF5FD7">
        <w:t>also</w:t>
      </w:r>
      <w:r w:rsidR="0013032F" w:rsidRPr="00DF5FD7">
        <w:t xml:space="preserve"> </w:t>
      </w:r>
      <w:r w:rsidRPr="00DF5FD7">
        <w:t>involved.</w:t>
      </w:r>
      <w:r w:rsidR="0013032F" w:rsidRPr="00DF5FD7">
        <w:t xml:space="preserve"> </w:t>
      </w:r>
      <w:r w:rsidRPr="00DF5FD7">
        <w:t>To</w:t>
      </w:r>
      <w:r w:rsidR="0013032F" w:rsidRPr="00DF5FD7">
        <w:t xml:space="preserve"> </w:t>
      </w:r>
      <w:r w:rsidRPr="00DF5FD7">
        <w:t>date</w:t>
      </w:r>
      <w:r w:rsidR="0013032F" w:rsidRPr="00DF5FD7">
        <w:t xml:space="preserve"> </w:t>
      </w:r>
      <w:r w:rsidRPr="00DF5FD7">
        <w:t>the</w:t>
      </w:r>
      <w:r w:rsidR="0013032F" w:rsidRPr="00DF5FD7">
        <w:t xml:space="preserve"> </w:t>
      </w:r>
      <w:r w:rsidRPr="00DF5FD7">
        <w:t>taskforce</w:t>
      </w:r>
      <w:r w:rsidR="0013032F" w:rsidRPr="00DF5FD7">
        <w:t xml:space="preserve"> </w:t>
      </w:r>
      <w:r w:rsidRPr="00DF5FD7">
        <w:t>has</w:t>
      </w:r>
      <w:r w:rsidR="0013032F" w:rsidRPr="00DF5FD7">
        <w:t xml:space="preserve"> </w:t>
      </w:r>
      <w:r w:rsidRPr="00DF5FD7">
        <w:t>convened</w:t>
      </w:r>
      <w:r w:rsidR="0013032F" w:rsidRPr="00DF5FD7">
        <w:t xml:space="preserve"> </w:t>
      </w:r>
      <w:r w:rsidRPr="00DF5FD7">
        <w:t>regional</w:t>
      </w:r>
      <w:r w:rsidR="0013032F" w:rsidRPr="00DF5FD7">
        <w:t xml:space="preserve"> </w:t>
      </w:r>
      <w:r w:rsidRPr="00DF5FD7">
        <w:t>forums</w:t>
      </w:r>
      <w:r w:rsidR="0013032F" w:rsidRPr="00DF5FD7">
        <w:t xml:space="preserve"> </w:t>
      </w:r>
      <w:r w:rsidRPr="00DF5FD7">
        <w:t>on</w:t>
      </w:r>
      <w:r w:rsidR="0013032F" w:rsidRPr="00DF5FD7">
        <w:t xml:space="preserve"> </w:t>
      </w:r>
      <w:r w:rsidRPr="00DF5FD7">
        <w:t>opportunities</w:t>
      </w:r>
      <w:r w:rsidR="0013032F" w:rsidRPr="00DF5FD7">
        <w:t xml:space="preserve"> </w:t>
      </w:r>
      <w:r w:rsidRPr="00DF5FD7">
        <w:t>in</w:t>
      </w:r>
      <w:r w:rsidR="0013032F" w:rsidRPr="00DF5FD7">
        <w:t xml:space="preserve"> </w:t>
      </w:r>
      <w:r w:rsidRPr="00DF5FD7">
        <w:t>the</w:t>
      </w:r>
      <w:r w:rsidR="0013032F" w:rsidRPr="00DF5FD7">
        <w:t xml:space="preserve"> </w:t>
      </w:r>
      <w:r w:rsidRPr="00DF5FD7">
        <w:t>circular</w:t>
      </w:r>
      <w:r w:rsidR="0013032F" w:rsidRPr="00DF5FD7">
        <w:t xml:space="preserve"> </w:t>
      </w:r>
      <w:r w:rsidRPr="00DF5FD7">
        <w:t>economy,</w:t>
      </w:r>
      <w:r w:rsidR="0013032F" w:rsidRPr="00DF5FD7">
        <w:t xml:space="preserve"> </w:t>
      </w:r>
      <w:r w:rsidRPr="00DF5FD7">
        <w:t>developed</w:t>
      </w:r>
      <w:r w:rsidR="0013032F" w:rsidRPr="00DF5FD7">
        <w:t xml:space="preserve"> </w:t>
      </w:r>
      <w:r w:rsidRPr="00DF5FD7">
        <w:t>an</w:t>
      </w:r>
      <w:r w:rsidR="0013032F" w:rsidRPr="00DF5FD7">
        <w:t xml:space="preserve"> </w:t>
      </w:r>
      <w:r w:rsidRPr="00DF5FD7">
        <w:t>investment</w:t>
      </w:r>
      <w:r w:rsidR="0013032F" w:rsidRPr="00DF5FD7">
        <w:t xml:space="preserve"> </w:t>
      </w:r>
      <w:r w:rsidRPr="00DF5FD7">
        <w:t>prospectus</w:t>
      </w:r>
      <w:r w:rsidR="0013032F" w:rsidRPr="00DF5FD7">
        <w:t xml:space="preserve"> </w:t>
      </w:r>
      <w:r w:rsidRPr="00DF5FD7">
        <w:t>for</w:t>
      </w:r>
      <w:r w:rsidR="0013032F" w:rsidRPr="00DF5FD7">
        <w:t xml:space="preserve"> </w:t>
      </w:r>
      <w:r w:rsidRPr="00DF5FD7">
        <w:t>the</w:t>
      </w:r>
      <w:r w:rsidR="0013032F" w:rsidRPr="00DF5FD7">
        <w:t xml:space="preserve"> </w:t>
      </w:r>
      <w:r w:rsidRPr="00DF5FD7">
        <w:t>region</w:t>
      </w:r>
      <w:r w:rsidR="0013032F" w:rsidRPr="00DF5FD7">
        <w:t xml:space="preserve"> </w:t>
      </w:r>
      <w:r w:rsidRPr="00DF5FD7">
        <w:t>and</w:t>
      </w:r>
      <w:r w:rsidR="0013032F" w:rsidRPr="00DF5FD7">
        <w:t xml:space="preserve"> </w:t>
      </w:r>
      <w:r w:rsidRPr="00DF5FD7">
        <w:t>advocated</w:t>
      </w:r>
      <w:r w:rsidR="0013032F" w:rsidRPr="00DF5FD7">
        <w:t xml:space="preserve"> </w:t>
      </w:r>
      <w:r w:rsidRPr="00DF5FD7">
        <w:t>to</w:t>
      </w:r>
      <w:r w:rsidR="0013032F" w:rsidRPr="00DF5FD7">
        <w:t xml:space="preserve"> </w:t>
      </w:r>
      <w:r w:rsidRPr="00DF5FD7">
        <w:t>Victorian</w:t>
      </w:r>
      <w:r w:rsidR="0013032F" w:rsidRPr="00DF5FD7">
        <w:t xml:space="preserve"> </w:t>
      </w:r>
      <w:r w:rsidRPr="00DF5FD7">
        <w:t>and</w:t>
      </w:r>
      <w:r w:rsidR="0013032F" w:rsidRPr="00DF5FD7">
        <w:t xml:space="preserve"> </w:t>
      </w:r>
      <w:r w:rsidRPr="00DF5FD7">
        <w:t>Australian</w:t>
      </w:r>
      <w:r w:rsidR="0013032F" w:rsidRPr="00DF5FD7">
        <w:t xml:space="preserve"> </w:t>
      </w:r>
      <w:r w:rsidRPr="00DF5FD7">
        <w:t>governments</w:t>
      </w:r>
      <w:r w:rsidR="0013032F" w:rsidRPr="00DF5FD7">
        <w:t xml:space="preserve"> </w:t>
      </w:r>
      <w:r w:rsidRPr="00DF5FD7">
        <w:t>for</w:t>
      </w:r>
      <w:r w:rsidR="0013032F" w:rsidRPr="00DF5FD7">
        <w:t xml:space="preserve"> </w:t>
      </w:r>
      <w:r w:rsidRPr="00DF5FD7">
        <w:t>the</w:t>
      </w:r>
      <w:r w:rsidR="0013032F" w:rsidRPr="00DF5FD7">
        <w:t xml:space="preserve"> </w:t>
      </w:r>
      <w:r w:rsidRPr="00DF5FD7">
        <w:t>transition</w:t>
      </w:r>
      <w:r w:rsidR="0013032F" w:rsidRPr="00DF5FD7">
        <w:t xml:space="preserve"> </w:t>
      </w:r>
      <w:r w:rsidRPr="00DF5FD7">
        <w:t>challenges</w:t>
      </w:r>
      <w:r w:rsidR="0013032F" w:rsidRPr="00DF5FD7">
        <w:t xml:space="preserve"> </w:t>
      </w:r>
      <w:r w:rsidRPr="00DF5FD7">
        <w:t>being</w:t>
      </w:r>
      <w:r w:rsidR="0013032F" w:rsidRPr="00DF5FD7">
        <w:t xml:space="preserve"> </w:t>
      </w:r>
      <w:r w:rsidRPr="00DF5FD7">
        <w:t>experienced</w:t>
      </w:r>
      <w:r w:rsidR="0013032F" w:rsidRPr="00DF5FD7">
        <w:t xml:space="preserve"> </w:t>
      </w:r>
      <w:r w:rsidRPr="00DF5FD7">
        <w:t>in</w:t>
      </w:r>
      <w:r w:rsidR="0013032F" w:rsidRPr="00DF5FD7">
        <w:t xml:space="preserve"> </w:t>
      </w:r>
      <w:r w:rsidRPr="00DF5FD7">
        <w:t>the</w:t>
      </w:r>
      <w:r w:rsidR="0013032F" w:rsidRPr="00DF5FD7">
        <w:t xml:space="preserve"> </w:t>
      </w:r>
      <w:r w:rsidRPr="00DF5FD7">
        <w:t>region.</w:t>
      </w:r>
      <w:r w:rsidR="0013032F" w:rsidRPr="00DF5FD7">
        <w:t xml:space="preserve"> </w:t>
      </w:r>
    </w:p>
    <w:p w14:paraId="62AB09B2" w14:textId="77777777" w:rsidR="00757772" w:rsidRDefault="00305D3C" w:rsidP="00A71E06">
      <w:pPr>
        <w:pStyle w:val="Heading2"/>
      </w:pPr>
      <w:bookmarkStart w:id="22" w:name="_Toc149566568"/>
      <w:r>
        <w:t>Mallee</w:t>
      </w:r>
      <w:bookmarkEnd w:id="22"/>
    </w:p>
    <w:p w14:paraId="569FE820" w14:textId="501329C3" w:rsidR="00757772" w:rsidRDefault="00305D3C" w:rsidP="00A71E06">
      <w:r>
        <w:t>The</w:t>
      </w:r>
      <w:r w:rsidR="0013032F">
        <w:t xml:space="preserve"> </w:t>
      </w:r>
      <w:r>
        <w:t>Mallee</w:t>
      </w:r>
      <w:r w:rsidR="0013032F">
        <w:t xml:space="preserve"> </w:t>
      </w:r>
      <w:r>
        <w:t>Regional</w:t>
      </w:r>
      <w:r w:rsidR="0013032F">
        <w:t xml:space="preserve"> </w:t>
      </w:r>
      <w:r>
        <w:t>Partnership</w:t>
      </w:r>
      <w:r w:rsidR="0013032F">
        <w:t xml:space="preserve"> </w:t>
      </w:r>
      <w:r>
        <w:t>(MRP)</w:t>
      </w:r>
      <w:r w:rsidR="0013032F">
        <w:t xml:space="preserve"> </w:t>
      </w:r>
      <w:r>
        <w:t>strives</w:t>
      </w:r>
      <w:r w:rsidR="0013032F">
        <w:t xml:space="preserve"> </w:t>
      </w:r>
      <w:r>
        <w:t>to</w:t>
      </w:r>
      <w:r w:rsidR="0013032F">
        <w:t xml:space="preserve"> </w:t>
      </w:r>
      <w:r>
        <w:t>achieve</w:t>
      </w:r>
      <w:r w:rsidR="0013032F">
        <w:t xml:space="preserve"> </w:t>
      </w:r>
      <w:r>
        <w:t>long-term</w:t>
      </w:r>
      <w:r w:rsidR="0013032F">
        <w:t xml:space="preserve"> </w:t>
      </w:r>
      <w:r>
        <w:t>economic</w:t>
      </w:r>
      <w:r w:rsidR="0013032F">
        <w:t xml:space="preserve"> </w:t>
      </w:r>
      <w:r>
        <w:t>and</w:t>
      </w:r>
      <w:r w:rsidR="0013032F">
        <w:t xml:space="preserve"> </w:t>
      </w:r>
      <w:r>
        <w:t>social</w:t>
      </w:r>
      <w:r w:rsidR="0013032F">
        <w:t xml:space="preserve"> </w:t>
      </w:r>
      <w:r>
        <w:t>outcomes</w:t>
      </w:r>
      <w:r w:rsidR="0013032F">
        <w:t xml:space="preserve"> </w:t>
      </w:r>
      <w:r>
        <w:t>for</w:t>
      </w:r>
      <w:r w:rsidR="0013032F">
        <w:t xml:space="preserve"> </w:t>
      </w:r>
      <w:r>
        <w:t>the</w:t>
      </w:r>
      <w:r w:rsidR="0013032F">
        <w:t xml:space="preserve"> </w:t>
      </w:r>
      <w:r>
        <w:t>individuals,</w:t>
      </w:r>
      <w:r w:rsidR="0013032F">
        <w:t xml:space="preserve"> </w:t>
      </w:r>
      <w:r>
        <w:t>families</w:t>
      </w:r>
      <w:r w:rsidR="0013032F">
        <w:t xml:space="preserve"> </w:t>
      </w:r>
      <w:r>
        <w:t>and</w:t>
      </w:r>
      <w:r w:rsidR="0013032F">
        <w:t xml:space="preserve"> </w:t>
      </w:r>
      <w:r>
        <w:t>communities</w:t>
      </w:r>
      <w:r w:rsidR="0013032F">
        <w:t xml:space="preserve"> </w:t>
      </w:r>
      <w:r>
        <w:t>who</w:t>
      </w:r>
      <w:r w:rsidR="0013032F">
        <w:t xml:space="preserve"> </w:t>
      </w:r>
      <w:r>
        <w:t>live</w:t>
      </w:r>
      <w:r w:rsidR="0013032F">
        <w:t xml:space="preserve"> </w:t>
      </w:r>
      <w:r>
        <w:t>in</w:t>
      </w:r>
      <w:r w:rsidR="0013032F">
        <w:t xml:space="preserve"> </w:t>
      </w:r>
      <w:r>
        <w:t>and</w:t>
      </w:r>
      <w:r w:rsidR="0013032F">
        <w:t xml:space="preserve"> </w:t>
      </w:r>
      <w:r>
        <w:t>visit</w:t>
      </w:r>
      <w:r w:rsidR="0013032F">
        <w:t xml:space="preserve"> </w:t>
      </w:r>
      <w:r>
        <w:t>our</w:t>
      </w:r>
      <w:r w:rsidR="0013032F">
        <w:t xml:space="preserve"> </w:t>
      </w:r>
      <w:r>
        <w:t>region.</w:t>
      </w:r>
    </w:p>
    <w:p w14:paraId="4F98F422" w14:textId="54B63102" w:rsidR="00757772" w:rsidRDefault="00305D3C" w:rsidP="00A71E06">
      <w:pPr>
        <w:pStyle w:val="Heading3"/>
      </w:pPr>
      <w:r>
        <w:t>Regional</w:t>
      </w:r>
      <w:r w:rsidR="0013032F">
        <w:t xml:space="preserve"> </w:t>
      </w:r>
      <w:r>
        <w:t>priorities:</w:t>
      </w:r>
    </w:p>
    <w:p w14:paraId="39DA9465" w14:textId="2CB70386" w:rsidR="00757772" w:rsidRDefault="00305D3C" w:rsidP="00A71E06">
      <w:pPr>
        <w:pStyle w:val="Bullet"/>
      </w:pPr>
      <w:r w:rsidRPr="00A71E06">
        <w:rPr>
          <w:b/>
          <w:bCs/>
        </w:rPr>
        <w:t>Economic</w:t>
      </w:r>
      <w:r w:rsidR="0013032F" w:rsidRPr="00A71E06">
        <w:rPr>
          <w:b/>
          <w:bCs/>
        </w:rPr>
        <w:t xml:space="preserve"> </w:t>
      </w:r>
      <w:r w:rsidRPr="00A71E06">
        <w:rPr>
          <w:b/>
          <w:bCs/>
        </w:rPr>
        <w:t>diversification</w:t>
      </w:r>
      <w:r w:rsidR="0013032F">
        <w:t xml:space="preserve"> </w:t>
      </w:r>
      <w:r>
        <w:t>–</w:t>
      </w:r>
      <w:r w:rsidR="0013032F">
        <w:t xml:space="preserve"> </w:t>
      </w:r>
      <w:r>
        <w:t>the</w:t>
      </w:r>
      <w:r w:rsidR="0013032F">
        <w:t xml:space="preserve"> </w:t>
      </w:r>
      <w:r>
        <w:t>MRP</w:t>
      </w:r>
      <w:r w:rsidR="0013032F">
        <w:t xml:space="preserve"> </w:t>
      </w:r>
      <w:r>
        <w:t>advocated</w:t>
      </w:r>
      <w:r w:rsidR="0013032F">
        <w:t xml:space="preserve"> </w:t>
      </w:r>
      <w:r>
        <w:t>for</w:t>
      </w:r>
      <w:r w:rsidR="0013032F">
        <w:t xml:space="preserve"> </w:t>
      </w:r>
      <w:r>
        <w:t>funding</w:t>
      </w:r>
      <w:r w:rsidR="0013032F">
        <w:t xml:space="preserve"> </w:t>
      </w:r>
      <w:r>
        <w:t>for</w:t>
      </w:r>
      <w:r w:rsidR="0013032F">
        <w:t xml:space="preserve"> </w:t>
      </w:r>
      <w:r>
        <w:t>the</w:t>
      </w:r>
      <w:r w:rsidR="0013032F">
        <w:t xml:space="preserve"> </w:t>
      </w:r>
      <w:r>
        <w:t>Victoria</w:t>
      </w:r>
      <w:r w:rsidR="0013032F">
        <w:t xml:space="preserve"> </w:t>
      </w:r>
      <w:r>
        <w:t>to</w:t>
      </w:r>
      <w:r w:rsidR="0013032F">
        <w:t xml:space="preserve"> </w:t>
      </w:r>
      <w:r>
        <w:t>New</w:t>
      </w:r>
      <w:r w:rsidR="0013032F">
        <w:t xml:space="preserve"> </w:t>
      </w:r>
      <w:r>
        <w:t>South</w:t>
      </w:r>
      <w:r w:rsidR="0013032F">
        <w:t xml:space="preserve"> </w:t>
      </w:r>
      <w:r>
        <w:t>Wales</w:t>
      </w:r>
      <w:r w:rsidR="0013032F">
        <w:t xml:space="preserve"> </w:t>
      </w:r>
      <w:r>
        <w:t>Interconnector</w:t>
      </w:r>
      <w:r w:rsidR="0013032F">
        <w:t xml:space="preserve"> </w:t>
      </w:r>
      <w:r>
        <w:t>West</w:t>
      </w:r>
      <w:r w:rsidR="0013032F">
        <w:t xml:space="preserve"> </w:t>
      </w:r>
      <w:r>
        <w:t>through</w:t>
      </w:r>
      <w:r w:rsidR="0013032F">
        <w:t xml:space="preserve"> </w:t>
      </w:r>
      <w:r>
        <w:t>to</w:t>
      </w:r>
      <w:r w:rsidR="0013032F">
        <w:t xml:space="preserve"> </w:t>
      </w:r>
      <w:r>
        <w:t>Kerang</w:t>
      </w:r>
      <w:r w:rsidR="0013032F">
        <w:t xml:space="preserve"> </w:t>
      </w:r>
      <w:r>
        <w:t>to</w:t>
      </w:r>
      <w:r w:rsidR="0013032F">
        <w:t xml:space="preserve"> </w:t>
      </w:r>
      <w:r>
        <w:t>enable</w:t>
      </w:r>
      <w:r w:rsidR="0013032F">
        <w:t xml:space="preserve"> </w:t>
      </w:r>
      <w:r>
        <w:t>increased</w:t>
      </w:r>
      <w:r w:rsidR="0013032F">
        <w:t xml:space="preserve"> </w:t>
      </w:r>
      <w:r>
        <w:t>renewable</w:t>
      </w:r>
      <w:r w:rsidR="0013032F">
        <w:t xml:space="preserve"> </w:t>
      </w:r>
      <w:r>
        <w:t>energy</w:t>
      </w:r>
      <w:r w:rsidR="0013032F">
        <w:t xml:space="preserve"> </w:t>
      </w:r>
      <w:r>
        <w:t>contributions</w:t>
      </w:r>
      <w:r w:rsidR="0013032F">
        <w:t xml:space="preserve"> </w:t>
      </w:r>
      <w:r>
        <w:t>to</w:t>
      </w:r>
      <w:r w:rsidR="0013032F">
        <w:t xml:space="preserve"> </w:t>
      </w:r>
      <w:r>
        <w:t>the</w:t>
      </w:r>
      <w:r w:rsidR="0013032F">
        <w:t xml:space="preserve"> </w:t>
      </w:r>
      <w:r>
        <w:t>electricity</w:t>
      </w:r>
      <w:r w:rsidR="0013032F">
        <w:t xml:space="preserve"> </w:t>
      </w:r>
      <w:r>
        <w:t>grid</w:t>
      </w:r>
      <w:r w:rsidR="0013032F">
        <w:t xml:space="preserve"> </w:t>
      </w:r>
      <w:r>
        <w:t>from</w:t>
      </w:r>
      <w:r w:rsidR="0013032F">
        <w:t xml:space="preserve"> </w:t>
      </w:r>
      <w:r>
        <w:t>the</w:t>
      </w:r>
      <w:r w:rsidR="0013032F">
        <w:t xml:space="preserve"> </w:t>
      </w:r>
      <w:r>
        <w:t>Mallee</w:t>
      </w:r>
      <w:r w:rsidR="0013032F">
        <w:t xml:space="preserve"> </w:t>
      </w:r>
      <w:r>
        <w:t>region</w:t>
      </w:r>
    </w:p>
    <w:p w14:paraId="117BAA94" w14:textId="3F7EF444" w:rsidR="00757772" w:rsidRDefault="00305D3C" w:rsidP="00A71E06">
      <w:pPr>
        <w:pStyle w:val="Bullet"/>
      </w:pPr>
      <w:r w:rsidRPr="00A71E06">
        <w:rPr>
          <w:b/>
          <w:bCs/>
        </w:rPr>
        <w:t>A</w:t>
      </w:r>
      <w:r w:rsidR="0013032F" w:rsidRPr="00A71E06">
        <w:rPr>
          <w:b/>
          <w:bCs/>
        </w:rPr>
        <w:t xml:space="preserve"> </w:t>
      </w:r>
      <w:r w:rsidRPr="00A71E06">
        <w:rPr>
          <w:b/>
          <w:bCs/>
        </w:rPr>
        <w:t>resilient</w:t>
      </w:r>
      <w:r w:rsidR="0013032F" w:rsidRPr="00A71E06">
        <w:rPr>
          <w:b/>
          <w:bCs/>
        </w:rPr>
        <w:t xml:space="preserve"> </w:t>
      </w:r>
      <w:r w:rsidRPr="00A71E06">
        <w:rPr>
          <w:b/>
          <w:bCs/>
        </w:rPr>
        <w:t>Mallee</w:t>
      </w:r>
      <w:r w:rsidR="0013032F">
        <w:t xml:space="preserve"> </w:t>
      </w:r>
      <w:r>
        <w:t>–</w:t>
      </w:r>
      <w:r w:rsidR="0013032F">
        <w:t xml:space="preserve"> </w:t>
      </w:r>
      <w:r>
        <w:t>increase</w:t>
      </w:r>
      <w:r w:rsidR="0013032F">
        <w:t xml:space="preserve"> </w:t>
      </w:r>
      <w:r>
        <w:t>access</w:t>
      </w:r>
      <w:r w:rsidR="0013032F">
        <w:t xml:space="preserve"> </w:t>
      </w:r>
      <w:r>
        <w:t>to</w:t>
      </w:r>
      <w:r w:rsidR="0013032F">
        <w:t xml:space="preserve"> </w:t>
      </w:r>
      <w:r>
        <w:t>childcare</w:t>
      </w:r>
      <w:r w:rsidR="0013032F">
        <w:t xml:space="preserve"> </w:t>
      </w:r>
      <w:r>
        <w:t>in</w:t>
      </w:r>
      <w:r w:rsidR="0013032F">
        <w:t xml:space="preserve"> </w:t>
      </w:r>
      <w:r>
        <w:t>rural</w:t>
      </w:r>
      <w:r w:rsidR="0013032F">
        <w:t xml:space="preserve"> </w:t>
      </w:r>
      <w:r>
        <w:t>areas</w:t>
      </w:r>
      <w:r w:rsidR="0013032F">
        <w:t xml:space="preserve"> </w:t>
      </w:r>
      <w:r>
        <w:t>particularly</w:t>
      </w:r>
      <w:r w:rsidR="0013032F">
        <w:t xml:space="preserve"> </w:t>
      </w:r>
      <w:r>
        <w:t>targeting</w:t>
      </w:r>
      <w:r w:rsidR="0013032F">
        <w:t xml:space="preserve"> </w:t>
      </w:r>
      <w:r>
        <w:t>the</w:t>
      </w:r>
      <w:r w:rsidR="0013032F">
        <w:t xml:space="preserve"> </w:t>
      </w:r>
      <w:r>
        <w:t>need</w:t>
      </w:r>
      <w:r w:rsidR="0013032F">
        <w:t xml:space="preserve"> </w:t>
      </w:r>
      <w:r>
        <w:t>for</w:t>
      </w:r>
      <w:r w:rsidR="0013032F">
        <w:t xml:space="preserve"> </w:t>
      </w:r>
      <w:r>
        <w:t>improved</w:t>
      </w:r>
      <w:r w:rsidR="0013032F">
        <w:t xml:space="preserve"> </w:t>
      </w:r>
      <w:r>
        <w:t>services</w:t>
      </w:r>
      <w:r w:rsidR="0013032F">
        <w:t xml:space="preserve"> </w:t>
      </w:r>
      <w:r>
        <w:t>in</w:t>
      </w:r>
      <w:r w:rsidR="0013032F">
        <w:t xml:space="preserve"> </w:t>
      </w:r>
      <w:r>
        <w:t>Red</w:t>
      </w:r>
      <w:r w:rsidR="0013032F">
        <w:t xml:space="preserve"> </w:t>
      </w:r>
      <w:r>
        <w:t>Cliffs,</w:t>
      </w:r>
      <w:r w:rsidR="0013032F">
        <w:t xml:space="preserve"> </w:t>
      </w:r>
      <w:r>
        <w:t>Birchip</w:t>
      </w:r>
      <w:r w:rsidR="0013032F">
        <w:t xml:space="preserve"> </w:t>
      </w:r>
      <w:r>
        <w:t>and</w:t>
      </w:r>
      <w:r w:rsidR="0013032F">
        <w:t xml:space="preserve"> </w:t>
      </w:r>
      <w:r>
        <w:t>Charlton.</w:t>
      </w:r>
      <w:r w:rsidR="0013032F">
        <w:t xml:space="preserve"> </w:t>
      </w:r>
      <w:r>
        <w:t>To</w:t>
      </w:r>
      <w:r w:rsidR="0013032F">
        <w:t xml:space="preserve"> </w:t>
      </w:r>
      <w:r>
        <w:t>be</w:t>
      </w:r>
      <w:r w:rsidR="0013032F">
        <w:t xml:space="preserve"> </w:t>
      </w:r>
      <w:r>
        <w:t>viable,</w:t>
      </w:r>
      <w:r w:rsidR="0013032F">
        <w:t xml:space="preserve"> </w:t>
      </w:r>
      <w:r>
        <w:t>services</w:t>
      </w:r>
      <w:r w:rsidR="0013032F">
        <w:t xml:space="preserve"> </w:t>
      </w:r>
      <w:r>
        <w:t>need</w:t>
      </w:r>
      <w:r w:rsidR="0013032F">
        <w:t xml:space="preserve"> </w:t>
      </w:r>
      <w:r>
        <w:t>to</w:t>
      </w:r>
      <w:r w:rsidR="0013032F">
        <w:t xml:space="preserve"> </w:t>
      </w:r>
      <w:r>
        <w:t>be</w:t>
      </w:r>
      <w:r w:rsidR="0013032F">
        <w:t xml:space="preserve"> </w:t>
      </w:r>
      <w:r>
        <w:t>integrated</w:t>
      </w:r>
      <w:r w:rsidR="0013032F">
        <w:t xml:space="preserve"> </w:t>
      </w:r>
      <w:r>
        <w:t>with</w:t>
      </w:r>
      <w:r w:rsidR="0013032F">
        <w:t xml:space="preserve"> </w:t>
      </w:r>
      <w:r>
        <w:t>other</w:t>
      </w:r>
      <w:r w:rsidR="0013032F">
        <w:t xml:space="preserve"> </w:t>
      </w:r>
      <w:r>
        <w:t>early</w:t>
      </w:r>
      <w:r w:rsidR="0013032F">
        <w:t xml:space="preserve"> </w:t>
      </w:r>
      <w:r>
        <w:t>years</w:t>
      </w:r>
      <w:r w:rsidR="0013032F">
        <w:t xml:space="preserve"> </w:t>
      </w:r>
      <w:r>
        <w:t>services</w:t>
      </w:r>
      <w:r w:rsidR="0013032F">
        <w:t xml:space="preserve"> </w:t>
      </w:r>
      <w:r>
        <w:t>such</w:t>
      </w:r>
      <w:r w:rsidR="0013032F">
        <w:t xml:space="preserve"> </w:t>
      </w:r>
      <w:r>
        <w:t>as</w:t>
      </w:r>
      <w:r w:rsidR="0013032F">
        <w:t xml:space="preserve"> </w:t>
      </w:r>
      <w:r>
        <w:t>kindergartens,</w:t>
      </w:r>
      <w:r w:rsidR="0013032F">
        <w:t xml:space="preserve"> </w:t>
      </w:r>
      <w:r>
        <w:t>maternal</w:t>
      </w:r>
      <w:r w:rsidR="0013032F">
        <w:t xml:space="preserve"> </w:t>
      </w:r>
      <w:r>
        <w:t>and</w:t>
      </w:r>
      <w:r w:rsidR="0013032F">
        <w:t xml:space="preserve"> </w:t>
      </w:r>
      <w:r>
        <w:t>child</w:t>
      </w:r>
      <w:r w:rsidR="0013032F">
        <w:t xml:space="preserve"> </w:t>
      </w:r>
      <w:r>
        <w:t>health</w:t>
      </w:r>
      <w:r w:rsidR="0013032F">
        <w:t xml:space="preserve"> </w:t>
      </w:r>
      <w:r>
        <w:t>services</w:t>
      </w:r>
      <w:r w:rsidR="0013032F">
        <w:t xml:space="preserve"> </w:t>
      </w:r>
      <w:r>
        <w:t>and</w:t>
      </w:r>
      <w:r w:rsidR="0013032F">
        <w:t xml:space="preserve"> </w:t>
      </w:r>
      <w:r>
        <w:t>primary</w:t>
      </w:r>
      <w:r w:rsidR="0013032F">
        <w:t xml:space="preserve"> </w:t>
      </w:r>
      <w:r>
        <w:t>education</w:t>
      </w:r>
    </w:p>
    <w:p w14:paraId="504BB8F8" w14:textId="32FEDBA8" w:rsidR="00757772" w:rsidRDefault="00305D3C" w:rsidP="00A71E06">
      <w:pPr>
        <w:pStyle w:val="Bulletlast"/>
      </w:pPr>
      <w:r w:rsidRPr="00A71E06">
        <w:rPr>
          <w:b/>
          <w:bCs/>
        </w:rPr>
        <w:t>Green</w:t>
      </w:r>
      <w:r w:rsidR="0013032F" w:rsidRPr="00A71E06">
        <w:rPr>
          <w:b/>
          <w:bCs/>
        </w:rPr>
        <w:t xml:space="preserve"> </w:t>
      </w:r>
      <w:r w:rsidRPr="00A71E06">
        <w:rPr>
          <w:b/>
          <w:bCs/>
        </w:rPr>
        <w:t>hydrogen</w:t>
      </w:r>
      <w:r w:rsidR="0013032F">
        <w:rPr>
          <w:rStyle w:val="SEMIBOLD"/>
          <w:rFonts w:ascii="VIC SemiBold" w:hAnsi="VIC SemiBold" w:cs="VIC SemiBold"/>
          <w:b w:val="0"/>
          <w:bCs w:val="0"/>
        </w:rPr>
        <w:t xml:space="preserve"> </w:t>
      </w:r>
      <w:r>
        <w:t>–</w:t>
      </w:r>
      <w:r w:rsidR="0013032F">
        <w:t xml:space="preserve"> </w:t>
      </w:r>
      <w:r>
        <w:t>promoted</w:t>
      </w:r>
      <w:r w:rsidR="0013032F">
        <w:t xml:space="preserve"> </w:t>
      </w:r>
      <w:r>
        <w:t>the</w:t>
      </w:r>
      <w:r w:rsidR="0013032F">
        <w:t xml:space="preserve"> </w:t>
      </w:r>
      <w:r>
        <w:t>early</w:t>
      </w:r>
      <w:r w:rsidR="0013032F">
        <w:t xml:space="preserve"> </w:t>
      </w:r>
      <w:r>
        <w:t>adoption</w:t>
      </w:r>
      <w:r w:rsidR="0013032F">
        <w:t xml:space="preserve"> </w:t>
      </w:r>
      <w:r>
        <w:t>of</w:t>
      </w:r>
      <w:r w:rsidR="0013032F">
        <w:t xml:space="preserve"> </w:t>
      </w:r>
      <w:r>
        <w:rPr>
          <w:spacing w:val="-3"/>
        </w:rPr>
        <w:t>green</w:t>
      </w:r>
      <w:r w:rsidR="0013032F">
        <w:rPr>
          <w:spacing w:val="-3"/>
        </w:rPr>
        <w:t xml:space="preserve"> </w:t>
      </w:r>
      <w:r>
        <w:rPr>
          <w:spacing w:val="-3"/>
        </w:rPr>
        <w:t>hydrogen</w:t>
      </w:r>
      <w:r w:rsidR="0013032F">
        <w:rPr>
          <w:spacing w:val="-3"/>
        </w:rPr>
        <w:t xml:space="preserve"> </w:t>
      </w:r>
      <w:r>
        <w:rPr>
          <w:spacing w:val="-3"/>
        </w:rPr>
        <w:t>within</w:t>
      </w:r>
      <w:r w:rsidR="0013032F">
        <w:rPr>
          <w:spacing w:val="-3"/>
        </w:rPr>
        <w:t xml:space="preserve"> </w:t>
      </w:r>
      <w:r>
        <w:rPr>
          <w:spacing w:val="-3"/>
        </w:rPr>
        <w:t>key</w:t>
      </w:r>
      <w:r w:rsidR="0013032F">
        <w:rPr>
          <w:spacing w:val="-3"/>
        </w:rPr>
        <w:t xml:space="preserve"> </w:t>
      </w:r>
      <w:r>
        <w:rPr>
          <w:spacing w:val="-3"/>
        </w:rPr>
        <w:t>industries</w:t>
      </w:r>
      <w:r w:rsidR="0013032F">
        <w:rPr>
          <w:spacing w:val="-3"/>
        </w:rPr>
        <w:t xml:space="preserve"> </w:t>
      </w:r>
      <w:r>
        <w:rPr>
          <w:spacing w:val="-3"/>
        </w:rPr>
        <w:t>including</w:t>
      </w:r>
      <w:r w:rsidR="0013032F">
        <w:rPr>
          <w:spacing w:val="-3"/>
        </w:rPr>
        <w:t xml:space="preserve"> </w:t>
      </w:r>
      <w:r>
        <w:rPr>
          <w:spacing w:val="-3"/>
        </w:rPr>
        <w:t>the</w:t>
      </w:r>
      <w:r w:rsidR="0013032F">
        <w:rPr>
          <w:spacing w:val="-3"/>
        </w:rPr>
        <w:t xml:space="preserve"> </w:t>
      </w:r>
      <w:r>
        <w:rPr>
          <w:spacing w:val="-3"/>
        </w:rPr>
        <w:t>use</w:t>
      </w:r>
      <w:r w:rsidR="0013032F">
        <w:rPr>
          <w:spacing w:val="-3"/>
        </w:rPr>
        <w:t xml:space="preserve"> </w:t>
      </w:r>
      <w:r>
        <w:t>of</w:t>
      </w:r>
      <w:r w:rsidR="0013032F">
        <w:t xml:space="preserve"> </w:t>
      </w:r>
      <w:r>
        <w:t>hydrogen</w:t>
      </w:r>
      <w:r w:rsidR="0013032F">
        <w:t xml:space="preserve"> </w:t>
      </w:r>
      <w:r>
        <w:t>to</w:t>
      </w:r>
      <w:r w:rsidR="0013032F">
        <w:t xml:space="preserve"> </w:t>
      </w:r>
      <w:r>
        <w:t>replace</w:t>
      </w:r>
      <w:r w:rsidR="0013032F">
        <w:t xml:space="preserve"> </w:t>
      </w:r>
      <w:r>
        <w:t>diesel</w:t>
      </w:r>
      <w:r w:rsidR="0013032F">
        <w:t xml:space="preserve"> </w:t>
      </w:r>
      <w:r>
        <w:t>in</w:t>
      </w:r>
      <w:r w:rsidR="0013032F">
        <w:t xml:space="preserve"> </w:t>
      </w:r>
      <w:r>
        <w:t>the</w:t>
      </w:r>
      <w:r w:rsidR="0013032F">
        <w:t xml:space="preserve"> </w:t>
      </w:r>
      <w:r>
        <w:t>logistics</w:t>
      </w:r>
      <w:r w:rsidR="0013032F">
        <w:t xml:space="preserve"> </w:t>
      </w:r>
      <w:r>
        <w:t>sector</w:t>
      </w:r>
      <w:r w:rsidR="0013032F">
        <w:t xml:space="preserve"> </w:t>
      </w:r>
      <w:r>
        <w:t>and</w:t>
      </w:r>
      <w:r w:rsidR="0013032F">
        <w:t xml:space="preserve"> </w:t>
      </w:r>
      <w:r>
        <w:t>the</w:t>
      </w:r>
      <w:r w:rsidR="0013032F">
        <w:t xml:space="preserve"> </w:t>
      </w:r>
      <w:r>
        <w:t>production</w:t>
      </w:r>
      <w:r w:rsidR="0013032F">
        <w:t xml:space="preserve"> </w:t>
      </w:r>
      <w:r>
        <w:t>of</w:t>
      </w:r>
      <w:r w:rsidR="0013032F">
        <w:t xml:space="preserve"> </w:t>
      </w:r>
      <w:r>
        <w:t>green</w:t>
      </w:r>
      <w:r w:rsidR="0013032F">
        <w:t xml:space="preserve"> </w:t>
      </w:r>
      <w:r>
        <w:t>ammonium</w:t>
      </w:r>
      <w:r w:rsidR="0013032F">
        <w:t xml:space="preserve"> </w:t>
      </w:r>
      <w:r>
        <w:t>fertilisers</w:t>
      </w:r>
      <w:r w:rsidR="0013032F">
        <w:t xml:space="preserve"> </w:t>
      </w:r>
      <w:r>
        <w:t>to</w:t>
      </w:r>
      <w:r w:rsidR="0013032F">
        <w:t xml:space="preserve"> </w:t>
      </w:r>
      <w:r>
        <w:t>replace</w:t>
      </w:r>
      <w:r w:rsidR="0013032F">
        <w:t xml:space="preserve"> </w:t>
      </w:r>
      <w:r>
        <w:t>fertilisers</w:t>
      </w:r>
      <w:r w:rsidR="0013032F">
        <w:t xml:space="preserve"> </w:t>
      </w:r>
      <w:r>
        <w:t>imported</w:t>
      </w:r>
      <w:r w:rsidR="0013032F">
        <w:t xml:space="preserve"> </w:t>
      </w:r>
      <w:r>
        <w:t>into</w:t>
      </w:r>
      <w:r w:rsidR="0013032F">
        <w:t xml:space="preserve"> </w:t>
      </w:r>
      <w:r>
        <w:t>the</w:t>
      </w:r>
      <w:r w:rsidR="0013032F">
        <w:t xml:space="preserve"> </w:t>
      </w:r>
      <w:r>
        <w:t>region.</w:t>
      </w:r>
    </w:p>
    <w:p w14:paraId="25C272D9" w14:textId="77777777" w:rsidR="00757772" w:rsidRDefault="00305D3C" w:rsidP="00A71E06">
      <w:pPr>
        <w:pStyle w:val="Heading3"/>
      </w:pPr>
      <w:r>
        <w:lastRenderedPageBreak/>
        <w:t>Highlights:</w:t>
      </w:r>
    </w:p>
    <w:p w14:paraId="2FBCB69D" w14:textId="2B992889" w:rsidR="00757772" w:rsidRDefault="00305D3C" w:rsidP="00A71E06">
      <w:pPr>
        <w:pStyle w:val="Bullet"/>
        <w:keepNext/>
      </w:pPr>
      <w:r>
        <w:t>Commenced</w:t>
      </w:r>
      <w:r w:rsidR="0013032F">
        <w:t xml:space="preserve"> </w:t>
      </w:r>
      <w:r>
        <w:t>building</w:t>
      </w:r>
      <w:r w:rsidR="0013032F">
        <w:t xml:space="preserve"> </w:t>
      </w:r>
      <w:r>
        <w:t>the</w:t>
      </w:r>
      <w:r w:rsidR="0013032F">
        <w:t xml:space="preserve"> </w:t>
      </w:r>
      <w:r>
        <w:t>Murrayville</w:t>
      </w:r>
      <w:r w:rsidR="0013032F">
        <w:t xml:space="preserve"> </w:t>
      </w:r>
      <w:r>
        <w:t>Permanent</w:t>
      </w:r>
      <w:r w:rsidR="0013032F">
        <w:t xml:space="preserve"> </w:t>
      </w:r>
      <w:r>
        <w:t>Fuel</w:t>
      </w:r>
      <w:r w:rsidR="0013032F">
        <w:t xml:space="preserve"> </w:t>
      </w:r>
      <w:r>
        <w:t>Station</w:t>
      </w:r>
      <w:r w:rsidR="0013032F">
        <w:t xml:space="preserve"> </w:t>
      </w:r>
      <w:r>
        <w:t>after</w:t>
      </w:r>
      <w:r w:rsidR="0013032F">
        <w:t xml:space="preserve"> </w:t>
      </w:r>
      <w:r>
        <w:t>$400,000</w:t>
      </w:r>
      <w:r w:rsidR="0013032F">
        <w:t xml:space="preserve"> </w:t>
      </w:r>
      <w:r>
        <w:t>was</w:t>
      </w:r>
      <w:r w:rsidR="0013032F">
        <w:t xml:space="preserve"> </w:t>
      </w:r>
      <w:r>
        <w:t>provided</w:t>
      </w:r>
      <w:r w:rsidR="0013032F">
        <w:t xml:space="preserve"> </w:t>
      </w:r>
      <w:r>
        <w:t>through</w:t>
      </w:r>
      <w:r w:rsidR="0013032F">
        <w:t xml:space="preserve"> </w:t>
      </w:r>
      <w:r>
        <w:t>the</w:t>
      </w:r>
      <w:r w:rsidR="0013032F">
        <w:t xml:space="preserve"> </w:t>
      </w:r>
      <w:r>
        <w:t>Victorian</w:t>
      </w:r>
      <w:r w:rsidR="0013032F">
        <w:t xml:space="preserve"> </w:t>
      </w:r>
      <w:r>
        <w:t>Government’s</w:t>
      </w:r>
      <w:r w:rsidR="0013032F">
        <w:t xml:space="preserve"> </w:t>
      </w:r>
      <w:r>
        <w:t>Regional</w:t>
      </w:r>
      <w:r w:rsidR="0013032F">
        <w:t xml:space="preserve"> </w:t>
      </w:r>
      <w:r>
        <w:t>Infrastructure</w:t>
      </w:r>
      <w:r w:rsidR="0013032F">
        <w:t xml:space="preserve"> </w:t>
      </w:r>
      <w:r>
        <w:t>Fund,</w:t>
      </w:r>
      <w:r w:rsidR="0013032F">
        <w:t xml:space="preserve"> </w:t>
      </w:r>
      <w:r>
        <w:t>an</w:t>
      </w:r>
      <w:r w:rsidR="0013032F">
        <w:t xml:space="preserve"> </w:t>
      </w:r>
      <w:r>
        <w:t>identified</w:t>
      </w:r>
      <w:r w:rsidR="0013032F">
        <w:t xml:space="preserve"> </w:t>
      </w:r>
      <w:r>
        <w:t>priority</w:t>
      </w:r>
      <w:r w:rsidR="0013032F">
        <w:t xml:space="preserve"> </w:t>
      </w:r>
      <w:r>
        <w:t>of</w:t>
      </w:r>
      <w:r w:rsidR="0013032F">
        <w:t xml:space="preserve"> </w:t>
      </w:r>
      <w:r>
        <w:t>the</w:t>
      </w:r>
      <w:r w:rsidR="0013032F">
        <w:t xml:space="preserve"> </w:t>
      </w:r>
      <w:r>
        <w:t>MRP</w:t>
      </w:r>
      <w:r w:rsidR="0013032F">
        <w:t xml:space="preserve"> </w:t>
      </w:r>
    </w:p>
    <w:p w14:paraId="75B67F52" w14:textId="0ACF9B57" w:rsidR="00757772" w:rsidRDefault="00305D3C" w:rsidP="00A71E06">
      <w:pPr>
        <w:pStyle w:val="Bullet"/>
      </w:pPr>
      <w:r>
        <w:t>Successfully</w:t>
      </w:r>
      <w:r w:rsidR="0013032F">
        <w:t xml:space="preserve"> </w:t>
      </w:r>
      <w:r>
        <w:t>advocated</w:t>
      </w:r>
      <w:r w:rsidR="0013032F">
        <w:t xml:space="preserve"> </w:t>
      </w:r>
      <w:r>
        <w:t>for</w:t>
      </w:r>
      <w:r w:rsidR="0013032F">
        <w:t xml:space="preserve"> </w:t>
      </w:r>
      <w:r>
        <w:t>resources</w:t>
      </w:r>
      <w:r w:rsidR="0013032F">
        <w:t xml:space="preserve"> </w:t>
      </w:r>
      <w:r>
        <w:t>for</w:t>
      </w:r>
      <w:r w:rsidR="0013032F">
        <w:t xml:space="preserve"> </w:t>
      </w:r>
      <w:r>
        <w:t>visiting</w:t>
      </w:r>
      <w:r w:rsidR="0013032F">
        <w:t xml:space="preserve"> </w:t>
      </w:r>
      <w:r>
        <w:t>researchers.</w:t>
      </w:r>
      <w:r w:rsidR="0013032F">
        <w:t xml:space="preserve"> </w:t>
      </w:r>
      <w:r>
        <w:t>The</w:t>
      </w:r>
      <w:r w:rsidR="0013032F">
        <w:t xml:space="preserve"> </w:t>
      </w:r>
      <w:r>
        <w:t>Birchip</w:t>
      </w:r>
      <w:r w:rsidR="0013032F">
        <w:t xml:space="preserve"> </w:t>
      </w:r>
      <w:r>
        <w:t>Cropping</w:t>
      </w:r>
      <w:r w:rsidR="0013032F">
        <w:t xml:space="preserve"> </w:t>
      </w:r>
      <w:r>
        <w:t>Group’s</w:t>
      </w:r>
      <w:r w:rsidR="0013032F">
        <w:t xml:space="preserve"> </w:t>
      </w:r>
      <w:r>
        <w:t>Nexus</w:t>
      </w:r>
      <w:r w:rsidR="0013032F">
        <w:t xml:space="preserve"> </w:t>
      </w:r>
      <w:r>
        <w:t>project</w:t>
      </w:r>
      <w:r w:rsidR="0013032F">
        <w:t xml:space="preserve"> </w:t>
      </w:r>
      <w:r>
        <w:t>is</w:t>
      </w:r>
      <w:r w:rsidR="0013032F">
        <w:t xml:space="preserve"> </w:t>
      </w:r>
      <w:r>
        <w:t>one</w:t>
      </w:r>
      <w:r w:rsidR="0013032F">
        <w:t xml:space="preserve"> </w:t>
      </w:r>
      <w:r>
        <w:t>step</w:t>
      </w:r>
      <w:r w:rsidR="0013032F">
        <w:t xml:space="preserve"> </w:t>
      </w:r>
      <w:r>
        <w:t>closer</w:t>
      </w:r>
      <w:r w:rsidR="0013032F">
        <w:t xml:space="preserve"> </w:t>
      </w:r>
      <w:r>
        <w:t>after</w:t>
      </w:r>
      <w:r w:rsidR="0013032F">
        <w:t xml:space="preserve"> </w:t>
      </w:r>
      <w:r>
        <w:t>receiving</w:t>
      </w:r>
      <w:r w:rsidR="0013032F">
        <w:t xml:space="preserve"> </w:t>
      </w:r>
      <w:r>
        <w:t>$215,000</w:t>
      </w:r>
      <w:r w:rsidR="0013032F">
        <w:t xml:space="preserve"> </w:t>
      </w:r>
      <w:r>
        <w:t>through</w:t>
      </w:r>
      <w:r w:rsidR="0013032F">
        <w:t xml:space="preserve"> </w:t>
      </w:r>
      <w:r>
        <w:t>the</w:t>
      </w:r>
      <w:r w:rsidR="0013032F">
        <w:t xml:space="preserve"> </w:t>
      </w:r>
      <w:r>
        <w:t>Victorian</w:t>
      </w:r>
      <w:r w:rsidR="0013032F">
        <w:t xml:space="preserve"> </w:t>
      </w:r>
      <w:r>
        <w:t>Government’s</w:t>
      </w:r>
      <w:r w:rsidR="0013032F">
        <w:t xml:space="preserve"> </w:t>
      </w:r>
      <w:r>
        <w:t>Investment</w:t>
      </w:r>
      <w:r w:rsidR="0013032F">
        <w:t xml:space="preserve"> </w:t>
      </w:r>
      <w:r>
        <w:t>Fast-Track</w:t>
      </w:r>
      <w:r w:rsidR="0013032F">
        <w:t xml:space="preserve"> </w:t>
      </w:r>
      <w:r>
        <w:t>Fund</w:t>
      </w:r>
      <w:r w:rsidR="0013032F">
        <w:t xml:space="preserve"> </w:t>
      </w:r>
      <w:r>
        <w:t>towards</w:t>
      </w:r>
      <w:r w:rsidR="0013032F">
        <w:t xml:space="preserve"> </w:t>
      </w:r>
      <w:r>
        <w:t>preparing</w:t>
      </w:r>
      <w:r w:rsidR="0013032F">
        <w:t xml:space="preserve"> </w:t>
      </w:r>
      <w:r>
        <w:t>the</w:t>
      </w:r>
      <w:r w:rsidR="0013032F">
        <w:t xml:space="preserve"> </w:t>
      </w:r>
      <w:r>
        <w:t>design</w:t>
      </w:r>
      <w:r w:rsidR="0013032F">
        <w:t xml:space="preserve"> </w:t>
      </w:r>
      <w:r>
        <w:t>brief,</w:t>
      </w:r>
      <w:r w:rsidR="0013032F">
        <w:t xml:space="preserve"> </w:t>
      </w:r>
      <w:r>
        <w:t>construction</w:t>
      </w:r>
      <w:r w:rsidR="0013032F">
        <w:t xml:space="preserve"> </w:t>
      </w:r>
      <w:r>
        <w:t>costing</w:t>
      </w:r>
      <w:r w:rsidR="0013032F">
        <w:t xml:space="preserve"> </w:t>
      </w:r>
      <w:r>
        <w:t>and</w:t>
      </w:r>
      <w:r w:rsidR="0013032F">
        <w:t xml:space="preserve"> </w:t>
      </w:r>
      <w:r>
        <w:t>staging</w:t>
      </w:r>
    </w:p>
    <w:p w14:paraId="753F6845" w14:textId="0024CA02" w:rsidR="00757772" w:rsidRDefault="00305D3C" w:rsidP="00A71E06">
      <w:pPr>
        <w:pStyle w:val="Bullet"/>
      </w:pPr>
      <w:r>
        <w:t>The</w:t>
      </w:r>
      <w:r w:rsidR="0013032F">
        <w:t xml:space="preserve"> </w:t>
      </w:r>
      <w:r>
        <w:t>Australian</w:t>
      </w:r>
      <w:r w:rsidR="0013032F">
        <w:t xml:space="preserve"> </w:t>
      </w:r>
      <w:r>
        <w:t>and</w:t>
      </w:r>
      <w:r w:rsidR="0013032F">
        <w:t xml:space="preserve"> </w:t>
      </w:r>
      <w:r>
        <w:t>Victorian</w:t>
      </w:r>
      <w:r w:rsidR="0013032F">
        <w:t xml:space="preserve"> </w:t>
      </w:r>
      <w:r>
        <w:t>governments</w:t>
      </w:r>
      <w:r w:rsidR="0013032F">
        <w:t xml:space="preserve"> </w:t>
      </w:r>
      <w:r>
        <w:t>both</w:t>
      </w:r>
      <w:r w:rsidR="0013032F">
        <w:t xml:space="preserve"> </w:t>
      </w:r>
      <w:r>
        <w:t>confirmed</w:t>
      </w:r>
      <w:r w:rsidR="0013032F">
        <w:t xml:space="preserve"> </w:t>
      </w:r>
      <w:r>
        <w:t>funding</w:t>
      </w:r>
      <w:r w:rsidR="0013032F">
        <w:t xml:space="preserve"> </w:t>
      </w:r>
      <w:r>
        <w:t>for</w:t>
      </w:r>
      <w:r w:rsidR="0013032F">
        <w:t xml:space="preserve"> </w:t>
      </w:r>
      <w:r>
        <w:t>the</w:t>
      </w:r>
      <w:r w:rsidR="0013032F">
        <w:t xml:space="preserve"> </w:t>
      </w:r>
      <w:r>
        <w:t>estimated</w:t>
      </w:r>
      <w:r w:rsidR="0013032F">
        <w:t xml:space="preserve"> </w:t>
      </w:r>
      <w:r>
        <w:t>$3.3</w:t>
      </w:r>
      <w:r w:rsidR="0013032F">
        <w:t xml:space="preserve"> </w:t>
      </w:r>
      <w:r>
        <w:t>billion</w:t>
      </w:r>
      <w:r w:rsidR="0013032F">
        <w:t xml:space="preserve"> </w:t>
      </w:r>
      <w:r>
        <w:t>VNI</w:t>
      </w:r>
      <w:r w:rsidR="0013032F">
        <w:t xml:space="preserve"> </w:t>
      </w:r>
      <w:r>
        <w:rPr>
          <w:spacing w:val="-3"/>
        </w:rPr>
        <w:t>West</w:t>
      </w:r>
      <w:r w:rsidR="0013032F">
        <w:rPr>
          <w:spacing w:val="-3"/>
        </w:rPr>
        <w:t xml:space="preserve"> </w:t>
      </w:r>
      <w:r>
        <w:rPr>
          <w:spacing w:val="-3"/>
        </w:rPr>
        <w:t>project.</w:t>
      </w:r>
      <w:r w:rsidR="0013032F">
        <w:rPr>
          <w:spacing w:val="-3"/>
        </w:rPr>
        <w:t xml:space="preserve"> </w:t>
      </w:r>
      <w:r>
        <w:rPr>
          <w:spacing w:val="-3"/>
        </w:rPr>
        <w:t>VNI</w:t>
      </w:r>
      <w:r w:rsidR="0013032F">
        <w:rPr>
          <w:spacing w:val="-3"/>
        </w:rPr>
        <w:t xml:space="preserve"> </w:t>
      </w:r>
      <w:r>
        <w:rPr>
          <w:spacing w:val="-3"/>
        </w:rPr>
        <w:t>West</w:t>
      </w:r>
      <w:r w:rsidR="0013032F">
        <w:rPr>
          <w:spacing w:val="-3"/>
        </w:rPr>
        <w:t xml:space="preserve"> </w:t>
      </w:r>
      <w:r>
        <w:rPr>
          <w:spacing w:val="-3"/>
        </w:rPr>
        <w:t>is</w:t>
      </w:r>
      <w:r w:rsidR="0013032F">
        <w:rPr>
          <w:spacing w:val="-3"/>
        </w:rPr>
        <w:t xml:space="preserve"> </w:t>
      </w:r>
      <w:r>
        <w:rPr>
          <w:spacing w:val="-3"/>
        </w:rPr>
        <w:t>a</w:t>
      </w:r>
      <w:r w:rsidR="0013032F">
        <w:rPr>
          <w:spacing w:val="-3"/>
        </w:rPr>
        <w:t xml:space="preserve"> </w:t>
      </w:r>
      <w:r>
        <w:rPr>
          <w:spacing w:val="-3"/>
        </w:rPr>
        <w:t>proposed</w:t>
      </w:r>
      <w:r w:rsidR="0013032F">
        <w:rPr>
          <w:spacing w:val="-3"/>
        </w:rPr>
        <w:t xml:space="preserve"> </w:t>
      </w:r>
      <w:r>
        <w:rPr>
          <w:spacing w:val="-3"/>
        </w:rPr>
        <w:t>new,</w:t>
      </w:r>
      <w:r w:rsidR="0013032F">
        <w:rPr>
          <w:spacing w:val="-3"/>
        </w:rPr>
        <w:t xml:space="preserve"> </w:t>
      </w:r>
      <w:r>
        <w:rPr>
          <w:spacing w:val="-3"/>
        </w:rPr>
        <w:t>high</w:t>
      </w:r>
      <w:r w:rsidR="0013032F">
        <w:rPr>
          <w:spacing w:val="-3"/>
        </w:rPr>
        <w:t xml:space="preserve"> </w:t>
      </w:r>
      <w:r>
        <w:rPr>
          <w:spacing w:val="-3"/>
        </w:rPr>
        <w:t>capacity</w:t>
      </w:r>
      <w:r w:rsidR="0013032F">
        <w:rPr>
          <w:spacing w:val="-3"/>
        </w:rPr>
        <w:t xml:space="preserve"> </w:t>
      </w:r>
      <w:r>
        <w:t>500</w:t>
      </w:r>
      <w:r w:rsidR="0013032F">
        <w:t xml:space="preserve"> </w:t>
      </w:r>
      <w:r>
        <w:t>kV</w:t>
      </w:r>
      <w:r w:rsidR="0013032F">
        <w:t xml:space="preserve"> </w:t>
      </w:r>
      <w:r>
        <w:t>double-circuit</w:t>
      </w:r>
      <w:r w:rsidR="0013032F">
        <w:t xml:space="preserve"> </w:t>
      </w:r>
      <w:r>
        <w:t>overhead</w:t>
      </w:r>
      <w:r w:rsidR="0013032F">
        <w:t xml:space="preserve"> </w:t>
      </w:r>
      <w:r>
        <w:t>transmission</w:t>
      </w:r>
      <w:r w:rsidR="0013032F">
        <w:t xml:space="preserve"> </w:t>
      </w:r>
      <w:r>
        <w:t>line</w:t>
      </w:r>
      <w:r w:rsidR="0013032F">
        <w:t xml:space="preserve"> </w:t>
      </w:r>
      <w:r>
        <w:t>which</w:t>
      </w:r>
      <w:r w:rsidR="0013032F">
        <w:t xml:space="preserve"> </w:t>
      </w:r>
      <w:r>
        <w:t>will</w:t>
      </w:r>
      <w:r w:rsidR="0013032F">
        <w:t xml:space="preserve"> </w:t>
      </w:r>
      <w:r>
        <w:t>deliver</w:t>
      </w:r>
      <w:r w:rsidR="0013032F">
        <w:t xml:space="preserve"> </w:t>
      </w:r>
      <w:r>
        <w:t>vital</w:t>
      </w:r>
      <w:r w:rsidR="0013032F">
        <w:t xml:space="preserve"> </w:t>
      </w:r>
      <w:r>
        <w:t>new</w:t>
      </w:r>
      <w:r w:rsidR="0013032F">
        <w:t xml:space="preserve"> </w:t>
      </w:r>
      <w:r>
        <w:t>transmission</w:t>
      </w:r>
      <w:r w:rsidR="0013032F">
        <w:t xml:space="preserve"> </w:t>
      </w:r>
      <w:r>
        <w:t>infrastructure</w:t>
      </w:r>
      <w:r w:rsidR="0013032F">
        <w:t xml:space="preserve"> </w:t>
      </w:r>
      <w:r>
        <w:t>to</w:t>
      </w:r>
      <w:r w:rsidR="0013032F">
        <w:t xml:space="preserve"> </w:t>
      </w:r>
      <w:r>
        <w:t>carry</w:t>
      </w:r>
      <w:r w:rsidR="0013032F">
        <w:t xml:space="preserve"> </w:t>
      </w:r>
      <w:r>
        <w:t>renewable</w:t>
      </w:r>
      <w:r w:rsidR="0013032F">
        <w:t xml:space="preserve"> </w:t>
      </w:r>
      <w:r>
        <w:t>energy</w:t>
      </w:r>
      <w:r w:rsidR="0013032F">
        <w:t xml:space="preserve"> </w:t>
      </w:r>
      <w:r>
        <w:t>through</w:t>
      </w:r>
      <w:r w:rsidR="0013032F">
        <w:t xml:space="preserve"> </w:t>
      </w:r>
      <w:r>
        <w:t>Victoria</w:t>
      </w:r>
    </w:p>
    <w:p w14:paraId="1C900618" w14:textId="76802A9D" w:rsidR="00757772" w:rsidRDefault="00305D3C" w:rsidP="00A71E06">
      <w:pPr>
        <w:pStyle w:val="Bullet"/>
      </w:pPr>
      <w:r>
        <w:rPr>
          <w:spacing w:val="-3"/>
        </w:rPr>
        <w:t>The</w:t>
      </w:r>
      <w:r w:rsidR="0013032F">
        <w:rPr>
          <w:spacing w:val="-3"/>
        </w:rPr>
        <w:t xml:space="preserve"> </w:t>
      </w:r>
      <w:r>
        <w:rPr>
          <w:spacing w:val="-3"/>
        </w:rPr>
        <w:t>Regional</w:t>
      </w:r>
      <w:r w:rsidR="0013032F">
        <w:rPr>
          <w:spacing w:val="-3"/>
        </w:rPr>
        <w:t xml:space="preserve"> </w:t>
      </w:r>
      <w:r>
        <w:rPr>
          <w:spacing w:val="-3"/>
        </w:rPr>
        <w:t>Partnership</w:t>
      </w:r>
      <w:r w:rsidR="0013032F">
        <w:rPr>
          <w:spacing w:val="-3"/>
        </w:rPr>
        <w:t xml:space="preserve"> </w:t>
      </w:r>
      <w:r>
        <w:rPr>
          <w:spacing w:val="-3"/>
        </w:rPr>
        <w:t>Development</w:t>
      </w:r>
      <w:r w:rsidR="0013032F">
        <w:rPr>
          <w:spacing w:val="-3"/>
        </w:rPr>
        <w:t xml:space="preserve"> </w:t>
      </w:r>
      <w:r>
        <w:rPr>
          <w:spacing w:val="-3"/>
        </w:rPr>
        <w:t>Fund</w:t>
      </w:r>
      <w:r w:rsidR="0013032F">
        <w:rPr>
          <w:spacing w:val="-3"/>
        </w:rPr>
        <w:t xml:space="preserve"> </w:t>
      </w:r>
      <w:r>
        <w:rPr>
          <w:spacing w:val="-3"/>
        </w:rPr>
        <w:t>provided</w:t>
      </w:r>
      <w:r w:rsidR="0013032F">
        <w:t xml:space="preserve"> </w:t>
      </w:r>
      <w:r>
        <w:t>funding</w:t>
      </w:r>
      <w:r w:rsidR="0013032F">
        <w:t xml:space="preserve"> </w:t>
      </w:r>
      <w:r>
        <w:t>of</w:t>
      </w:r>
      <w:r w:rsidR="0013032F">
        <w:t xml:space="preserve"> </w:t>
      </w:r>
      <w:r>
        <w:t>$211,000</w:t>
      </w:r>
      <w:r w:rsidR="0013032F">
        <w:t xml:space="preserve"> </w:t>
      </w:r>
      <w:r>
        <w:t>for</w:t>
      </w:r>
      <w:r w:rsidR="0013032F">
        <w:t xml:space="preserve"> </w:t>
      </w:r>
      <w:r>
        <w:t>a</w:t>
      </w:r>
      <w:r w:rsidR="0013032F">
        <w:t xml:space="preserve"> </w:t>
      </w:r>
      <w:r>
        <w:t>joint</w:t>
      </w:r>
      <w:r w:rsidR="0013032F">
        <w:t xml:space="preserve"> </w:t>
      </w:r>
      <w:r>
        <w:t>project</w:t>
      </w:r>
      <w:r w:rsidR="0013032F">
        <w:t xml:space="preserve"> </w:t>
      </w:r>
      <w:r>
        <w:t>between</w:t>
      </w:r>
      <w:r w:rsidR="0013032F">
        <w:t xml:space="preserve"> </w:t>
      </w:r>
      <w:r>
        <w:t>the</w:t>
      </w:r>
      <w:r w:rsidR="0013032F">
        <w:t xml:space="preserve"> </w:t>
      </w:r>
      <w:r>
        <w:t>Mallee,</w:t>
      </w:r>
      <w:r w:rsidR="0013032F">
        <w:t xml:space="preserve"> </w:t>
      </w:r>
      <w:r>
        <w:t>Loddon</w:t>
      </w:r>
      <w:r w:rsidR="0013032F">
        <w:t xml:space="preserve"> </w:t>
      </w:r>
      <w:r>
        <w:t>Campaspe</w:t>
      </w:r>
      <w:r w:rsidR="0013032F">
        <w:t xml:space="preserve"> </w:t>
      </w:r>
      <w:r>
        <w:t>and</w:t>
      </w:r>
      <w:r w:rsidR="0013032F">
        <w:t xml:space="preserve"> </w:t>
      </w:r>
      <w:r>
        <w:t>the</w:t>
      </w:r>
      <w:r w:rsidR="0013032F">
        <w:t xml:space="preserve"> </w:t>
      </w:r>
      <w:r>
        <w:t>Wimmera</w:t>
      </w:r>
      <w:r w:rsidR="0013032F">
        <w:t xml:space="preserve"> </w:t>
      </w:r>
      <w:r>
        <w:t>Southern</w:t>
      </w:r>
      <w:r w:rsidR="0013032F">
        <w:t xml:space="preserve"> </w:t>
      </w:r>
      <w:r>
        <w:t>Mallee</w:t>
      </w:r>
      <w:r w:rsidR="0013032F">
        <w:t xml:space="preserve"> </w:t>
      </w:r>
      <w:r>
        <w:t>Regional</w:t>
      </w:r>
      <w:r w:rsidR="0013032F">
        <w:t xml:space="preserve"> </w:t>
      </w:r>
      <w:r>
        <w:t>Partnerships</w:t>
      </w:r>
      <w:r w:rsidR="0013032F">
        <w:t xml:space="preserve"> </w:t>
      </w:r>
      <w:r>
        <w:t>to</w:t>
      </w:r>
      <w:r w:rsidR="0013032F">
        <w:t xml:space="preserve"> </w:t>
      </w:r>
      <w:r>
        <w:t>work</w:t>
      </w:r>
      <w:r w:rsidR="0013032F">
        <w:t xml:space="preserve"> </w:t>
      </w:r>
      <w:r>
        <w:t>through</w:t>
      </w:r>
      <w:r w:rsidR="0013032F">
        <w:t xml:space="preserve"> </w:t>
      </w:r>
      <w:r>
        <w:t>ways</w:t>
      </w:r>
      <w:r w:rsidR="0013032F">
        <w:t xml:space="preserve"> </w:t>
      </w:r>
      <w:r>
        <w:t>of</w:t>
      </w:r>
      <w:r w:rsidR="0013032F">
        <w:t xml:space="preserve"> </w:t>
      </w:r>
      <w:r>
        <w:t>providing</w:t>
      </w:r>
      <w:r w:rsidR="0013032F">
        <w:t xml:space="preserve"> </w:t>
      </w:r>
      <w:r>
        <w:t>childcare</w:t>
      </w:r>
      <w:r w:rsidR="0013032F">
        <w:t xml:space="preserve"> </w:t>
      </w:r>
      <w:r>
        <w:t>in</w:t>
      </w:r>
      <w:r w:rsidR="0013032F">
        <w:t xml:space="preserve"> </w:t>
      </w:r>
      <w:r>
        <w:t>approximately</w:t>
      </w:r>
      <w:r w:rsidR="0013032F">
        <w:t xml:space="preserve"> </w:t>
      </w:r>
      <w:r>
        <w:t>10</w:t>
      </w:r>
      <w:r w:rsidR="0013032F">
        <w:t xml:space="preserve"> </w:t>
      </w:r>
      <w:r>
        <w:t>locations</w:t>
      </w:r>
      <w:r w:rsidR="0013032F">
        <w:t xml:space="preserve"> </w:t>
      </w:r>
      <w:r>
        <w:t>across</w:t>
      </w:r>
      <w:r w:rsidR="0013032F">
        <w:t xml:space="preserve"> </w:t>
      </w:r>
      <w:r>
        <w:t>the</w:t>
      </w:r>
      <w:r w:rsidR="0013032F">
        <w:t xml:space="preserve"> </w:t>
      </w:r>
      <w:r>
        <w:t>northwest</w:t>
      </w:r>
      <w:r w:rsidR="0013032F">
        <w:t xml:space="preserve"> </w:t>
      </w:r>
      <w:r>
        <w:t>of</w:t>
      </w:r>
      <w:r w:rsidR="0013032F">
        <w:t xml:space="preserve"> </w:t>
      </w:r>
      <w:r>
        <w:t>Victoria</w:t>
      </w:r>
    </w:p>
    <w:p w14:paraId="5C469744" w14:textId="7678F899" w:rsidR="00757772" w:rsidRDefault="00305D3C" w:rsidP="00A71E06">
      <w:pPr>
        <w:pStyle w:val="Bullet"/>
      </w:pPr>
      <w:r>
        <w:t>A</w:t>
      </w:r>
      <w:r w:rsidR="0013032F">
        <w:t xml:space="preserve"> </w:t>
      </w:r>
      <w:r>
        <w:t>further</w:t>
      </w:r>
      <w:r w:rsidR="0013032F">
        <w:t xml:space="preserve"> </w:t>
      </w:r>
      <w:r>
        <w:t>$50,000</w:t>
      </w:r>
      <w:r w:rsidR="0013032F">
        <w:t xml:space="preserve"> </w:t>
      </w:r>
      <w:r>
        <w:t>of</w:t>
      </w:r>
      <w:r w:rsidR="0013032F">
        <w:t xml:space="preserve"> </w:t>
      </w:r>
      <w:r>
        <w:t>Regional</w:t>
      </w:r>
      <w:r w:rsidR="0013032F">
        <w:t xml:space="preserve"> </w:t>
      </w:r>
      <w:r>
        <w:t>Partnership</w:t>
      </w:r>
      <w:r w:rsidR="0013032F">
        <w:t xml:space="preserve"> </w:t>
      </w:r>
      <w:r>
        <w:t>Development</w:t>
      </w:r>
      <w:r w:rsidR="0013032F">
        <w:t xml:space="preserve"> </w:t>
      </w:r>
      <w:r>
        <w:t>Funds</w:t>
      </w:r>
      <w:r w:rsidR="0013032F">
        <w:t xml:space="preserve"> </w:t>
      </w:r>
      <w:r>
        <w:t>was</w:t>
      </w:r>
      <w:r w:rsidR="0013032F">
        <w:t xml:space="preserve"> </w:t>
      </w:r>
      <w:r>
        <w:t>se</w:t>
      </w:r>
      <w:r>
        <w:t>cured</w:t>
      </w:r>
      <w:r w:rsidR="0013032F">
        <w:t xml:space="preserve"> </w:t>
      </w:r>
      <w:r>
        <w:t>to</w:t>
      </w:r>
      <w:r w:rsidR="0013032F">
        <w:t xml:space="preserve"> </w:t>
      </w:r>
      <w:r>
        <w:t>help</w:t>
      </w:r>
      <w:r w:rsidR="0013032F">
        <w:t xml:space="preserve"> </w:t>
      </w:r>
      <w:r>
        <w:t>develop</w:t>
      </w:r>
      <w:r w:rsidR="0013032F">
        <w:t xml:space="preserve"> </w:t>
      </w:r>
      <w:r>
        <w:t>green</w:t>
      </w:r>
      <w:r w:rsidR="0013032F">
        <w:t xml:space="preserve"> </w:t>
      </w:r>
      <w:r>
        <w:t>hydrogen</w:t>
      </w:r>
      <w:r w:rsidR="0013032F">
        <w:t xml:space="preserve"> </w:t>
      </w:r>
      <w:r>
        <w:t>opportunities</w:t>
      </w:r>
      <w:r w:rsidR="0013032F">
        <w:t xml:space="preserve"> </w:t>
      </w:r>
      <w:r>
        <w:t>in</w:t>
      </w:r>
      <w:r w:rsidR="0013032F">
        <w:t xml:space="preserve"> </w:t>
      </w:r>
      <w:r>
        <w:t>the</w:t>
      </w:r>
      <w:r w:rsidR="0013032F">
        <w:t xml:space="preserve"> </w:t>
      </w:r>
      <w:r>
        <w:t>Mallee.</w:t>
      </w:r>
      <w:r w:rsidR="0013032F">
        <w:t xml:space="preserve"> </w:t>
      </w:r>
      <w:r>
        <w:t>This</w:t>
      </w:r>
      <w:r w:rsidR="0013032F">
        <w:t xml:space="preserve"> </w:t>
      </w:r>
      <w:r>
        <w:t>work</w:t>
      </w:r>
      <w:r w:rsidR="0013032F">
        <w:t xml:space="preserve"> </w:t>
      </w:r>
      <w:r>
        <w:t>will</w:t>
      </w:r>
      <w:r w:rsidR="0013032F">
        <w:t xml:space="preserve"> </w:t>
      </w:r>
      <w:r>
        <w:t>detail</w:t>
      </w:r>
      <w:r w:rsidR="0013032F">
        <w:t xml:space="preserve"> </w:t>
      </w:r>
      <w:r>
        <w:t>consortia</w:t>
      </w:r>
      <w:r w:rsidR="0013032F">
        <w:t xml:space="preserve"> </w:t>
      </w:r>
      <w:r>
        <w:t>to</w:t>
      </w:r>
      <w:r w:rsidR="0013032F">
        <w:t xml:space="preserve"> </w:t>
      </w:r>
      <w:r>
        <w:t>take</w:t>
      </w:r>
      <w:r w:rsidR="0013032F">
        <w:t xml:space="preserve"> </w:t>
      </w:r>
      <w:r>
        <w:t>forward</w:t>
      </w:r>
      <w:r w:rsidR="0013032F">
        <w:t xml:space="preserve"> </w:t>
      </w:r>
      <w:r>
        <w:t>a</w:t>
      </w:r>
      <w:r w:rsidR="0013032F">
        <w:t xml:space="preserve"> </w:t>
      </w:r>
      <w:r>
        <w:t>logistics</w:t>
      </w:r>
      <w:r w:rsidR="0013032F">
        <w:t xml:space="preserve"> </w:t>
      </w:r>
      <w:r>
        <w:t>sector</w:t>
      </w:r>
      <w:r w:rsidR="0013032F">
        <w:t xml:space="preserve"> </w:t>
      </w:r>
      <w:r>
        <w:t>project</w:t>
      </w:r>
      <w:r w:rsidR="0013032F">
        <w:t xml:space="preserve"> </w:t>
      </w:r>
      <w:r>
        <w:t>utilising</w:t>
      </w:r>
      <w:r w:rsidR="0013032F">
        <w:t xml:space="preserve"> </w:t>
      </w:r>
      <w:r>
        <w:t>hydrogen</w:t>
      </w:r>
      <w:r w:rsidR="0013032F">
        <w:t xml:space="preserve"> </w:t>
      </w:r>
      <w:r>
        <w:t>and</w:t>
      </w:r>
      <w:r w:rsidR="0013032F">
        <w:t xml:space="preserve"> </w:t>
      </w:r>
      <w:r>
        <w:t>confirm</w:t>
      </w:r>
      <w:r w:rsidR="0013032F">
        <w:t xml:space="preserve"> </w:t>
      </w:r>
      <w:r>
        <w:t>the</w:t>
      </w:r>
      <w:r w:rsidR="0013032F">
        <w:t xml:space="preserve"> </w:t>
      </w:r>
      <w:r>
        <w:t>viability</w:t>
      </w:r>
      <w:r w:rsidR="0013032F">
        <w:t xml:space="preserve"> </w:t>
      </w:r>
      <w:r>
        <w:t>of</w:t>
      </w:r>
      <w:r w:rsidR="0013032F">
        <w:t xml:space="preserve"> </w:t>
      </w:r>
      <w:r>
        <w:t>another</w:t>
      </w:r>
      <w:r w:rsidR="0013032F">
        <w:t xml:space="preserve"> </w:t>
      </w:r>
      <w:r>
        <w:t>proposal</w:t>
      </w:r>
      <w:r w:rsidR="0013032F">
        <w:t xml:space="preserve"> </w:t>
      </w:r>
      <w:r>
        <w:t>to</w:t>
      </w:r>
      <w:r w:rsidR="0013032F">
        <w:t xml:space="preserve"> </w:t>
      </w:r>
      <w:r>
        <w:t>realise</w:t>
      </w:r>
      <w:r w:rsidR="0013032F">
        <w:t xml:space="preserve"> </w:t>
      </w:r>
      <w:r>
        <w:t>the</w:t>
      </w:r>
      <w:r w:rsidR="0013032F">
        <w:t xml:space="preserve"> </w:t>
      </w:r>
      <w:r>
        <w:t>production</w:t>
      </w:r>
      <w:r w:rsidR="0013032F">
        <w:t xml:space="preserve"> </w:t>
      </w:r>
      <w:r>
        <w:t>of</w:t>
      </w:r>
      <w:r w:rsidR="0013032F">
        <w:t xml:space="preserve"> </w:t>
      </w:r>
      <w:r>
        <w:t>green</w:t>
      </w:r>
      <w:r w:rsidR="0013032F">
        <w:t xml:space="preserve"> </w:t>
      </w:r>
      <w:r>
        <w:t>ammonium</w:t>
      </w:r>
      <w:r w:rsidR="0013032F">
        <w:t xml:space="preserve"> </w:t>
      </w:r>
      <w:r>
        <w:t>fertilisers</w:t>
      </w:r>
      <w:r w:rsidR="0013032F">
        <w:t xml:space="preserve"> </w:t>
      </w:r>
      <w:r>
        <w:t>within</w:t>
      </w:r>
      <w:r w:rsidR="0013032F">
        <w:t xml:space="preserve"> </w:t>
      </w:r>
      <w:r>
        <w:t>the</w:t>
      </w:r>
      <w:r w:rsidR="0013032F">
        <w:t xml:space="preserve"> </w:t>
      </w:r>
      <w:r>
        <w:t>region</w:t>
      </w:r>
    </w:p>
    <w:p w14:paraId="1B25EFA9" w14:textId="3AAE98B0" w:rsidR="00757772" w:rsidRPr="00A71E06" w:rsidRDefault="00305D3C" w:rsidP="00A71E06">
      <w:pPr>
        <w:pStyle w:val="Bulletlast"/>
        <w:rPr>
          <w:rFonts w:ascii="VIC Medium" w:hAnsi="VIC Medium" w:cs="VIC Medium"/>
          <w:caps/>
          <w:color w:val="333740"/>
        </w:rPr>
      </w:pPr>
      <w:r>
        <w:t>Provided</w:t>
      </w:r>
      <w:r w:rsidR="0013032F">
        <w:t xml:space="preserve"> </w:t>
      </w:r>
      <w:r>
        <w:t>support</w:t>
      </w:r>
      <w:r w:rsidR="0013032F">
        <w:t xml:space="preserve"> </w:t>
      </w:r>
      <w:r>
        <w:t>to</w:t>
      </w:r>
      <w:r w:rsidR="0013032F">
        <w:t xml:space="preserve"> </w:t>
      </w:r>
      <w:proofErr w:type="spellStart"/>
      <w:r>
        <w:t>Buloke</w:t>
      </w:r>
      <w:proofErr w:type="spellEnd"/>
      <w:r w:rsidR="0013032F">
        <w:t xml:space="preserve"> </w:t>
      </w:r>
      <w:r>
        <w:t>Shire</w:t>
      </w:r>
      <w:r w:rsidR="0013032F">
        <w:t xml:space="preserve"> </w:t>
      </w:r>
      <w:r>
        <w:t>through</w:t>
      </w:r>
      <w:r w:rsidR="0013032F">
        <w:t xml:space="preserve"> </w:t>
      </w:r>
      <w:r>
        <w:t>the</w:t>
      </w:r>
      <w:r w:rsidR="0013032F">
        <w:t xml:space="preserve"> </w:t>
      </w:r>
      <w:r>
        <w:t>Victorian</w:t>
      </w:r>
      <w:r w:rsidR="0013032F">
        <w:t xml:space="preserve"> </w:t>
      </w:r>
      <w:r>
        <w:t>Government’s</w:t>
      </w:r>
      <w:r w:rsidR="0013032F">
        <w:t xml:space="preserve"> </w:t>
      </w:r>
      <w:r>
        <w:t>Small</w:t>
      </w:r>
      <w:r w:rsidR="0013032F">
        <w:t xml:space="preserve"> </w:t>
      </w:r>
      <w:r>
        <w:t>Town</w:t>
      </w:r>
      <w:r w:rsidR="0013032F">
        <w:t xml:space="preserve"> </w:t>
      </w:r>
      <w:r>
        <w:t>Big</w:t>
      </w:r>
      <w:r w:rsidR="0013032F">
        <w:t xml:space="preserve"> </w:t>
      </w:r>
      <w:r>
        <w:t>Difference</w:t>
      </w:r>
      <w:r w:rsidR="0013032F">
        <w:t xml:space="preserve"> </w:t>
      </w:r>
      <w:r>
        <w:t>Fund</w:t>
      </w:r>
      <w:r w:rsidR="0013032F">
        <w:t xml:space="preserve"> </w:t>
      </w:r>
      <w:r>
        <w:t>which</w:t>
      </w:r>
      <w:r w:rsidR="0013032F">
        <w:t xml:space="preserve"> </w:t>
      </w:r>
      <w:r>
        <w:t>distributed</w:t>
      </w:r>
      <w:r w:rsidR="0013032F">
        <w:t xml:space="preserve"> </w:t>
      </w:r>
      <w:r>
        <w:t>$120,000</w:t>
      </w:r>
      <w:r w:rsidR="0013032F">
        <w:t xml:space="preserve"> </w:t>
      </w:r>
      <w:r>
        <w:t>of</w:t>
      </w:r>
      <w:r w:rsidR="0013032F">
        <w:t xml:space="preserve"> </w:t>
      </w:r>
      <w:r>
        <w:t>funding</w:t>
      </w:r>
      <w:r w:rsidR="0013032F">
        <w:t xml:space="preserve"> </w:t>
      </w:r>
      <w:r>
        <w:t>to</w:t>
      </w:r>
      <w:r w:rsidR="0013032F">
        <w:t xml:space="preserve"> </w:t>
      </w:r>
      <w:r>
        <w:t>smaller</w:t>
      </w:r>
      <w:r w:rsidR="0013032F">
        <w:t xml:space="preserve"> </w:t>
      </w:r>
      <w:r>
        <w:t>community-based</w:t>
      </w:r>
      <w:r w:rsidR="0013032F">
        <w:t xml:space="preserve"> </w:t>
      </w:r>
      <w:r>
        <w:t>projects.</w:t>
      </w:r>
      <w:r w:rsidR="0013032F">
        <w:t xml:space="preserve"> </w:t>
      </w:r>
      <w:r>
        <w:t>Funding</w:t>
      </w:r>
      <w:r w:rsidR="0013032F">
        <w:t xml:space="preserve"> </w:t>
      </w:r>
      <w:r>
        <w:t>for</w:t>
      </w:r>
      <w:r w:rsidR="0013032F">
        <w:t xml:space="preserve"> </w:t>
      </w:r>
      <w:r>
        <w:t>these</w:t>
      </w:r>
      <w:r w:rsidR="0013032F">
        <w:t xml:space="preserve"> </w:t>
      </w:r>
      <w:r>
        <w:t>activities</w:t>
      </w:r>
      <w:r w:rsidR="0013032F">
        <w:t xml:space="preserve"> </w:t>
      </w:r>
      <w:r>
        <w:t>was</w:t>
      </w:r>
      <w:r w:rsidR="0013032F">
        <w:t xml:space="preserve"> </w:t>
      </w:r>
      <w:r>
        <w:t>provided</w:t>
      </w:r>
      <w:r w:rsidR="0013032F">
        <w:t xml:space="preserve"> </w:t>
      </w:r>
      <w:r>
        <w:t>by</w:t>
      </w:r>
      <w:r w:rsidR="0013032F">
        <w:t xml:space="preserve"> </w:t>
      </w:r>
      <w:r>
        <w:t>community</w:t>
      </w:r>
      <w:r w:rsidR="0013032F">
        <w:t xml:space="preserve"> </w:t>
      </w:r>
      <w:r>
        <w:t>banks,</w:t>
      </w:r>
      <w:r w:rsidR="0013032F">
        <w:t xml:space="preserve"> </w:t>
      </w:r>
      <w:r>
        <w:t>local</w:t>
      </w:r>
      <w:r w:rsidR="0013032F">
        <w:t xml:space="preserve"> </w:t>
      </w:r>
      <w:r>
        <w:t>government</w:t>
      </w:r>
      <w:r w:rsidR="0013032F">
        <w:t xml:space="preserve"> </w:t>
      </w:r>
      <w:r>
        <w:t>and</w:t>
      </w:r>
      <w:r w:rsidR="0013032F">
        <w:t xml:space="preserve"> </w:t>
      </w:r>
      <w:r>
        <w:t>the</w:t>
      </w:r>
      <w:r w:rsidR="0013032F">
        <w:t xml:space="preserve"> </w:t>
      </w:r>
      <w:r>
        <w:t>Victorian</w:t>
      </w:r>
      <w:r w:rsidR="0013032F">
        <w:t xml:space="preserve"> </w:t>
      </w:r>
      <w:r>
        <w:t>Government.</w:t>
      </w:r>
      <w:r w:rsidR="0013032F">
        <w:t xml:space="preserve"> </w:t>
      </w:r>
    </w:p>
    <w:p w14:paraId="57246B55" w14:textId="19372EB3" w:rsidR="00A71E06" w:rsidRDefault="00A71E06" w:rsidP="00A71E06">
      <w:pPr>
        <w:pStyle w:val="Bullet"/>
      </w:pPr>
      <w:r>
        <w:t>95,001</w:t>
      </w:r>
      <w:r>
        <w:t xml:space="preserve"> </w:t>
      </w:r>
      <w:r>
        <w:t>Population (2022)</w:t>
      </w:r>
    </w:p>
    <w:p w14:paraId="75074AD0" w14:textId="0E12D37B" w:rsidR="00A71E06" w:rsidRDefault="00A71E06" w:rsidP="00A71E06">
      <w:pPr>
        <w:pStyle w:val="Bullet"/>
      </w:pPr>
      <w:r>
        <w:t>3.2%</w:t>
      </w:r>
      <w:r>
        <w:t xml:space="preserve"> </w:t>
      </w:r>
      <w:r>
        <w:t>Population growth (2022–2036)</w:t>
      </w:r>
    </w:p>
    <w:p w14:paraId="0347C8CA" w14:textId="3D99E4E8" w:rsidR="00A71E06" w:rsidRDefault="00A71E06" w:rsidP="00A71E06">
      <w:pPr>
        <w:pStyle w:val="Bulletlast"/>
      </w:pPr>
      <w:r>
        <w:t>$5.9B</w:t>
      </w:r>
      <w:r>
        <w:t xml:space="preserve"> </w:t>
      </w:r>
      <w:r>
        <w:t>Gross Regional Product (2022)</w:t>
      </w:r>
    </w:p>
    <w:p w14:paraId="1967E5B6" w14:textId="5C3DF3FE" w:rsidR="00757772" w:rsidRPr="00F22F9E" w:rsidRDefault="00305D3C" w:rsidP="00A71E06">
      <w:pPr>
        <w:pStyle w:val="Heading2"/>
      </w:pPr>
      <w:bookmarkStart w:id="23" w:name="_Toc149566569"/>
      <w:r w:rsidRPr="00F22F9E">
        <w:t>Case</w:t>
      </w:r>
      <w:r w:rsidR="0013032F">
        <w:t xml:space="preserve"> </w:t>
      </w:r>
      <w:r w:rsidRPr="00F22F9E">
        <w:t>study:</w:t>
      </w:r>
      <w:bookmarkEnd w:id="23"/>
    </w:p>
    <w:p w14:paraId="41E43D40" w14:textId="3665F05C" w:rsidR="00757772" w:rsidRPr="00A71E06" w:rsidRDefault="00305D3C" w:rsidP="00A71E06">
      <w:pPr>
        <w:pStyle w:val="Normalbeforebullets"/>
        <w:rPr>
          <w:b/>
          <w:bCs/>
        </w:rPr>
      </w:pPr>
      <w:r w:rsidRPr="00A71E06">
        <w:rPr>
          <w:b/>
          <w:bCs/>
        </w:rPr>
        <w:t>Improved</w:t>
      </w:r>
      <w:r w:rsidR="0013032F" w:rsidRPr="00A71E06">
        <w:rPr>
          <w:b/>
          <w:bCs/>
        </w:rPr>
        <w:t xml:space="preserve"> </w:t>
      </w:r>
      <w:r w:rsidRPr="00A71E06">
        <w:rPr>
          <w:b/>
          <w:bCs/>
        </w:rPr>
        <w:t>models</w:t>
      </w:r>
      <w:r w:rsidR="0013032F" w:rsidRPr="00A71E06">
        <w:rPr>
          <w:b/>
          <w:bCs/>
        </w:rPr>
        <w:t xml:space="preserve"> </w:t>
      </w:r>
      <w:r w:rsidRPr="00A71E06">
        <w:rPr>
          <w:b/>
          <w:bCs/>
        </w:rPr>
        <w:t>of</w:t>
      </w:r>
      <w:r w:rsidR="0013032F" w:rsidRPr="00A71E06">
        <w:rPr>
          <w:b/>
          <w:bCs/>
        </w:rPr>
        <w:t xml:space="preserve"> </w:t>
      </w:r>
      <w:r w:rsidRPr="00A71E06">
        <w:rPr>
          <w:b/>
          <w:bCs/>
        </w:rPr>
        <w:t>childcare</w:t>
      </w:r>
      <w:r w:rsidR="0013032F" w:rsidRPr="00A71E06">
        <w:rPr>
          <w:b/>
          <w:bCs/>
        </w:rPr>
        <w:t xml:space="preserve"> </w:t>
      </w:r>
      <w:r w:rsidRPr="00A71E06">
        <w:rPr>
          <w:b/>
          <w:bCs/>
        </w:rPr>
        <w:t>in</w:t>
      </w:r>
      <w:r w:rsidR="0013032F" w:rsidRPr="00A71E06">
        <w:rPr>
          <w:b/>
          <w:bCs/>
        </w:rPr>
        <w:t xml:space="preserve"> </w:t>
      </w:r>
      <w:r w:rsidRPr="00A71E06">
        <w:rPr>
          <w:b/>
          <w:bCs/>
        </w:rPr>
        <w:t>rural</w:t>
      </w:r>
      <w:r w:rsidR="0013032F" w:rsidRPr="00A71E06">
        <w:rPr>
          <w:b/>
          <w:bCs/>
        </w:rPr>
        <w:t xml:space="preserve"> </w:t>
      </w:r>
      <w:r w:rsidRPr="00A71E06">
        <w:rPr>
          <w:b/>
          <w:bCs/>
        </w:rPr>
        <w:t>areas</w:t>
      </w:r>
    </w:p>
    <w:p w14:paraId="6C0E9AB0" w14:textId="260BF696" w:rsidR="00757772" w:rsidRPr="00A71E06" w:rsidRDefault="00305D3C" w:rsidP="00A71E06">
      <w:r w:rsidRPr="00A71E06">
        <w:t>In</w:t>
      </w:r>
      <w:r w:rsidR="0013032F" w:rsidRPr="00A71E06">
        <w:t xml:space="preserve"> </w:t>
      </w:r>
      <w:r w:rsidRPr="00A71E06">
        <w:t>sparsely</w:t>
      </w:r>
      <w:r w:rsidR="0013032F" w:rsidRPr="00A71E06">
        <w:t xml:space="preserve"> </w:t>
      </w:r>
      <w:r w:rsidRPr="00A71E06">
        <w:t>populated</w:t>
      </w:r>
      <w:r w:rsidR="0013032F" w:rsidRPr="00A71E06">
        <w:t xml:space="preserve"> </w:t>
      </w:r>
      <w:r w:rsidRPr="00A71E06">
        <w:t>areas</w:t>
      </w:r>
      <w:r w:rsidR="0013032F" w:rsidRPr="00A71E06">
        <w:t xml:space="preserve"> </w:t>
      </w:r>
      <w:r w:rsidRPr="00A71E06">
        <w:t>of</w:t>
      </w:r>
      <w:r w:rsidR="0013032F" w:rsidRPr="00A71E06">
        <w:t xml:space="preserve"> </w:t>
      </w:r>
      <w:r w:rsidRPr="00A71E06">
        <w:t>the</w:t>
      </w:r>
      <w:r w:rsidR="0013032F" w:rsidRPr="00A71E06">
        <w:t xml:space="preserve"> </w:t>
      </w:r>
      <w:r w:rsidRPr="00A71E06">
        <w:t>state,</w:t>
      </w:r>
      <w:r w:rsidR="0013032F" w:rsidRPr="00A71E06">
        <w:t xml:space="preserve"> </w:t>
      </w:r>
      <w:r w:rsidRPr="00A71E06">
        <w:t>thin</w:t>
      </w:r>
      <w:r w:rsidR="0013032F" w:rsidRPr="00A71E06">
        <w:t xml:space="preserve"> </w:t>
      </w:r>
      <w:r w:rsidRPr="00A71E06">
        <w:t>markets</w:t>
      </w:r>
      <w:r w:rsidR="0013032F" w:rsidRPr="00A71E06">
        <w:t xml:space="preserve"> </w:t>
      </w:r>
      <w:r w:rsidRPr="00A71E06">
        <w:t>make</w:t>
      </w:r>
      <w:r w:rsidR="0013032F" w:rsidRPr="00A71E06">
        <w:t xml:space="preserve"> </w:t>
      </w:r>
      <w:r w:rsidRPr="00A71E06">
        <w:t>it</w:t>
      </w:r>
      <w:r w:rsidR="0013032F" w:rsidRPr="00A71E06">
        <w:t xml:space="preserve"> </w:t>
      </w:r>
      <w:r w:rsidRPr="00A71E06">
        <w:t>unattrac</w:t>
      </w:r>
      <w:r w:rsidRPr="00A71E06">
        <w:t>tive</w:t>
      </w:r>
      <w:r w:rsidR="0013032F" w:rsidRPr="00A71E06">
        <w:t xml:space="preserve"> </w:t>
      </w:r>
      <w:r w:rsidRPr="00A71E06">
        <w:t>for</w:t>
      </w:r>
      <w:r w:rsidR="0013032F" w:rsidRPr="00A71E06">
        <w:t xml:space="preserve"> </w:t>
      </w:r>
      <w:r w:rsidRPr="00A71E06">
        <w:t>commercial</w:t>
      </w:r>
      <w:r w:rsidR="0013032F" w:rsidRPr="00A71E06">
        <w:t xml:space="preserve"> </w:t>
      </w:r>
      <w:r w:rsidRPr="00A71E06">
        <w:t>childcare</w:t>
      </w:r>
      <w:r w:rsidR="0013032F" w:rsidRPr="00A71E06">
        <w:t xml:space="preserve"> </w:t>
      </w:r>
      <w:r w:rsidRPr="00A71E06">
        <w:t>providers.</w:t>
      </w:r>
      <w:r w:rsidR="0013032F" w:rsidRPr="00A71E06">
        <w:t xml:space="preserve"> </w:t>
      </w:r>
      <w:r w:rsidRPr="00A71E06">
        <w:t>Where</w:t>
      </w:r>
      <w:r w:rsidR="0013032F" w:rsidRPr="00A71E06">
        <w:t xml:space="preserve"> </w:t>
      </w:r>
      <w:r w:rsidRPr="00A71E06">
        <w:t>childcare</w:t>
      </w:r>
      <w:r w:rsidR="0013032F" w:rsidRPr="00A71E06">
        <w:t xml:space="preserve"> </w:t>
      </w:r>
      <w:r w:rsidRPr="00A71E06">
        <w:t>does</w:t>
      </w:r>
      <w:r w:rsidR="0013032F" w:rsidRPr="00A71E06">
        <w:t xml:space="preserve"> </w:t>
      </w:r>
      <w:r w:rsidRPr="00A71E06">
        <w:t>exist,</w:t>
      </w:r>
      <w:r w:rsidR="0013032F" w:rsidRPr="00A71E06">
        <w:t xml:space="preserve"> </w:t>
      </w:r>
      <w:r w:rsidRPr="00A71E06">
        <w:t>it</w:t>
      </w:r>
      <w:r w:rsidR="0013032F" w:rsidRPr="00A71E06">
        <w:t xml:space="preserve"> </w:t>
      </w:r>
      <w:r w:rsidRPr="00A71E06">
        <w:t>is</w:t>
      </w:r>
      <w:r w:rsidR="0013032F" w:rsidRPr="00A71E06">
        <w:t xml:space="preserve"> </w:t>
      </w:r>
      <w:r w:rsidRPr="00A71E06">
        <w:t>usually</w:t>
      </w:r>
      <w:r w:rsidR="0013032F" w:rsidRPr="00A71E06">
        <w:t xml:space="preserve"> </w:t>
      </w:r>
      <w:r w:rsidRPr="00A71E06">
        <w:t>due</w:t>
      </w:r>
      <w:r w:rsidR="0013032F" w:rsidRPr="00A71E06">
        <w:t xml:space="preserve"> </w:t>
      </w:r>
      <w:r w:rsidRPr="00A71E06">
        <w:t>to</w:t>
      </w:r>
      <w:r w:rsidR="0013032F" w:rsidRPr="00A71E06">
        <w:t xml:space="preserve"> </w:t>
      </w:r>
      <w:r w:rsidRPr="00A71E06">
        <w:t>substantial</w:t>
      </w:r>
      <w:r w:rsidR="0013032F" w:rsidRPr="00A71E06">
        <w:t xml:space="preserve"> </w:t>
      </w:r>
      <w:r w:rsidRPr="00A71E06">
        <w:t>subsidies</w:t>
      </w:r>
      <w:r w:rsidR="0013032F" w:rsidRPr="00A71E06">
        <w:t xml:space="preserve"> </w:t>
      </w:r>
      <w:r w:rsidRPr="00A71E06">
        <w:t>from</w:t>
      </w:r>
      <w:r w:rsidR="0013032F" w:rsidRPr="00A71E06">
        <w:t xml:space="preserve"> </w:t>
      </w:r>
      <w:r w:rsidRPr="00A71E06">
        <w:t>local</w:t>
      </w:r>
      <w:r w:rsidR="0013032F" w:rsidRPr="00A71E06">
        <w:t xml:space="preserve"> </w:t>
      </w:r>
      <w:r w:rsidRPr="00A71E06">
        <w:t>government.</w:t>
      </w:r>
      <w:r w:rsidR="0013032F" w:rsidRPr="00A71E06">
        <w:t xml:space="preserve"> </w:t>
      </w:r>
    </w:p>
    <w:p w14:paraId="075134FF" w14:textId="24FB86F5" w:rsidR="00757772" w:rsidRPr="00A71E06" w:rsidRDefault="00305D3C" w:rsidP="00224485">
      <w:pPr>
        <w:keepLines/>
      </w:pPr>
      <w:r w:rsidRPr="00A71E06">
        <w:lastRenderedPageBreak/>
        <w:t>By</w:t>
      </w:r>
      <w:r w:rsidR="0013032F" w:rsidRPr="00A71E06">
        <w:t xml:space="preserve"> </w:t>
      </w:r>
      <w:r w:rsidRPr="00A71E06">
        <w:t>co-locating</w:t>
      </w:r>
      <w:r w:rsidR="0013032F" w:rsidRPr="00A71E06">
        <w:t xml:space="preserve"> </w:t>
      </w:r>
      <w:r w:rsidRPr="00A71E06">
        <w:t>and</w:t>
      </w:r>
      <w:r w:rsidR="0013032F" w:rsidRPr="00A71E06">
        <w:t xml:space="preserve"> </w:t>
      </w:r>
      <w:r w:rsidRPr="00A71E06">
        <w:t>integrating</w:t>
      </w:r>
      <w:r w:rsidR="0013032F" w:rsidRPr="00A71E06">
        <w:t xml:space="preserve"> </w:t>
      </w:r>
      <w:r w:rsidRPr="00A71E06">
        <w:t>early</w:t>
      </w:r>
      <w:r w:rsidR="0013032F" w:rsidRPr="00A71E06">
        <w:t xml:space="preserve"> </w:t>
      </w:r>
      <w:r w:rsidRPr="00A71E06">
        <w:t>years</w:t>
      </w:r>
      <w:r w:rsidR="0013032F" w:rsidRPr="00A71E06">
        <w:t xml:space="preserve"> </w:t>
      </w:r>
      <w:r w:rsidRPr="00A71E06">
        <w:t>services</w:t>
      </w:r>
      <w:r w:rsidR="0013032F" w:rsidRPr="00A71E06">
        <w:t xml:space="preserve"> </w:t>
      </w:r>
      <w:r w:rsidRPr="00A71E06">
        <w:t>–</w:t>
      </w:r>
      <w:r w:rsidR="0013032F" w:rsidRPr="00A71E06">
        <w:t xml:space="preserve"> </w:t>
      </w:r>
      <w:r w:rsidRPr="00A71E06">
        <w:t>such</w:t>
      </w:r>
      <w:r w:rsidR="0013032F" w:rsidRPr="00A71E06">
        <w:t xml:space="preserve"> </w:t>
      </w:r>
      <w:r w:rsidRPr="00A71E06">
        <w:t>as</w:t>
      </w:r>
      <w:r w:rsidR="0013032F" w:rsidRPr="00A71E06">
        <w:t xml:space="preserve"> </w:t>
      </w:r>
      <w:r w:rsidRPr="00A71E06">
        <w:t>childcare,</w:t>
      </w:r>
      <w:r w:rsidR="0013032F" w:rsidRPr="00A71E06">
        <w:t xml:space="preserve"> </w:t>
      </w:r>
      <w:r w:rsidRPr="00A71E06">
        <w:t>kindergartens,</w:t>
      </w:r>
      <w:r w:rsidR="0013032F" w:rsidRPr="00A71E06">
        <w:t xml:space="preserve"> </w:t>
      </w:r>
      <w:r w:rsidRPr="00A71E06">
        <w:t>primary</w:t>
      </w:r>
      <w:r w:rsidR="0013032F" w:rsidRPr="00A71E06">
        <w:t xml:space="preserve"> </w:t>
      </w:r>
      <w:r w:rsidRPr="00A71E06">
        <w:t>schools</w:t>
      </w:r>
      <w:r w:rsidR="0013032F" w:rsidRPr="00A71E06">
        <w:t xml:space="preserve"> </w:t>
      </w:r>
      <w:r w:rsidRPr="00A71E06">
        <w:t>and</w:t>
      </w:r>
      <w:r w:rsidR="0013032F" w:rsidRPr="00A71E06">
        <w:t xml:space="preserve"> </w:t>
      </w:r>
      <w:r w:rsidRPr="00A71E06">
        <w:t>maternal</w:t>
      </w:r>
      <w:r w:rsidR="0013032F" w:rsidRPr="00A71E06">
        <w:t xml:space="preserve"> </w:t>
      </w:r>
      <w:r w:rsidRPr="00A71E06">
        <w:t>and</w:t>
      </w:r>
      <w:r w:rsidR="0013032F" w:rsidRPr="00A71E06">
        <w:t xml:space="preserve"> </w:t>
      </w:r>
      <w:r w:rsidRPr="00A71E06">
        <w:t>child</w:t>
      </w:r>
      <w:r w:rsidR="0013032F" w:rsidRPr="00A71E06">
        <w:t xml:space="preserve"> </w:t>
      </w:r>
      <w:r w:rsidRPr="00A71E06">
        <w:t>health</w:t>
      </w:r>
      <w:r w:rsidR="0013032F" w:rsidRPr="00A71E06">
        <w:t xml:space="preserve"> </w:t>
      </w:r>
      <w:r w:rsidRPr="00A71E06">
        <w:t>services</w:t>
      </w:r>
      <w:r w:rsidR="0013032F" w:rsidRPr="00A71E06">
        <w:t xml:space="preserve"> </w:t>
      </w:r>
      <w:r w:rsidRPr="00A71E06">
        <w:t>–</w:t>
      </w:r>
      <w:r w:rsidR="0013032F" w:rsidRPr="00A71E06">
        <w:t xml:space="preserve"> </w:t>
      </w:r>
      <w:r w:rsidRPr="00A71E06">
        <w:t>there</w:t>
      </w:r>
      <w:r w:rsidR="0013032F" w:rsidRPr="00A71E06">
        <w:t xml:space="preserve"> </w:t>
      </w:r>
      <w:r w:rsidRPr="00A71E06">
        <w:t>is</w:t>
      </w:r>
      <w:r w:rsidR="0013032F" w:rsidRPr="00A71E06">
        <w:t xml:space="preserve"> </w:t>
      </w:r>
      <w:r w:rsidRPr="00A71E06">
        <w:t>an</w:t>
      </w:r>
      <w:r w:rsidR="0013032F" w:rsidRPr="00A71E06">
        <w:t xml:space="preserve"> </w:t>
      </w:r>
      <w:r w:rsidRPr="00A71E06">
        <w:t>opportunity</w:t>
      </w:r>
      <w:r w:rsidR="0013032F" w:rsidRPr="00A71E06">
        <w:t xml:space="preserve"> </w:t>
      </w:r>
      <w:r w:rsidRPr="00A71E06">
        <w:t>to</w:t>
      </w:r>
      <w:r w:rsidR="0013032F" w:rsidRPr="00A71E06">
        <w:t xml:space="preserve"> </w:t>
      </w:r>
      <w:r w:rsidRPr="00A71E06">
        <w:t>share</w:t>
      </w:r>
      <w:r w:rsidR="0013032F" w:rsidRPr="00A71E06">
        <w:t xml:space="preserve"> </w:t>
      </w:r>
      <w:r w:rsidRPr="00A71E06">
        <w:t>premises</w:t>
      </w:r>
      <w:r w:rsidR="0013032F" w:rsidRPr="00A71E06">
        <w:t xml:space="preserve"> </w:t>
      </w:r>
      <w:r w:rsidRPr="00A71E06">
        <w:t>that</w:t>
      </w:r>
      <w:r w:rsidR="0013032F" w:rsidRPr="00A71E06">
        <w:t xml:space="preserve"> </w:t>
      </w:r>
      <w:r w:rsidRPr="00A71E06">
        <w:t>allows</w:t>
      </w:r>
      <w:r w:rsidR="0013032F" w:rsidRPr="00A71E06">
        <w:t xml:space="preserve"> </w:t>
      </w:r>
      <w:r w:rsidRPr="00A71E06">
        <w:t>for</w:t>
      </w:r>
      <w:r w:rsidR="0013032F" w:rsidRPr="00A71E06">
        <w:t xml:space="preserve"> </w:t>
      </w:r>
      <w:r w:rsidRPr="00A71E06">
        <w:t>cost</w:t>
      </w:r>
      <w:r w:rsidR="0013032F" w:rsidRPr="00A71E06">
        <w:t xml:space="preserve"> </w:t>
      </w:r>
      <w:r w:rsidRPr="00A71E06">
        <w:t>savings.</w:t>
      </w:r>
      <w:r w:rsidR="0013032F" w:rsidRPr="00A71E06">
        <w:t xml:space="preserve"> </w:t>
      </w:r>
      <w:r w:rsidRPr="00A71E06">
        <w:t>Additional</w:t>
      </w:r>
      <w:r w:rsidR="0013032F" w:rsidRPr="00A71E06">
        <w:t xml:space="preserve"> </w:t>
      </w:r>
      <w:r w:rsidRPr="00A71E06">
        <w:t>benefits</w:t>
      </w:r>
      <w:r w:rsidR="0013032F" w:rsidRPr="00A71E06">
        <w:t xml:space="preserve"> </w:t>
      </w:r>
      <w:r w:rsidRPr="00A71E06">
        <w:t>of</w:t>
      </w:r>
      <w:r w:rsidR="0013032F" w:rsidRPr="00A71E06">
        <w:t xml:space="preserve"> </w:t>
      </w:r>
      <w:r w:rsidRPr="00A71E06">
        <w:t>integrating</w:t>
      </w:r>
      <w:r w:rsidR="0013032F" w:rsidRPr="00A71E06">
        <w:t xml:space="preserve"> </w:t>
      </w:r>
      <w:r w:rsidRPr="00A71E06">
        <w:t>services</w:t>
      </w:r>
      <w:r w:rsidR="0013032F" w:rsidRPr="00A71E06">
        <w:t xml:space="preserve"> </w:t>
      </w:r>
      <w:r w:rsidRPr="00A71E06">
        <w:t>are</w:t>
      </w:r>
      <w:r w:rsidR="0013032F" w:rsidRPr="00A71E06">
        <w:t xml:space="preserve"> </w:t>
      </w:r>
      <w:r w:rsidRPr="00A71E06">
        <w:t>the</w:t>
      </w:r>
      <w:r w:rsidR="0013032F" w:rsidRPr="00A71E06">
        <w:t xml:space="preserve"> </w:t>
      </w:r>
      <w:r w:rsidRPr="00A71E06">
        <w:t>continuity</w:t>
      </w:r>
      <w:r w:rsidR="0013032F" w:rsidRPr="00A71E06">
        <w:t xml:space="preserve"> </w:t>
      </w:r>
      <w:r w:rsidRPr="00A71E06">
        <w:t>it</w:t>
      </w:r>
      <w:r w:rsidR="0013032F" w:rsidRPr="00A71E06">
        <w:t xml:space="preserve"> </w:t>
      </w:r>
      <w:r w:rsidRPr="00A71E06">
        <w:t>provides</w:t>
      </w:r>
      <w:r w:rsidR="0013032F" w:rsidRPr="00A71E06">
        <w:t xml:space="preserve"> </w:t>
      </w:r>
      <w:r w:rsidRPr="00A71E06">
        <w:t>and</w:t>
      </w:r>
      <w:r w:rsidR="0013032F" w:rsidRPr="00A71E06">
        <w:t xml:space="preserve"> </w:t>
      </w:r>
      <w:r w:rsidRPr="00A71E06">
        <w:t>the</w:t>
      </w:r>
      <w:r w:rsidR="0013032F" w:rsidRPr="00A71E06">
        <w:t xml:space="preserve"> </w:t>
      </w:r>
      <w:r w:rsidRPr="00A71E06">
        <w:t>provision</w:t>
      </w:r>
      <w:r w:rsidR="0013032F" w:rsidRPr="00A71E06">
        <w:t xml:space="preserve"> </w:t>
      </w:r>
      <w:r w:rsidRPr="00A71E06">
        <w:t>of</w:t>
      </w:r>
      <w:r w:rsidR="0013032F" w:rsidRPr="00A71E06">
        <w:t xml:space="preserve"> </w:t>
      </w:r>
      <w:r w:rsidRPr="00A71E06">
        <w:t>a</w:t>
      </w:r>
      <w:r w:rsidR="0013032F" w:rsidRPr="00A71E06">
        <w:t xml:space="preserve"> </w:t>
      </w:r>
      <w:r w:rsidRPr="00A71E06">
        <w:t>collaborative</w:t>
      </w:r>
      <w:r w:rsidR="0013032F" w:rsidRPr="00A71E06">
        <w:t xml:space="preserve"> </w:t>
      </w:r>
      <w:r w:rsidRPr="00A71E06">
        <w:t>and</w:t>
      </w:r>
      <w:r w:rsidR="0013032F" w:rsidRPr="00A71E06">
        <w:t xml:space="preserve"> </w:t>
      </w:r>
      <w:r w:rsidRPr="00A71E06">
        <w:t>family-centric</w:t>
      </w:r>
      <w:r w:rsidR="0013032F" w:rsidRPr="00A71E06">
        <w:t xml:space="preserve"> </w:t>
      </w:r>
      <w:r w:rsidRPr="00A71E06">
        <w:t>setting.</w:t>
      </w:r>
    </w:p>
    <w:p w14:paraId="516AD335" w14:textId="74E0C3FD" w:rsidR="00757772" w:rsidRPr="00A71E06" w:rsidRDefault="00305D3C" w:rsidP="00A71E06">
      <w:r w:rsidRPr="00A71E06">
        <w:t>The</w:t>
      </w:r>
      <w:r w:rsidR="0013032F" w:rsidRPr="00A71E06">
        <w:t xml:space="preserve"> </w:t>
      </w:r>
      <w:r w:rsidRPr="00A71E06">
        <w:t>Mallee,</w:t>
      </w:r>
      <w:r w:rsidR="0013032F" w:rsidRPr="00A71E06">
        <w:t xml:space="preserve"> </w:t>
      </w:r>
      <w:r w:rsidRPr="00A71E06">
        <w:t>Loddon</w:t>
      </w:r>
      <w:r w:rsidR="0013032F" w:rsidRPr="00A71E06">
        <w:t xml:space="preserve"> </w:t>
      </w:r>
      <w:r w:rsidRPr="00A71E06">
        <w:t>Campaspe</w:t>
      </w:r>
      <w:r w:rsidR="0013032F" w:rsidRPr="00A71E06">
        <w:t xml:space="preserve"> </w:t>
      </w:r>
      <w:r w:rsidRPr="00A71E06">
        <w:t>and</w:t>
      </w:r>
      <w:r w:rsidR="0013032F" w:rsidRPr="00A71E06">
        <w:t xml:space="preserve"> </w:t>
      </w:r>
      <w:r w:rsidRPr="00A71E06">
        <w:t>Wimmera</w:t>
      </w:r>
      <w:r w:rsidR="0013032F" w:rsidRPr="00A71E06">
        <w:t xml:space="preserve"> </w:t>
      </w:r>
      <w:r w:rsidRPr="00A71E06">
        <w:t>Southern</w:t>
      </w:r>
      <w:r w:rsidR="0013032F" w:rsidRPr="00A71E06">
        <w:t xml:space="preserve"> </w:t>
      </w:r>
      <w:r w:rsidRPr="00A71E06">
        <w:t>Mallee</w:t>
      </w:r>
      <w:r w:rsidR="0013032F" w:rsidRPr="00A71E06">
        <w:t xml:space="preserve"> </w:t>
      </w:r>
      <w:r w:rsidRPr="00A71E06">
        <w:t>Regional</w:t>
      </w:r>
      <w:r w:rsidR="0013032F" w:rsidRPr="00A71E06">
        <w:t xml:space="preserve"> </w:t>
      </w:r>
      <w:r w:rsidRPr="00A71E06">
        <w:t>Partnerships</w:t>
      </w:r>
      <w:r w:rsidR="0013032F" w:rsidRPr="00A71E06">
        <w:t xml:space="preserve"> </w:t>
      </w:r>
      <w:r w:rsidRPr="00A71E06">
        <w:t>are</w:t>
      </w:r>
      <w:r w:rsidR="0013032F" w:rsidRPr="00A71E06">
        <w:t xml:space="preserve"> </w:t>
      </w:r>
      <w:r w:rsidRPr="00A71E06">
        <w:t>working</w:t>
      </w:r>
      <w:r w:rsidR="0013032F" w:rsidRPr="00A71E06">
        <w:t xml:space="preserve"> </w:t>
      </w:r>
      <w:r w:rsidRPr="00A71E06">
        <w:t>together</w:t>
      </w:r>
      <w:r w:rsidR="0013032F" w:rsidRPr="00A71E06">
        <w:t xml:space="preserve"> </w:t>
      </w:r>
      <w:r w:rsidRPr="00A71E06">
        <w:t>to</w:t>
      </w:r>
      <w:r w:rsidR="0013032F" w:rsidRPr="00A71E06">
        <w:t xml:space="preserve"> </w:t>
      </w:r>
      <w:r w:rsidRPr="00A71E06">
        <w:t>find</w:t>
      </w:r>
      <w:r w:rsidR="0013032F" w:rsidRPr="00A71E06">
        <w:t xml:space="preserve"> </w:t>
      </w:r>
      <w:r w:rsidRPr="00A71E06">
        <w:t>models</w:t>
      </w:r>
      <w:r w:rsidR="0013032F" w:rsidRPr="00A71E06">
        <w:t xml:space="preserve"> </w:t>
      </w:r>
      <w:r w:rsidRPr="00A71E06">
        <w:t>of</w:t>
      </w:r>
      <w:r w:rsidR="0013032F" w:rsidRPr="00A71E06">
        <w:t xml:space="preserve"> </w:t>
      </w:r>
      <w:r w:rsidRPr="00A71E06">
        <w:t>childcare</w:t>
      </w:r>
      <w:r w:rsidR="0013032F" w:rsidRPr="00A71E06">
        <w:t xml:space="preserve"> </w:t>
      </w:r>
      <w:r w:rsidRPr="00A71E06">
        <w:t>that</w:t>
      </w:r>
      <w:r w:rsidR="0013032F" w:rsidRPr="00A71E06">
        <w:t xml:space="preserve"> </w:t>
      </w:r>
      <w:r w:rsidRPr="00A71E06">
        <w:t>are</w:t>
      </w:r>
      <w:r w:rsidR="0013032F" w:rsidRPr="00A71E06">
        <w:t xml:space="preserve"> </w:t>
      </w:r>
      <w:r w:rsidRPr="00A71E06">
        <w:t>viable</w:t>
      </w:r>
      <w:r w:rsidR="0013032F" w:rsidRPr="00A71E06">
        <w:t xml:space="preserve"> </w:t>
      </w:r>
      <w:r w:rsidRPr="00A71E06">
        <w:t>for</w:t>
      </w:r>
      <w:r w:rsidR="0013032F" w:rsidRPr="00A71E06">
        <w:t xml:space="preserve"> </w:t>
      </w:r>
      <w:r w:rsidRPr="00A71E06">
        <w:t>10</w:t>
      </w:r>
      <w:r w:rsidR="0013032F" w:rsidRPr="00A71E06">
        <w:t xml:space="preserve"> </w:t>
      </w:r>
      <w:r w:rsidRPr="00A71E06">
        <w:t>locations</w:t>
      </w:r>
      <w:r w:rsidR="0013032F" w:rsidRPr="00A71E06">
        <w:t xml:space="preserve"> </w:t>
      </w:r>
      <w:r w:rsidRPr="00A71E06">
        <w:t>throughout</w:t>
      </w:r>
      <w:r w:rsidR="0013032F" w:rsidRPr="00A71E06">
        <w:t xml:space="preserve"> </w:t>
      </w:r>
      <w:r w:rsidRPr="00A71E06">
        <w:t>rural</w:t>
      </w:r>
      <w:r w:rsidR="0013032F" w:rsidRPr="00A71E06">
        <w:t xml:space="preserve"> </w:t>
      </w:r>
      <w:r w:rsidRPr="00A71E06">
        <w:t>areas</w:t>
      </w:r>
      <w:r w:rsidR="0013032F" w:rsidRPr="00A71E06">
        <w:t xml:space="preserve"> </w:t>
      </w:r>
      <w:r w:rsidRPr="00A71E06">
        <w:t>of</w:t>
      </w:r>
      <w:r w:rsidR="0013032F" w:rsidRPr="00A71E06">
        <w:t xml:space="preserve"> </w:t>
      </w:r>
      <w:r w:rsidRPr="00A71E06">
        <w:t>northwest</w:t>
      </w:r>
      <w:r w:rsidR="0013032F" w:rsidRPr="00A71E06">
        <w:t xml:space="preserve"> </w:t>
      </w:r>
      <w:r w:rsidRPr="00A71E06">
        <w:t>Victoria</w:t>
      </w:r>
      <w:r w:rsidR="0013032F" w:rsidRPr="00A71E06">
        <w:t xml:space="preserve"> </w:t>
      </w:r>
      <w:r w:rsidRPr="00A71E06">
        <w:t>once</w:t>
      </w:r>
      <w:r w:rsidR="0013032F" w:rsidRPr="00A71E06">
        <w:t xml:space="preserve"> </w:t>
      </w:r>
      <w:r w:rsidRPr="00A71E06">
        <w:t>funding</w:t>
      </w:r>
      <w:r w:rsidR="0013032F" w:rsidRPr="00A71E06">
        <w:t xml:space="preserve"> </w:t>
      </w:r>
      <w:r w:rsidRPr="00A71E06">
        <w:t>is</w:t>
      </w:r>
      <w:r w:rsidR="0013032F" w:rsidRPr="00A71E06">
        <w:t xml:space="preserve"> </w:t>
      </w:r>
      <w:r w:rsidRPr="00A71E06">
        <w:t>secured.</w:t>
      </w:r>
    </w:p>
    <w:p w14:paraId="0A35776B" w14:textId="3A32A483" w:rsidR="00757772" w:rsidRDefault="00305D3C" w:rsidP="00A71E06">
      <w:pPr>
        <w:pStyle w:val="Heading2"/>
      </w:pPr>
      <w:bookmarkStart w:id="24" w:name="_Toc149566570"/>
      <w:r>
        <w:t>Loddon</w:t>
      </w:r>
      <w:r w:rsidR="0013032F">
        <w:t xml:space="preserve"> </w:t>
      </w:r>
      <w:r>
        <w:t>Campaspe</w:t>
      </w:r>
      <w:bookmarkEnd w:id="24"/>
    </w:p>
    <w:p w14:paraId="4032EB35" w14:textId="4EB3F149" w:rsidR="00757772" w:rsidRDefault="00305D3C" w:rsidP="00A71E06">
      <w:r>
        <w:t>The</w:t>
      </w:r>
      <w:r w:rsidR="0013032F">
        <w:t xml:space="preserve"> </w:t>
      </w:r>
      <w:r>
        <w:t>Loddon</w:t>
      </w:r>
      <w:r w:rsidR="0013032F">
        <w:t xml:space="preserve"> </w:t>
      </w:r>
      <w:r>
        <w:t>Campaspe</w:t>
      </w:r>
      <w:r w:rsidR="0013032F">
        <w:t xml:space="preserve"> </w:t>
      </w:r>
      <w:r>
        <w:t>Region</w:t>
      </w:r>
      <w:r>
        <w:t>al</w:t>
      </w:r>
      <w:r w:rsidR="0013032F">
        <w:t xml:space="preserve"> </w:t>
      </w:r>
      <w:r>
        <w:t>Partnership</w:t>
      </w:r>
      <w:r w:rsidR="0013032F">
        <w:t xml:space="preserve"> </w:t>
      </w:r>
      <w:r>
        <w:t>(LCRP)</w:t>
      </w:r>
      <w:r w:rsidR="0013032F">
        <w:t xml:space="preserve"> </w:t>
      </w:r>
      <w:r>
        <w:t>continued</w:t>
      </w:r>
      <w:r w:rsidR="0013032F">
        <w:t xml:space="preserve"> </w:t>
      </w:r>
      <w:r>
        <w:t>to</w:t>
      </w:r>
      <w:r w:rsidR="0013032F">
        <w:t xml:space="preserve"> </w:t>
      </w:r>
      <w:r>
        <w:t>focus</w:t>
      </w:r>
      <w:r w:rsidR="0013032F">
        <w:t xml:space="preserve"> </w:t>
      </w:r>
      <w:r>
        <w:t>on</w:t>
      </w:r>
      <w:r w:rsidR="0013032F">
        <w:t xml:space="preserve"> </w:t>
      </w:r>
      <w:r>
        <w:t>the</w:t>
      </w:r>
      <w:r w:rsidR="0013032F">
        <w:t xml:space="preserve"> </w:t>
      </w:r>
      <w:r>
        <w:t>region’s</w:t>
      </w:r>
      <w:r w:rsidR="0013032F">
        <w:t xml:space="preserve"> </w:t>
      </w:r>
      <w:r>
        <w:t>diverse</w:t>
      </w:r>
      <w:r w:rsidR="0013032F">
        <w:t xml:space="preserve"> </w:t>
      </w:r>
      <w:r>
        <w:t>population</w:t>
      </w:r>
      <w:r w:rsidR="0013032F">
        <w:t xml:space="preserve"> </w:t>
      </w:r>
      <w:r>
        <w:t>and</w:t>
      </w:r>
      <w:r w:rsidR="0013032F">
        <w:t xml:space="preserve"> </w:t>
      </w:r>
      <w:r>
        <w:t>buoyant</w:t>
      </w:r>
      <w:r w:rsidR="0013032F">
        <w:t xml:space="preserve"> </w:t>
      </w:r>
      <w:r>
        <w:t>economy</w:t>
      </w:r>
      <w:r w:rsidR="0013032F">
        <w:t xml:space="preserve"> </w:t>
      </w:r>
      <w:r>
        <w:t>based</w:t>
      </w:r>
      <w:r w:rsidR="0013032F">
        <w:t xml:space="preserve"> </w:t>
      </w:r>
      <w:r>
        <w:t>on</w:t>
      </w:r>
      <w:r w:rsidR="0013032F">
        <w:t xml:space="preserve"> </w:t>
      </w:r>
      <w:r>
        <w:t>agriculture,</w:t>
      </w:r>
      <w:r w:rsidR="0013032F">
        <w:t xml:space="preserve"> </w:t>
      </w:r>
      <w:r>
        <w:t>health,</w:t>
      </w:r>
      <w:r w:rsidR="0013032F">
        <w:t xml:space="preserve"> </w:t>
      </w:r>
      <w:r>
        <w:t>professional</w:t>
      </w:r>
      <w:r w:rsidR="0013032F">
        <w:t xml:space="preserve"> </w:t>
      </w:r>
      <w:r>
        <w:t>services,</w:t>
      </w:r>
      <w:r w:rsidR="0013032F">
        <w:t xml:space="preserve"> </w:t>
      </w:r>
      <w:r>
        <w:t>education</w:t>
      </w:r>
      <w:r w:rsidR="0013032F">
        <w:t xml:space="preserve"> </w:t>
      </w:r>
      <w:r>
        <w:t>and</w:t>
      </w:r>
      <w:r w:rsidR="0013032F">
        <w:t xml:space="preserve"> </w:t>
      </w:r>
      <w:r>
        <w:t>manufacturing.</w:t>
      </w:r>
      <w:r w:rsidR="0013032F">
        <w:t xml:space="preserve"> </w:t>
      </w:r>
    </w:p>
    <w:p w14:paraId="7C7637F4" w14:textId="6F07098C" w:rsidR="00757772" w:rsidRDefault="00305D3C" w:rsidP="00A71E06">
      <w:pPr>
        <w:pStyle w:val="Heading3"/>
      </w:pPr>
      <w:r>
        <w:t>Regional</w:t>
      </w:r>
      <w:r w:rsidR="0013032F">
        <w:t xml:space="preserve"> </w:t>
      </w:r>
      <w:r>
        <w:t>priorities:</w:t>
      </w:r>
    </w:p>
    <w:p w14:paraId="5E4D7477" w14:textId="3284EA06" w:rsidR="00757772" w:rsidRDefault="00305D3C" w:rsidP="00224485">
      <w:pPr>
        <w:pStyle w:val="Bullet"/>
      </w:pPr>
      <w:r w:rsidRPr="00224485">
        <w:rPr>
          <w:b/>
          <w:bCs/>
        </w:rPr>
        <w:t>Healthy</w:t>
      </w:r>
      <w:r w:rsidR="0013032F" w:rsidRPr="00224485">
        <w:rPr>
          <w:b/>
          <w:bCs/>
        </w:rPr>
        <w:t xml:space="preserve"> </w:t>
      </w:r>
      <w:r w:rsidRPr="00224485">
        <w:rPr>
          <w:b/>
          <w:bCs/>
        </w:rPr>
        <w:t>Loddon</w:t>
      </w:r>
      <w:r w:rsidR="0013032F" w:rsidRPr="00224485">
        <w:rPr>
          <w:b/>
          <w:bCs/>
        </w:rPr>
        <w:t xml:space="preserve"> </w:t>
      </w:r>
      <w:r w:rsidRPr="00224485">
        <w:rPr>
          <w:b/>
          <w:bCs/>
        </w:rPr>
        <w:t>Campaspe</w:t>
      </w:r>
      <w:r w:rsidR="0013032F">
        <w:t xml:space="preserve"> </w:t>
      </w:r>
      <w:r>
        <w:t>–</w:t>
      </w:r>
      <w:r w:rsidR="0013032F">
        <w:t xml:space="preserve"> </w:t>
      </w:r>
      <w:r>
        <w:t>The</w:t>
      </w:r>
      <w:r w:rsidR="0013032F">
        <w:t xml:space="preserve"> </w:t>
      </w:r>
      <w:r>
        <w:t>LCRP</w:t>
      </w:r>
      <w:r w:rsidR="0013032F">
        <w:t xml:space="preserve"> </w:t>
      </w:r>
      <w:r>
        <w:t>successfully</w:t>
      </w:r>
      <w:r w:rsidR="0013032F">
        <w:t xml:space="preserve"> </w:t>
      </w:r>
      <w:r>
        <w:t>advocated</w:t>
      </w:r>
      <w:r w:rsidR="0013032F">
        <w:t xml:space="preserve"> </w:t>
      </w:r>
      <w:r>
        <w:t>for</w:t>
      </w:r>
      <w:r w:rsidR="0013032F">
        <w:t xml:space="preserve"> </w:t>
      </w:r>
      <w:r>
        <w:t>the</w:t>
      </w:r>
      <w:r w:rsidR="0013032F">
        <w:t xml:space="preserve"> </w:t>
      </w:r>
      <w:r>
        <w:t>continuation</w:t>
      </w:r>
      <w:r w:rsidR="0013032F">
        <w:t xml:space="preserve"> </w:t>
      </w:r>
      <w:r>
        <w:t>of</w:t>
      </w:r>
      <w:r w:rsidR="0013032F">
        <w:t xml:space="preserve"> </w:t>
      </w:r>
      <w:r>
        <w:t>funding</w:t>
      </w:r>
      <w:r w:rsidR="0013032F">
        <w:t xml:space="preserve"> </w:t>
      </w:r>
      <w:r>
        <w:t>for</w:t>
      </w:r>
      <w:r w:rsidR="0013032F">
        <w:t xml:space="preserve"> </w:t>
      </w:r>
      <w:r>
        <w:t>the</w:t>
      </w:r>
      <w:r w:rsidR="0013032F">
        <w:t xml:space="preserve"> </w:t>
      </w:r>
      <w:r>
        <w:t>Healthy</w:t>
      </w:r>
      <w:r w:rsidR="0013032F">
        <w:t xml:space="preserve"> </w:t>
      </w:r>
      <w:r>
        <w:t>Loddon</w:t>
      </w:r>
      <w:r w:rsidR="0013032F">
        <w:t xml:space="preserve"> </w:t>
      </w:r>
      <w:r>
        <w:t>Campaspe</w:t>
      </w:r>
      <w:r w:rsidR="0013032F">
        <w:t xml:space="preserve"> </w:t>
      </w:r>
      <w:r>
        <w:t>initiative.</w:t>
      </w:r>
      <w:r w:rsidR="0013032F">
        <w:t xml:space="preserve"> </w:t>
      </w:r>
      <w:r>
        <w:t>$6.6</w:t>
      </w:r>
      <w:r w:rsidR="0013032F">
        <w:t xml:space="preserve"> </w:t>
      </w:r>
      <w:r>
        <w:t>million</w:t>
      </w:r>
      <w:r w:rsidR="0013032F">
        <w:t xml:space="preserve"> </w:t>
      </w:r>
      <w:r>
        <w:t>was</w:t>
      </w:r>
      <w:r w:rsidR="0013032F">
        <w:t xml:space="preserve"> </w:t>
      </w:r>
      <w:r>
        <w:t>provided</w:t>
      </w:r>
      <w:r w:rsidR="0013032F">
        <w:t xml:space="preserve"> </w:t>
      </w:r>
      <w:r>
        <w:t>to</w:t>
      </w:r>
      <w:r w:rsidR="0013032F">
        <w:t xml:space="preserve"> </w:t>
      </w:r>
      <w:r>
        <w:t>continue</w:t>
      </w:r>
      <w:r w:rsidR="0013032F">
        <w:t xml:space="preserve"> </w:t>
      </w:r>
      <w:r>
        <w:t>the</w:t>
      </w:r>
      <w:r w:rsidR="0013032F">
        <w:t xml:space="preserve"> </w:t>
      </w:r>
      <w:r>
        <w:t>good</w:t>
      </w:r>
      <w:r w:rsidR="0013032F">
        <w:t xml:space="preserve"> </w:t>
      </w:r>
      <w:r>
        <w:t>work</w:t>
      </w:r>
      <w:r w:rsidR="0013032F">
        <w:t xml:space="preserve"> </w:t>
      </w:r>
      <w:r>
        <w:t>encouraging</w:t>
      </w:r>
      <w:r w:rsidR="0013032F">
        <w:t xml:space="preserve"> </w:t>
      </w:r>
      <w:r>
        <w:t>healthy</w:t>
      </w:r>
      <w:r w:rsidR="0013032F">
        <w:t xml:space="preserve"> </w:t>
      </w:r>
      <w:r>
        <w:t>eating</w:t>
      </w:r>
      <w:r w:rsidR="0013032F">
        <w:t xml:space="preserve"> </w:t>
      </w:r>
      <w:r>
        <w:t>and</w:t>
      </w:r>
      <w:r w:rsidR="0013032F">
        <w:t xml:space="preserve"> </w:t>
      </w:r>
      <w:r>
        <w:t>more</w:t>
      </w:r>
      <w:r w:rsidR="0013032F">
        <w:t xml:space="preserve"> </w:t>
      </w:r>
      <w:r>
        <w:t>active</w:t>
      </w:r>
      <w:r w:rsidR="0013032F">
        <w:t xml:space="preserve"> </w:t>
      </w:r>
      <w:r>
        <w:t>lifestyles.</w:t>
      </w:r>
    </w:p>
    <w:p w14:paraId="5C79D790" w14:textId="158D6C2E" w:rsidR="00757772" w:rsidRDefault="00305D3C" w:rsidP="00224485">
      <w:pPr>
        <w:pStyle w:val="Bullet"/>
      </w:pPr>
      <w:r w:rsidRPr="00224485">
        <w:rPr>
          <w:b/>
          <w:bCs/>
        </w:rPr>
        <w:t>A</w:t>
      </w:r>
      <w:r w:rsidR="0013032F" w:rsidRPr="00224485">
        <w:rPr>
          <w:b/>
          <w:bCs/>
        </w:rPr>
        <w:t xml:space="preserve"> </w:t>
      </w:r>
      <w:r w:rsidRPr="00224485">
        <w:rPr>
          <w:b/>
          <w:bCs/>
        </w:rPr>
        <w:t>great</w:t>
      </w:r>
      <w:r w:rsidR="0013032F" w:rsidRPr="00224485">
        <w:rPr>
          <w:b/>
          <w:bCs/>
        </w:rPr>
        <w:t xml:space="preserve"> </w:t>
      </w:r>
      <w:r w:rsidRPr="00224485">
        <w:rPr>
          <w:b/>
          <w:bCs/>
        </w:rPr>
        <w:t>environment</w:t>
      </w:r>
      <w:r w:rsidR="0013032F" w:rsidRPr="00224485">
        <w:rPr>
          <w:b/>
          <w:bCs/>
        </w:rPr>
        <w:t xml:space="preserve"> </w:t>
      </w:r>
      <w:r w:rsidRPr="00224485">
        <w:rPr>
          <w:b/>
          <w:bCs/>
        </w:rPr>
        <w:t>to</w:t>
      </w:r>
      <w:r w:rsidR="0013032F" w:rsidRPr="00224485">
        <w:rPr>
          <w:b/>
          <w:bCs/>
        </w:rPr>
        <w:t xml:space="preserve"> </w:t>
      </w:r>
      <w:r w:rsidRPr="00224485">
        <w:rPr>
          <w:b/>
          <w:bCs/>
        </w:rPr>
        <w:t>live</w:t>
      </w:r>
      <w:r w:rsidR="0013032F">
        <w:rPr>
          <w:spacing w:val="-2"/>
        </w:rPr>
        <w:t xml:space="preserve"> </w:t>
      </w:r>
      <w:r>
        <w:rPr>
          <w:spacing w:val="-2"/>
        </w:rPr>
        <w:t>–</w:t>
      </w:r>
      <w:r w:rsidR="0013032F">
        <w:rPr>
          <w:spacing w:val="-2"/>
        </w:rPr>
        <w:t xml:space="preserve"> </w:t>
      </w:r>
      <w:r>
        <w:rPr>
          <w:spacing w:val="-2"/>
        </w:rPr>
        <w:t>Bendigo</w:t>
      </w:r>
      <w:r w:rsidR="0013032F">
        <w:rPr>
          <w:spacing w:val="-2"/>
        </w:rPr>
        <w:t xml:space="preserve"> </w:t>
      </w:r>
      <w:r>
        <w:rPr>
          <w:spacing w:val="-2"/>
        </w:rPr>
        <w:t>Creek</w:t>
      </w:r>
      <w:r w:rsidR="0013032F">
        <w:rPr>
          <w:spacing w:val="-2"/>
        </w:rPr>
        <w:t xml:space="preserve"> </w:t>
      </w:r>
      <w:r>
        <w:rPr>
          <w:spacing w:val="-2"/>
        </w:rPr>
        <w:t>restoration.</w:t>
      </w:r>
      <w:r w:rsidR="0013032F">
        <w:rPr>
          <w:spacing w:val="-2"/>
        </w:rPr>
        <w:t xml:space="preserve"> </w:t>
      </w:r>
      <w:r>
        <w:t>Led</w:t>
      </w:r>
      <w:r w:rsidR="0013032F">
        <w:t xml:space="preserve"> </w:t>
      </w:r>
      <w:r>
        <w:t>by</w:t>
      </w:r>
      <w:r w:rsidR="0013032F">
        <w:t xml:space="preserve"> </w:t>
      </w:r>
      <w:r>
        <w:t>the</w:t>
      </w:r>
      <w:r w:rsidR="0013032F">
        <w:t xml:space="preserve"> </w:t>
      </w:r>
      <w:r>
        <w:t>Dja</w:t>
      </w:r>
      <w:r w:rsidR="0013032F">
        <w:t xml:space="preserve"> </w:t>
      </w:r>
      <w:proofErr w:type="spellStart"/>
      <w:r>
        <w:t>Dja</w:t>
      </w:r>
      <w:proofErr w:type="spellEnd"/>
      <w:r w:rsidR="0013032F">
        <w:t xml:space="preserve"> </w:t>
      </w:r>
      <w:r>
        <w:t>Wurrung,</w:t>
      </w:r>
      <w:r w:rsidR="0013032F">
        <w:t xml:space="preserve"> </w:t>
      </w:r>
      <w:r>
        <w:t>restoration</w:t>
      </w:r>
      <w:r w:rsidR="0013032F">
        <w:t xml:space="preserve"> </w:t>
      </w:r>
      <w:r>
        <w:t>would</w:t>
      </w:r>
      <w:r w:rsidR="0013032F">
        <w:t xml:space="preserve"> </w:t>
      </w:r>
      <w:r>
        <w:t>see</w:t>
      </w:r>
      <w:r w:rsidR="0013032F">
        <w:t xml:space="preserve"> </w:t>
      </w:r>
      <w:r>
        <w:t>the</w:t>
      </w:r>
      <w:r w:rsidR="0013032F">
        <w:t xml:space="preserve"> </w:t>
      </w:r>
      <w:r>
        <w:t>creek</w:t>
      </w:r>
      <w:r w:rsidR="0013032F">
        <w:t xml:space="preserve"> </w:t>
      </w:r>
      <w:r>
        <w:t>regain</w:t>
      </w:r>
      <w:r w:rsidR="0013032F">
        <w:t xml:space="preserve"> </w:t>
      </w:r>
      <w:r>
        <w:t>the</w:t>
      </w:r>
      <w:r w:rsidR="0013032F">
        <w:t xml:space="preserve"> </w:t>
      </w:r>
      <w:r>
        <w:t>function</w:t>
      </w:r>
      <w:r w:rsidR="0013032F">
        <w:t xml:space="preserve"> </w:t>
      </w:r>
      <w:r>
        <w:t>and</w:t>
      </w:r>
      <w:r w:rsidR="0013032F">
        <w:t xml:space="preserve"> </w:t>
      </w:r>
      <w:r>
        <w:t>form</w:t>
      </w:r>
      <w:r w:rsidR="0013032F">
        <w:t xml:space="preserve"> </w:t>
      </w:r>
      <w:r>
        <w:t>it</w:t>
      </w:r>
      <w:r w:rsidR="0013032F">
        <w:t xml:space="preserve"> </w:t>
      </w:r>
      <w:r>
        <w:t>had</w:t>
      </w:r>
      <w:r w:rsidR="0013032F">
        <w:t xml:space="preserve"> </w:t>
      </w:r>
      <w:r>
        <w:t>prior</w:t>
      </w:r>
      <w:r w:rsidR="0013032F">
        <w:t xml:space="preserve"> </w:t>
      </w:r>
      <w:r>
        <w:t>to</w:t>
      </w:r>
      <w:r w:rsidR="0013032F">
        <w:t xml:space="preserve"> </w:t>
      </w:r>
      <w:r>
        <w:t>the</w:t>
      </w:r>
      <w:r w:rsidR="0013032F">
        <w:t xml:space="preserve"> </w:t>
      </w:r>
      <w:r>
        <w:t>gold</w:t>
      </w:r>
      <w:r w:rsidR="0013032F">
        <w:t xml:space="preserve"> </w:t>
      </w:r>
      <w:r>
        <w:t>rush</w:t>
      </w:r>
      <w:r w:rsidR="0013032F">
        <w:t xml:space="preserve"> </w:t>
      </w:r>
      <w:r>
        <w:t>and</w:t>
      </w:r>
      <w:r w:rsidR="0013032F">
        <w:t xml:space="preserve"> </w:t>
      </w:r>
      <w:r>
        <w:t>become</w:t>
      </w:r>
      <w:r w:rsidR="0013032F">
        <w:t xml:space="preserve"> </w:t>
      </w:r>
      <w:r>
        <w:t>a</w:t>
      </w:r>
      <w:r w:rsidR="0013032F">
        <w:t xml:space="preserve"> </w:t>
      </w:r>
      <w:r>
        <w:t>valued</w:t>
      </w:r>
      <w:r w:rsidR="0013032F">
        <w:t xml:space="preserve"> </w:t>
      </w:r>
      <w:r>
        <w:t>community</w:t>
      </w:r>
      <w:r w:rsidR="0013032F">
        <w:t xml:space="preserve"> </w:t>
      </w:r>
      <w:r>
        <w:t>asset</w:t>
      </w:r>
      <w:r w:rsidR="0013032F">
        <w:t xml:space="preserve"> </w:t>
      </w:r>
    </w:p>
    <w:p w14:paraId="494FA373" w14:textId="3222C652" w:rsidR="00757772" w:rsidRDefault="00305D3C" w:rsidP="00224485">
      <w:pPr>
        <w:pStyle w:val="Bulletlast"/>
      </w:pPr>
      <w:r w:rsidRPr="00224485">
        <w:rPr>
          <w:b/>
          <w:bCs/>
        </w:rPr>
        <w:t>Rural</w:t>
      </w:r>
      <w:r w:rsidR="0013032F" w:rsidRPr="00224485">
        <w:rPr>
          <w:b/>
          <w:bCs/>
        </w:rPr>
        <w:t xml:space="preserve"> </w:t>
      </w:r>
      <w:r w:rsidRPr="00224485">
        <w:rPr>
          <w:b/>
          <w:bCs/>
        </w:rPr>
        <w:t>childcare</w:t>
      </w:r>
      <w:r w:rsidR="0013032F" w:rsidRPr="00224485">
        <w:rPr>
          <w:b/>
          <w:bCs/>
        </w:rPr>
        <w:t xml:space="preserve"> </w:t>
      </w:r>
      <w:r>
        <w:t>–</w:t>
      </w:r>
      <w:r w:rsidR="0013032F">
        <w:t xml:space="preserve"> </w:t>
      </w:r>
      <w:r>
        <w:t>advocated</w:t>
      </w:r>
      <w:r w:rsidR="0013032F">
        <w:t xml:space="preserve"> </w:t>
      </w:r>
      <w:r>
        <w:t>for</w:t>
      </w:r>
      <w:r w:rsidR="0013032F">
        <w:t xml:space="preserve"> </w:t>
      </w:r>
      <w:r>
        <w:t>childcare</w:t>
      </w:r>
      <w:r w:rsidR="0013032F">
        <w:t xml:space="preserve"> </w:t>
      </w:r>
      <w:r>
        <w:t>facilities</w:t>
      </w:r>
      <w:r w:rsidR="0013032F">
        <w:t xml:space="preserve"> </w:t>
      </w:r>
      <w:r>
        <w:t>to</w:t>
      </w:r>
      <w:r w:rsidR="0013032F">
        <w:t xml:space="preserve"> </w:t>
      </w:r>
      <w:r>
        <w:t>be</w:t>
      </w:r>
      <w:r w:rsidR="0013032F">
        <w:t xml:space="preserve"> </w:t>
      </w:r>
      <w:r>
        <w:t>established</w:t>
      </w:r>
      <w:r w:rsidR="0013032F">
        <w:t xml:space="preserve"> </w:t>
      </w:r>
      <w:r>
        <w:t>in</w:t>
      </w:r>
      <w:r w:rsidR="0013032F">
        <w:t xml:space="preserve"> </w:t>
      </w:r>
      <w:r>
        <w:t>Boort</w:t>
      </w:r>
      <w:r w:rsidR="0013032F">
        <w:t xml:space="preserve"> </w:t>
      </w:r>
      <w:r>
        <w:t>and</w:t>
      </w:r>
      <w:r w:rsidR="0013032F">
        <w:t xml:space="preserve"> </w:t>
      </w:r>
      <w:r>
        <w:t>Inglewood</w:t>
      </w:r>
      <w:r w:rsidR="0013032F">
        <w:t xml:space="preserve"> </w:t>
      </w:r>
      <w:r>
        <w:t>through</w:t>
      </w:r>
      <w:r w:rsidR="0013032F">
        <w:t xml:space="preserve"> </w:t>
      </w:r>
      <w:r>
        <w:t>models</w:t>
      </w:r>
      <w:r w:rsidR="0013032F">
        <w:t xml:space="preserve"> </w:t>
      </w:r>
      <w:r>
        <w:t>of</w:t>
      </w:r>
      <w:r w:rsidR="0013032F">
        <w:t xml:space="preserve"> </w:t>
      </w:r>
      <w:r>
        <w:t>childcare</w:t>
      </w:r>
      <w:r w:rsidR="0013032F">
        <w:t xml:space="preserve"> </w:t>
      </w:r>
      <w:r>
        <w:t>that</w:t>
      </w:r>
      <w:r w:rsidR="0013032F">
        <w:t xml:space="preserve"> </w:t>
      </w:r>
      <w:r>
        <w:t>benefit</w:t>
      </w:r>
      <w:r w:rsidR="0013032F">
        <w:t xml:space="preserve"> </w:t>
      </w:r>
      <w:r>
        <w:t>from</w:t>
      </w:r>
      <w:r w:rsidR="0013032F">
        <w:t xml:space="preserve"> </w:t>
      </w:r>
      <w:r>
        <w:t>the</w:t>
      </w:r>
      <w:r w:rsidR="0013032F">
        <w:t xml:space="preserve"> </w:t>
      </w:r>
      <w:r>
        <w:t>integration</w:t>
      </w:r>
      <w:r w:rsidR="0013032F">
        <w:t xml:space="preserve"> </w:t>
      </w:r>
      <w:r>
        <w:t>of</w:t>
      </w:r>
      <w:r w:rsidR="0013032F">
        <w:t xml:space="preserve"> </w:t>
      </w:r>
      <w:r>
        <w:t>a</w:t>
      </w:r>
      <w:r w:rsidR="0013032F">
        <w:t xml:space="preserve"> </w:t>
      </w:r>
      <w:r>
        <w:t>range</w:t>
      </w:r>
      <w:r w:rsidR="0013032F">
        <w:t xml:space="preserve"> </w:t>
      </w:r>
      <w:r>
        <w:t>of</w:t>
      </w:r>
      <w:r w:rsidR="0013032F">
        <w:t xml:space="preserve"> </w:t>
      </w:r>
      <w:r>
        <w:t>early</w:t>
      </w:r>
      <w:r w:rsidR="0013032F">
        <w:t xml:space="preserve"> </w:t>
      </w:r>
      <w:r>
        <w:t>years</w:t>
      </w:r>
      <w:r w:rsidR="0013032F">
        <w:t xml:space="preserve"> </w:t>
      </w:r>
      <w:r>
        <w:t>services</w:t>
      </w:r>
      <w:r w:rsidR="0013032F">
        <w:t xml:space="preserve"> </w:t>
      </w:r>
      <w:r>
        <w:t>that</w:t>
      </w:r>
      <w:r w:rsidR="0013032F">
        <w:t xml:space="preserve"> </w:t>
      </w:r>
      <w:r>
        <w:t>potentially</w:t>
      </w:r>
      <w:r w:rsidR="0013032F">
        <w:t xml:space="preserve"> </w:t>
      </w:r>
      <w:r>
        <w:t>include</w:t>
      </w:r>
      <w:r w:rsidR="0013032F">
        <w:t xml:space="preserve"> </w:t>
      </w:r>
      <w:r>
        <w:t>primary</w:t>
      </w:r>
      <w:r w:rsidR="0013032F">
        <w:t xml:space="preserve"> </w:t>
      </w:r>
      <w:r>
        <w:t>school,</w:t>
      </w:r>
      <w:r w:rsidR="0013032F">
        <w:t xml:space="preserve"> </w:t>
      </w:r>
      <w:r>
        <w:t>kindergarten</w:t>
      </w:r>
      <w:r w:rsidR="0013032F">
        <w:t xml:space="preserve"> </w:t>
      </w:r>
      <w:r>
        <w:t>and</w:t>
      </w:r>
      <w:r w:rsidR="0013032F">
        <w:t xml:space="preserve"> </w:t>
      </w:r>
      <w:r>
        <w:t>maternal</w:t>
      </w:r>
      <w:r w:rsidR="0013032F">
        <w:t xml:space="preserve"> </w:t>
      </w:r>
      <w:r>
        <w:rPr>
          <w:spacing w:val="-2"/>
        </w:rPr>
        <w:t>and</w:t>
      </w:r>
      <w:r w:rsidR="0013032F">
        <w:rPr>
          <w:spacing w:val="-2"/>
        </w:rPr>
        <w:t xml:space="preserve"> </w:t>
      </w:r>
      <w:r>
        <w:rPr>
          <w:spacing w:val="-2"/>
        </w:rPr>
        <w:t>child</w:t>
      </w:r>
      <w:r w:rsidR="0013032F">
        <w:rPr>
          <w:spacing w:val="-2"/>
        </w:rPr>
        <w:t xml:space="preserve"> </w:t>
      </w:r>
      <w:r>
        <w:rPr>
          <w:spacing w:val="-2"/>
        </w:rPr>
        <w:t>health</w:t>
      </w:r>
      <w:r w:rsidR="0013032F">
        <w:rPr>
          <w:spacing w:val="-2"/>
        </w:rPr>
        <w:t xml:space="preserve"> </w:t>
      </w:r>
      <w:r>
        <w:rPr>
          <w:spacing w:val="-2"/>
        </w:rPr>
        <w:t>services.</w:t>
      </w:r>
      <w:r w:rsidR="0013032F">
        <w:rPr>
          <w:spacing w:val="-2"/>
        </w:rPr>
        <w:t xml:space="preserve"> </w:t>
      </w:r>
      <w:r>
        <w:rPr>
          <w:spacing w:val="-2"/>
        </w:rPr>
        <w:t>The</w:t>
      </w:r>
      <w:r w:rsidR="0013032F">
        <w:rPr>
          <w:spacing w:val="-2"/>
        </w:rPr>
        <w:t xml:space="preserve"> </w:t>
      </w:r>
      <w:r>
        <w:rPr>
          <w:spacing w:val="-2"/>
        </w:rPr>
        <w:t>Loddon</w:t>
      </w:r>
      <w:r w:rsidR="0013032F">
        <w:rPr>
          <w:spacing w:val="-2"/>
        </w:rPr>
        <w:t xml:space="preserve"> </w:t>
      </w:r>
      <w:r>
        <w:rPr>
          <w:spacing w:val="-2"/>
        </w:rPr>
        <w:t>Shire</w:t>
      </w:r>
      <w:r w:rsidR="0013032F">
        <w:rPr>
          <w:spacing w:val="-2"/>
        </w:rPr>
        <w:t xml:space="preserve"> </w:t>
      </w:r>
      <w:r>
        <w:rPr>
          <w:spacing w:val="-2"/>
        </w:rPr>
        <w:t>municipality</w:t>
      </w:r>
      <w:r w:rsidR="0013032F">
        <w:t xml:space="preserve"> </w:t>
      </w:r>
      <w:r>
        <w:t>currently</w:t>
      </w:r>
      <w:r w:rsidR="0013032F">
        <w:t xml:space="preserve"> </w:t>
      </w:r>
      <w:r>
        <w:t>has</w:t>
      </w:r>
      <w:r w:rsidR="0013032F">
        <w:t xml:space="preserve"> </w:t>
      </w:r>
      <w:r>
        <w:t>no</w:t>
      </w:r>
      <w:r w:rsidR="0013032F">
        <w:t xml:space="preserve"> </w:t>
      </w:r>
      <w:r>
        <w:t>childcare</w:t>
      </w:r>
      <w:r w:rsidR="0013032F">
        <w:t xml:space="preserve"> </w:t>
      </w:r>
      <w:r>
        <w:t>services.</w:t>
      </w:r>
    </w:p>
    <w:p w14:paraId="672D371E" w14:textId="77777777" w:rsidR="00757772" w:rsidRDefault="00305D3C" w:rsidP="00224485">
      <w:pPr>
        <w:pStyle w:val="Heading3"/>
      </w:pPr>
      <w:r>
        <w:t>Highlights:</w:t>
      </w:r>
    </w:p>
    <w:p w14:paraId="4CA85888" w14:textId="54039651" w:rsidR="00757772" w:rsidRDefault="00305D3C" w:rsidP="00224485">
      <w:pPr>
        <w:pStyle w:val="Bullet"/>
      </w:pPr>
      <w:r>
        <w:t>Completed</w:t>
      </w:r>
      <w:r w:rsidR="0013032F">
        <w:t xml:space="preserve"> </w:t>
      </w:r>
      <w:r>
        <w:t>the</w:t>
      </w:r>
      <w:r w:rsidR="0013032F">
        <w:t xml:space="preserve"> </w:t>
      </w:r>
      <w:r>
        <w:t>authoring</w:t>
      </w:r>
      <w:r w:rsidR="0013032F">
        <w:t xml:space="preserve"> </w:t>
      </w:r>
      <w:r>
        <w:t>of</w:t>
      </w:r>
      <w:r w:rsidR="0013032F">
        <w:t xml:space="preserve"> </w:t>
      </w:r>
      <w:r>
        <w:t>the</w:t>
      </w:r>
      <w:r w:rsidR="0013032F">
        <w:t xml:space="preserve"> </w:t>
      </w:r>
      <w:r>
        <w:t>Loddon</w:t>
      </w:r>
      <w:r w:rsidR="0013032F">
        <w:t xml:space="preserve"> </w:t>
      </w:r>
      <w:r>
        <w:t>Mallee</w:t>
      </w:r>
      <w:r w:rsidR="0013032F">
        <w:t xml:space="preserve"> </w:t>
      </w:r>
      <w:r>
        <w:t>Housing</w:t>
      </w:r>
      <w:r w:rsidR="0013032F">
        <w:t xml:space="preserve"> </w:t>
      </w:r>
      <w:r>
        <w:t>Action</w:t>
      </w:r>
      <w:r w:rsidR="0013032F">
        <w:t xml:space="preserve"> </w:t>
      </w:r>
      <w:r>
        <w:t>Plan</w:t>
      </w:r>
      <w:r w:rsidR="0013032F">
        <w:t xml:space="preserve"> </w:t>
      </w:r>
      <w:r>
        <w:t>led</w:t>
      </w:r>
      <w:r w:rsidR="0013032F">
        <w:t xml:space="preserve"> </w:t>
      </w:r>
      <w:r>
        <w:t>by</w:t>
      </w:r>
      <w:r w:rsidR="0013032F">
        <w:t xml:space="preserve"> </w:t>
      </w:r>
      <w:r>
        <w:t>Swan</w:t>
      </w:r>
      <w:r w:rsidR="0013032F">
        <w:t xml:space="preserve"> </w:t>
      </w:r>
      <w:r>
        <w:t>Hill</w:t>
      </w:r>
      <w:r w:rsidR="0013032F">
        <w:t xml:space="preserve"> </w:t>
      </w:r>
      <w:r>
        <w:t>Rural</w:t>
      </w:r>
      <w:r w:rsidR="0013032F">
        <w:t xml:space="preserve"> </w:t>
      </w:r>
      <w:r>
        <w:t>City,</w:t>
      </w:r>
      <w:r w:rsidR="0013032F">
        <w:t xml:space="preserve"> </w:t>
      </w:r>
      <w:r>
        <w:t>including</w:t>
      </w:r>
      <w:r w:rsidR="0013032F">
        <w:t xml:space="preserve"> </w:t>
      </w:r>
      <w:r>
        <w:t>4</w:t>
      </w:r>
      <w:r w:rsidR="0013032F">
        <w:t xml:space="preserve"> </w:t>
      </w:r>
      <w:r>
        <w:t>pilots</w:t>
      </w:r>
      <w:r w:rsidR="0013032F">
        <w:t xml:space="preserve"> </w:t>
      </w:r>
      <w:r>
        <w:t>demonstrating</w:t>
      </w:r>
      <w:r w:rsidR="0013032F">
        <w:t xml:space="preserve"> </w:t>
      </w:r>
      <w:r>
        <w:t>successful</w:t>
      </w:r>
      <w:r w:rsidR="0013032F">
        <w:t xml:space="preserve"> </w:t>
      </w:r>
      <w:r>
        <w:t>methods</w:t>
      </w:r>
      <w:r w:rsidR="0013032F">
        <w:t xml:space="preserve"> </w:t>
      </w:r>
      <w:r>
        <w:t>of</w:t>
      </w:r>
      <w:r w:rsidR="0013032F">
        <w:t xml:space="preserve"> </w:t>
      </w:r>
      <w:r>
        <w:t>overcoming</w:t>
      </w:r>
      <w:r w:rsidR="0013032F">
        <w:t xml:space="preserve"> </w:t>
      </w:r>
      <w:r>
        <w:t>barriers</w:t>
      </w:r>
      <w:r w:rsidR="0013032F">
        <w:t xml:space="preserve"> </w:t>
      </w:r>
      <w:r>
        <w:t>to</w:t>
      </w:r>
      <w:r w:rsidR="0013032F">
        <w:t xml:space="preserve"> </w:t>
      </w:r>
      <w:r>
        <w:t>housing</w:t>
      </w:r>
      <w:r w:rsidR="0013032F">
        <w:t xml:space="preserve"> </w:t>
      </w:r>
      <w:r>
        <w:t>supply</w:t>
      </w:r>
      <w:r w:rsidR="0013032F">
        <w:t xml:space="preserve"> </w:t>
      </w:r>
    </w:p>
    <w:p w14:paraId="7159430D" w14:textId="5C6EB68D" w:rsidR="00757772" w:rsidRDefault="00305D3C" w:rsidP="00224485">
      <w:pPr>
        <w:pStyle w:val="Bullet"/>
      </w:pPr>
      <w:r>
        <w:t>Brought</w:t>
      </w:r>
      <w:r w:rsidR="0013032F">
        <w:t xml:space="preserve"> </w:t>
      </w:r>
      <w:r>
        <w:t>together</w:t>
      </w:r>
      <w:r w:rsidR="0013032F">
        <w:t xml:space="preserve"> </w:t>
      </w:r>
      <w:r>
        <w:t>potential</w:t>
      </w:r>
      <w:r w:rsidR="0013032F">
        <w:t xml:space="preserve"> </w:t>
      </w:r>
      <w:r>
        <w:t>partners</w:t>
      </w:r>
      <w:r w:rsidR="0013032F">
        <w:t xml:space="preserve"> </w:t>
      </w:r>
      <w:r>
        <w:t>to</w:t>
      </w:r>
      <w:r w:rsidR="0013032F">
        <w:t xml:space="preserve"> </w:t>
      </w:r>
      <w:r>
        <w:t>progress</w:t>
      </w:r>
      <w:r w:rsidR="0013032F">
        <w:t xml:space="preserve"> </w:t>
      </w:r>
      <w:r>
        <w:t>the</w:t>
      </w:r>
      <w:r w:rsidR="0013032F">
        <w:t xml:space="preserve"> </w:t>
      </w:r>
      <w:r>
        <w:t>development</w:t>
      </w:r>
      <w:r w:rsidR="0013032F">
        <w:t xml:space="preserve"> </w:t>
      </w:r>
      <w:r>
        <w:t>of</w:t>
      </w:r>
      <w:r w:rsidR="0013032F">
        <w:t xml:space="preserve"> </w:t>
      </w:r>
      <w:r>
        <w:t>a</w:t>
      </w:r>
      <w:r w:rsidR="0013032F">
        <w:t xml:space="preserve"> </w:t>
      </w:r>
      <w:r>
        <w:t>proposal</w:t>
      </w:r>
      <w:r w:rsidR="0013032F">
        <w:t xml:space="preserve"> </w:t>
      </w:r>
      <w:r>
        <w:t>for</w:t>
      </w:r>
      <w:r w:rsidR="0013032F">
        <w:t xml:space="preserve"> </w:t>
      </w:r>
      <w:r>
        <w:t>the</w:t>
      </w:r>
      <w:r w:rsidR="0013032F">
        <w:t xml:space="preserve"> </w:t>
      </w:r>
      <w:r>
        <w:t>Bendigo</w:t>
      </w:r>
      <w:r w:rsidR="0013032F">
        <w:t xml:space="preserve"> </w:t>
      </w:r>
      <w:r>
        <w:t>Digital</w:t>
      </w:r>
      <w:r w:rsidR="0013032F">
        <w:t xml:space="preserve"> </w:t>
      </w:r>
      <w:r>
        <w:t>Innovation</w:t>
      </w:r>
      <w:r w:rsidR="0013032F">
        <w:t xml:space="preserve"> </w:t>
      </w:r>
      <w:r>
        <w:t>Hub</w:t>
      </w:r>
    </w:p>
    <w:p w14:paraId="086E4E46" w14:textId="28AA8575" w:rsidR="00757772" w:rsidRDefault="00305D3C" w:rsidP="00224485">
      <w:pPr>
        <w:pStyle w:val="Bullet"/>
        <w:rPr>
          <w:rFonts w:ascii="VIC" w:hAnsi="VIC" w:cs="VIC"/>
        </w:rPr>
      </w:pPr>
      <w:r>
        <w:t>Following</w:t>
      </w:r>
      <w:r w:rsidR="0013032F">
        <w:t xml:space="preserve"> </w:t>
      </w:r>
      <w:r>
        <w:t>advocacy</w:t>
      </w:r>
      <w:r w:rsidR="0013032F">
        <w:t xml:space="preserve"> </w:t>
      </w:r>
      <w:r>
        <w:t>from</w:t>
      </w:r>
      <w:r w:rsidR="0013032F">
        <w:t xml:space="preserve"> </w:t>
      </w:r>
      <w:r>
        <w:t>LCRP,</w:t>
      </w:r>
      <w:r w:rsidR="0013032F">
        <w:t xml:space="preserve"> </w:t>
      </w:r>
      <w:proofErr w:type="spellStart"/>
      <w:r>
        <w:t>VicTrack</w:t>
      </w:r>
      <w:proofErr w:type="spellEnd"/>
      <w:r w:rsidR="0013032F">
        <w:t xml:space="preserve"> </w:t>
      </w:r>
      <w:r>
        <w:t>sought</w:t>
      </w:r>
      <w:r w:rsidR="0013032F">
        <w:t xml:space="preserve"> </w:t>
      </w:r>
      <w:r>
        <w:t>tenders</w:t>
      </w:r>
      <w:r w:rsidR="0013032F">
        <w:t xml:space="preserve"> </w:t>
      </w:r>
      <w:r>
        <w:t>to</w:t>
      </w:r>
      <w:r w:rsidR="0013032F">
        <w:t xml:space="preserve"> </w:t>
      </w:r>
      <w:r>
        <w:t>commercialise</w:t>
      </w:r>
      <w:r w:rsidR="0013032F">
        <w:t xml:space="preserve"> </w:t>
      </w:r>
      <w:r>
        <w:t>spare</w:t>
      </w:r>
      <w:r w:rsidR="0013032F">
        <w:t xml:space="preserve"> </w:t>
      </w:r>
      <w:r>
        <w:t>capacity</w:t>
      </w:r>
      <w:r w:rsidR="0013032F">
        <w:t xml:space="preserve"> </w:t>
      </w:r>
      <w:r>
        <w:t>on</w:t>
      </w:r>
      <w:r w:rsidR="0013032F">
        <w:t xml:space="preserve"> </w:t>
      </w:r>
      <w:r>
        <w:t>its</w:t>
      </w:r>
      <w:r w:rsidR="0013032F">
        <w:t xml:space="preserve"> </w:t>
      </w:r>
      <w:r>
        <w:t>high-speed</w:t>
      </w:r>
      <w:r w:rsidR="0013032F">
        <w:t xml:space="preserve"> </w:t>
      </w:r>
      <w:r>
        <w:t>digital</w:t>
      </w:r>
      <w:r w:rsidR="0013032F">
        <w:t xml:space="preserve"> </w:t>
      </w:r>
      <w:r>
        <w:t>cabling</w:t>
      </w:r>
      <w:r w:rsidR="0013032F">
        <w:t xml:space="preserve"> </w:t>
      </w:r>
    </w:p>
    <w:p w14:paraId="0ABD9359" w14:textId="30CE9FCA" w:rsidR="00757772" w:rsidRDefault="00305D3C" w:rsidP="00224485">
      <w:pPr>
        <w:pStyle w:val="Bulletlast"/>
      </w:pPr>
      <w:r>
        <w:t>Completed</w:t>
      </w:r>
      <w:r w:rsidR="0013032F">
        <w:t xml:space="preserve"> </w:t>
      </w:r>
      <w:r>
        <w:t>work</w:t>
      </w:r>
      <w:r w:rsidR="0013032F">
        <w:t xml:space="preserve"> </w:t>
      </w:r>
      <w:r>
        <w:t>identifying</w:t>
      </w:r>
      <w:r w:rsidR="0013032F">
        <w:t xml:space="preserve"> </w:t>
      </w:r>
      <w:r>
        <w:t>requirements</w:t>
      </w:r>
      <w:r w:rsidR="0013032F">
        <w:t xml:space="preserve"> </w:t>
      </w:r>
      <w:r>
        <w:t>needed</w:t>
      </w:r>
      <w:r w:rsidR="0013032F">
        <w:t xml:space="preserve"> </w:t>
      </w:r>
      <w:r>
        <w:t>to</w:t>
      </w:r>
      <w:r w:rsidR="0013032F">
        <w:t xml:space="preserve"> </w:t>
      </w:r>
      <w:r>
        <w:t>realise</w:t>
      </w:r>
      <w:r w:rsidR="0013032F">
        <w:t xml:space="preserve"> </w:t>
      </w:r>
      <w:r>
        <w:t>the</w:t>
      </w:r>
      <w:r w:rsidR="0013032F">
        <w:t xml:space="preserve"> </w:t>
      </w:r>
      <w:r>
        <w:t>potential</w:t>
      </w:r>
      <w:r w:rsidR="0013032F">
        <w:t xml:space="preserve"> </w:t>
      </w:r>
      <w:r>
        <w:t>of</w:t>
      </w:r>
      <w:r w:rsidR="0013032F">
        <w:t xml:space="preserve"> </w:t>
      </w:r>
      <w:r>
        <w:t>the</w:t>
      </w:r>
      <w:r w:rsidR="0013032F">
        <w:t xml:space="preserve"> </w:t>
      </w:r>
      <w:r>
        <w:t>Regional</w:t>
      </w:r>
      <w:r w:rsidR="0013032F">
        <w:t xml:space="preserve"> </w:t>
      </w:r>
      <w:r>
        <w:t>Employment</w:t>
      </w:r>
      <w:r w:rsidR="0013032F">
        <w:t xml:space="preserve"> </w:t>
      </w:r>
      <w:r>
        <w:t>and</w:t>
      </w:r>
      <w:r w:rsidR="0013032F">
        <w:t xml:space="preserve"> </w:t>
      </w:r>
      <w:r>
        <w:t>Innovation</w:t>
      </w:r>
      <w:r w:rsidR="0013032F">
        <w:t xml:space="preserve"> </w:t>
      </w:r>
      <w:r>
        <w:t>Corridor.</w:t>
      </w:r>
    </w:p>
    <w:p w14:paraId="25CA6E7D" w14:textId="48B1FEAD" w:rsidR="00757772" w:rsidRDefault="00224485" w:rsidP="00224485">
      <w:pPr>
        <w:pStyle w:val="Bullet"/>
      </w:pPr>
      <w:r>
        <w:lastRenderedPageBreak/>
        <w:t>254,711</w:t>
      </w:r>
      <w:r>
        <w:t xml:space="preserve"> </w:t>
      </w:r>
      <w:r>
        <w:t>Population (2022)</w:t>
      </w:r>
    </w:p>
    <w:p w14:paraId="6F840AD0" w14:textId="4B87395E" w:rsidR="00224485" w:rsidRDefault="00224485" w:rsidP="00224485">
      <w:pPr>
        <w:pStyle w:val="Bullet"/>
      </w:pPr>
      <w:r>
        <w:t>18.1%</w:t>
      </w:r>
      <w:r>
        <w:t xml:space="preserve"> </w:t>
      </w:r>
      <w:r>
        <w:t>Population growth (2022–2036)</w:t>
      </w:r>
    </w:p>
    <w:p w14:paraId="1DB09C73" w14:textId="5D374C29" w:rsidR="00224485" w:rsidRDefault="00224485" w:rsidP="00224485">
      <w:pPr>
        <w:pStyle w:val="Bulletlast"/>
      </w:pPr>
      <w:r>
        <w:t>$13.8B</w:t>
      </w:r>
      <w:r>
        <w:t xml:space="preserve"> </w:t>
      </w:r>
      <w:r>
        <w:t>Gross Regional Product (2022)</w:t>
      </w:r>
    </w:p>
    <w:p w14:paraId="61FD6AE1" w14:textId="66275C34" w:rsidR="00757772" w:rsidRPr="00F22F9E" w:rsidRDefault="00305D3C" w:rsidP="00224485">
      <w:pPr>
        <w:pStyle w:val="Heading2"/>
      </w:pPr>
      <w:bookmarkStart w:id="25" w:name="_Toc149566571"/>
      <w:r w:rsidRPr="00F22F9E">
        <w:t>Case</w:t>
      </w:r>
      <w:r w:rsidR="0013032F">
        <w:t xml:space="preserve"> </w:t>
      </w:r>
      <w:r w:rsidRPr="00F22F9E">
        <w:t>study:</w:t>
      </w:r>
      <w:bookmarkEnd w:id="25"/>
    </w:p>
    <w:p w14:paraId="51FA1FCA" w14:textId="2F147199" w:rsidR="00757772" w:rsidRPr="00224485" w:rsidRDefault="00305D3C" w:rsidP="00224485">
      <w:pPr>
        <w:pStyle w:val="Normalbeforebullets"/>
        <w:rPr>
          <w:b/>
          <w:bCs/>
        </w:rPr>
      </w:pPr>
      <w:r w:rsidRPr="00224485">
        <w:rPr>
          <w:b/>
          <w:bCs/>
        </w:rPr>
        <w:t>Regional</w:t>
      </w:r>
      <w:r w:rsidR="0013032F" w:rsidRPr="00224485">
        <w:rPr>
          <w:b/>
          <w:bCs/>
        </w:rPr>
        <w:t xml:space="preserve"> </w:t>
      </w:r>
      <w:r w:rsidRPr="00224485">
        <w:rPr>
          <w:b/>
          <w:bCs/>
        </w:rPr>
        <w:t>Employment</w:t>
      </w:r>
      <w:r w:rsidR="0013032F" w:rsidRPr="00224485">
        <w:rPr>
          <w:b/>
          <w:bCs/>
        </w:rPr>
        <w:t xml:space="preserve"> </w:t>
      </w:r>
      <w:r w:rsidRPr="00224485">
        <w:rPr>
          <w:b/>
          <w:bCs/>
        </w:rPr>
        <w:t>and</w:t>
      </w:r>
      <w:r w:rsidR="0013032F" w:rsidRPr="00224485">
        <w:rPr>
          <w:b/>
          <w:bCs/>
        </w:rPr>
        <w:t xml:space="preserve"> </w:t>
      </w:r>
      <w:r w:rsidRPr="00224485">
        <w:rPr>
          <w:b/>
          <w:bCs/>
        </w:rPr>
        <w:t>Innovation</w:t>
      </w:r>
      <w:r w:rsidR="0013032F" w:rsidRPr="00224485">
        <w:rPr>
          <w:b/>
          <w:bCs/>
        </w:rPr>
        <w:t xml:space="preserve"> </w:t>
      </w:r>
      <w:r w:rsidRPr="00224485">
        <w:rPr>
          <w:b/>
          <w:bCs/>
        </w:rPr>
        <w:t>Corridor</w:t>
      </w:r>
      <w:r w:rsidR="0013032F" w:rsidRPr="00224485">
        <w:rPr>
          <w:b/>
          <w:bCs/>
        </w:rPr>
        <w:t xml:space="preserve"> </w:t>
      </w:r>
      <w:r w:rsidRPr="00224485">
        <w:rPr>
          <w:b/>
          <w:bCs/>
        </w:rPr>
        <w:t>(REIC)</w:t>
      </w:r>
      <w:r w:rsidR="0013032F" w:rsidRPr="00224485">
        <w:rPr>
          <w:b/>
          <w:bCs/>
        </w:rPr>
        <w:t xml:space="preserve"> </w:t>
      </w:r>
    </w:p>
    <w:p w14:paraId="03A2715D" w14:textId="5E2D99CB" w:rsidR="00757772" w:rsidRPr="00224485" w:rsidRDefault="00305D3C" w:rsidP="00224485">
      <w:r w:rsidRPr="00224485">
        <w:t>In</w:t>
      </w:r>
      <w:r w:rsidR="0013032F" w:rsidRPr="00224485">
        <w:t xml:space="preserve"> </w:t>
      </w:r>
      <w:r w:rsidRPr="00224485">
        <w:t>late</w:t>
      </w:r>
      <w:r w:rsidR="0013032F" w:rsidRPr="00224485">
        <w:t xml:space="preserve"> </w:t>
      </w:r>
      <w:r w:rsidRPr="00224485">
        <w:t>2022,</w:t>
      </w:r>
      <w:r w:rsidR="0013032F" w:rsidRPr="00224485">
        <w:t xml:space="preserve"> </w:t>
      </w:r>
      <w:r w:rsidRPr="00224485">
        <w:t>the</w:t>
      </w:r>
      <w:r w:rsidR="0013032F" w:rsidRPr="00224485">
        <w:t xml:space="preserve"> </w:t>
      </w:r>
      <w:r w:rsidRPr="00224485">
        <w:t>partnership</w:t>
      </w:r>
      <w:r w:rsidR="0013032F" w:rsidRPr="00224485">
        <w:t xml:space="preserve"> </w:t>
      </w:r>
      <w:r w:rsidRPr="00224485">
        <w:t>completed</w:t>
      </w:r>
      <w:r w:rsidR="0013032F" w:rsidRPr="00224485">
        <w:t xml:space="preserve"> </w:t>
      </w:r>
      <w:r w:rsidRPr="00224485">
        <w:t>a</w:t>
      </w:r>
      <w:r w:rsidR="0013032F" w:rsidRPr="00224485">
        <w:t xml:space="preserve"> </w:t>
      </w:r>
      <w:r w:rsidRPr="00224485">
        <w:t>strategic</w:t>
      </w:r>
      <w:r w:rsidR="0013032F" w:rsidRPr="00224485">
        <w:t xml:space="preserve"> </w:t>
      </w:r>
      <w:r w:rsidRPr="00224485">
        <w:t>roadm</w:t>
      </w:r>
      <w:r w:rsidRPr="00224485">
        <w:t>ap</w:t>
      </w:r>
      <w:r w:rsidR="0013032F" w:rsidRPr="00224485">
        <w:t xml:space="preserve"> </w:t>
      </w:r>
      <w:r w:rsidRPr="00224485">
        <w:t>to</w:t>
      </w:r>
      <w:r w:rsidR="0013032F" w:rsidRPr="00224485">
        <w:t xml:space="preserve"> </w:t>
      </w:r>
      <w:r w:rsidRPr="00224485">
        <w:t>leverage</w:t>
      </w:r>
      <w:r w:rsidR="0013032F" w:rsidRPr="00224485">
        <w:t xml:space="preserve"> </w:t>
      </w:r>
      <w:r w:rsidRPr="00224485">
        <w:t>the</w:t>
      </w:r>
      <w:r w:rsidR="0013032F" w:rsidRPr="00224485">
        <w:t xml:space="preserve"> </w:t>
      </w:r>
      <w:r w:rsidRPr="00224485">
        <w:t>unique</w:t>
      </w:r>
      <w:r w:rsidR="0013032F" w:rsidRPr="00224485">
        <w:t xml:space="preserve"> </w:t>
      </w:r>
      <w:r w:rsidRPr="00224485">
        <w:t>assets</w:t>
      </w:r>
      <w:r w:rsidR="0013032F" w:rsidRPr="00224485">
        <w:t xml:space="preserve"> </w:t>
      </w:r>
      <w:r w:rsidRPr="00224485">
        <w:t>of</w:t>
      </w:r>
      <w:r w:rsidR="0013032F" w:rsidRPr="00224485">
        <w:t xml:space="preserve"> </w:t>
      </w:r>
      <w:r w:rsidRPr="00224485">
        <w:t>the</w:t>
      </w:r>
      <w:r w:rsidR="0013032F" w:rsidRPr="00224485">
        <w:t xml:space="preserve"> </w:t>
      </w:r>
      <w:r w:rsidRPr="00224485">
        <w:t>commuter</w:t>
      </w:r>
      <w:r w:rsidR="0013032F" w:rsidRPr="00224485">
        <w:t xml:space="preserve"> </w:t>
      </w:r>
      <w:r w:rsidRPr="00224485">
        <w:t>corridor</w:t>
      </w:r>
      <w:r w:rsidR="0013032F" w:rsidRPr="00224485">
        <w:t xml:space="preserve"> </w:t>
      </w:r>
      <w:r w:rsidRPr="00224485">
        <w:t>between</w:t>
      </w:r>
      <w:r w:rsidR="0013032F" w:rsidRPr="00224485">
        <w:t xml:space="preserve"> </w:t>
      </w:r>
      <w:r w:rsidRPr="00224485">
        <w:t>Gisborne</w:t>
      </w:r>
      <w:r w:rsidR="0013032F" w:rsidRPr="00224485">
        <w:t xml:space="preserve"> </w:t>
      </w:r>
      <w:r w:rsidRPr="00224485">
        <w:t>and</w:t>
      </w:r>
      <w:r w:rsidR="0013032F" w:rsidRPr="00224485">
        <w:t xml:space="preserve"> </w:t>
      </w:r>
      <w:r w:rsidRPr="00224485">
        <w:t>Bendigo</w:t>
      </w:r>
      <w:r w:rsidR="0013032F" w:rsidRPr="00224485">
        <w:t xml:space="preserve"> </w:t>
      </w:r>
      <w:r w:rsidRPr="00224485">
        <w:t>and</w:t>
      </w:r>
      <w:r w:rsidR="0013032F" w:rsidRPr="00224485">
        <w:t xml:space="preserve"> </w:t>
      </w:r>
      <w:r w:rsidRPr="00224485">
        <w:t>then</w:t>
      </w:r>
      <w:r w:rsidR="0013032F" w:rsidRPr="00224485">
        <w:t xml:space="preserve"> </w:t>
      </w:r>
      <w:r w:rsidRPr="00224485">
        <w:t>onto</w:t>
      </w:r>
      <w:r w:rsidR="0013032F" w:rsidRPr="00224485">
        <w:t xml:space="preserve"> </w:t>
      </w:r>
      <w:r w:rsidRPr="00224485">
        <w:t>Echuca.</w:t>
      </w:r>
      <w:r w:rsidR="0013032F" w:rsidRPr="00224485">
        <w:t xml:space="preserve"> </w:t>
      </w:r>
      <w:r w:rsidRPr="00224485">
        <w:t>The</w:t>
      </w:r>
      <w:r w:rsidR="0013032F" w:rsidRPr="00224485">
        <w:t xml:space="preserve"> </w:t>
      </w:r>
      <w:r w:rsidRPr="00224485">
        <w:t>vision</w:t>
      </w:r>
      <w:r w:rsidR="0013032F" w:rsidRPr="00224485">
        <w:t xml:space="preserve"> </w:t>
      </w:r>
      <w:r w:rsidRPr="00224485">
        <w:t>for</w:t>
      </w:r>
      <w:r w:rsidR="0013032F" w:rsidRPr="00224485">
        <w:t xml:space="preserve"> </w:t>
      </w:r>
      <w:r w:rsidRPr="00224485">
        <w:t>this</w:t>
      </w:r>
      <w:r w:rsidR="0013032F" w:rsidRPr="00224485">
        <w:t xml:space="preserve"> </w:t>
      </w:r>
      <w:r w:rsidRPr="00224485">
        <w:t>corridor</w:t>
      </w:r>
      <w:r w:rsidR="0013032F" w:rsidRPr="00224485">
        <w:t xml:space="preserve"> </w:t>
      </w:r>
      <w:r w:rsidRPr="00224485">
        <w:t>is</w:t>
      </w:r>
      <w:r w:rsidR="0013032F" w:rsidRPr="00224485">
        <w:t xml:space="preserve"> </w:t>
      </w:r>
      <w:r w:rsidRPr="00224485">
        <w:t>to</w:t>
      </w:r>
      <w:r w:rsidR="0013032F" w:rsidRPr="00224485">
        <w:t xml:space="preserve"> </w:t>
      </w:r>
      <w:r w:rsidRPr="00224485">
        <w:t>create</w:t>
      </w:r>
      <w:r w:rsidR="0013032F" w:rsidRPr="00224485">
        <w:t xml:space="preserve"> </w:t>
      </w:r>
      <w:r w:rsidRPr="00224485">
        <w:t>a</w:t>
      </w:r>
      <w:r w:rsidR="0013032F" w:rsidRPr="00224485">
        <w:t xml:space="preserve"> </w:t>
      </w:r>
      <w:r w:rsidRPr="00224485">
        <w:t>leading</w:t>
      </w:r>
      <w:r w:rsidR="0013032F" w:rsidRPr="00224485">
        <w:t xml:space="preserve"> </w:t>
      </w:r>
      <w:r w:rsidRPr="00224485">
        <w:t>knowledge</w:t>
      </w:r>
      <w:r w:rsidR="0013032F" w:rsidRPr="00224485">
        <w:t xml:space="preserve"> </w:t>
      </w:r>
      <w:r w:rsidRPr="00224485">
        <w:t>and</w:t>
      </w:r>
      <w:r w:rsidR="0013032F" w:rsidRPr="00224485">
        <w:t xml:space="preserve"> </w:t>
      </w:r>
      <w:r w:rsidRPr="00224485">
        <w:t>creative</w:t>
      </w:r>
      <w:r w:rsidR="0013032F" w:rsidRPr="00224485">
        <w:t xml:space="preserve"> </w:t>
      </w:r>
      <w:r w:rsidRPr="00224485">
        <w:t>region</w:t>
      </w:r>
      <w:r w:rsidR="0013032F" w:rsidRPr="00224485">
        <w:t xml:space="preserve"> </w:t>
      </w:r>
      <w:r w:rsidRPr="00224485">
        <w:t>that</w:t>
      </w:r>
      <w:r w:rsidR="0013032F" w:rsidRPr="00224485">
        <w:t xml:space="preserve"> </w:t>
      </w:r>
      <w:r w:rsidRPr="00224485">
        <w:t>ignites</w:t>
      </w:r>
      <w:r w:rsidR="0013032F" w:rsidRPr="00224485">
        <w:t xml:space="preserve"> </w:t>
      </w:r>
      <w:r w:rsidRPr="00224485">
        <w:t>innovation</w:t>
      </w:r>
      <w:r w:rsidR="0013032F" w:rsidRPr="00224485">
        <w:t xml:space="preserve"> </w:t>
      </w:r>
      <w:r w:rsidRPr="00224485">
        <w:t>and</w:t>
      </w:r>
      <w:r w:rsidR="0013032F" w:rsidRPr="00224485">
        <w:t xml:space="preserve"> </w:t>
      </w:r>
      <w:r w:rsidRPr="00224485">
        <w:t>entrepreneurship</w:t>
      </w:r>
      <w:r w:rsidR="0013032F" w:rsidRPr="00224485">
        <w:t xml:space="preserve"> </w:t>
      </w:r>
      <w:r w:rsidRPr="00224485">
        <w:t>and</w:t>
      </w:r>
      <w:r w:rsidR="0013032F" w:rsidRPr="00224485">
        <w:t xml:space="preserve"> </w:t>
      </w:r>
      <w:r w:rsidRPr="00224485">
        <w:t>harnesses</w:t>
      </w:r>
      <w:r w:rsidR="0013032F" w:rsidRPr="00224485">
        <w:t xml:space="preserve"> </w:t>
      </w:r>
      <w:r w:rsidRPr="00224485">
        <w:t>lifestyle,</w:t>
      </w:r>
      <w:r w:rsidR="0013032F" w:rsidRPr="00224485">
        <w:t xml:space="preserve"> </w:t>
      </w:r>
      <w:r w:rsidRPr="00224485">
        <w:t>sustainabil</w:t>
      </w:r>
      <w:r w:rsidRPr="00224485">
        <w:t>ity</w:t>
      </w:r>
      <w:r w:rsidR="0013032F" w:rsidRPr="00224485">
        <w:t xml:space="preserve"> </w:t>
      </w:r>
      <w:r w:rsidRPr="00224485">
        <w:t>and</w:t>
      </w:r>
      <w:r w:rsidR="0013032F" w:rsidRPr="00224485">
        <w:t xml:space="preserve"> </w:t>
      </w:r>
      <w:r w:rsidRPr="00224485">
        <w:t>community.</w:t>
      </w:r>
    </w:p>
    <w:p w14:paraId="09E39C42" w14:textId="1C14433C" w:rsidR="00757772" w:rsidRPr="00224485" w:rsidRDefault="00305D3C" w:rsidP="00224485">
      <w:pPr>
        <w:pStyle w:val="Normalbeforebullets"/>
      </w:pPr>
      <w:r w:rsidRPr="00224485">
        <w:t>The</w:t>
      </w:r>
      <w:r w:rsidR="0013032F" w:rsidRPr="00224485">
        <w:t xml:space="preserve"> </w:t>
      </w:r>
      <w:r w:rsidRPr="00224485">
        <w:t>recent</w:t>
      </w:r>
      <w:r w:rsidR="0013032F" w:rsidRPr="00224485">
        <w:t xml:space="preserve"> </w:t>
      </w:r>
      <w:r w:rsidRPr="00224485">
        <w:t>work</w:t>
      </w:r>
      <w:r w:rsidR="0013032F" w:rsidRPr="00224485">
        <w:t xml:space="preserve"> </w:t>
      </w:r>
      <w:r w:rsidRPr="00224485">
        <w:t>has</w:t>
      </w:r>
      <w:r w:rsidR="0013032F" w:rsidRPr="00224485">
        <w:t xml:space="preserve"> </w:t>
      </w:r>
      <w:r w:rsidRPr="00224485">
        <w:t>identified</w:t>
      </w:r>
      <w:r w:rsidR="0013032F" w:rsidRPr="00224485">
        <w:t xml:space="preserve"> </w:t>
      </w:r>
      <w:r w:rsidRPr="00224485">
        <w:t>5</w:t>
      </w:r>
      <w:r w:rsidR="0013032F" w:rsidRPr="00224485">
        <w:t xml:space="preserve"> </w:t>
      </w:r>
      <w:r w:rsidRPr="00224485">
        <w:t>clear</w:t>
      </w:r>
      <w:r w:rsidR="0013032F" w:rsidRPr="00224485">
        <w:t xml:space="preserve"> </w:t>
      </w:r>
      <w:r w:rsidRPr="00224485">
        <w:t>objectives</w:t>
      </w:r>
      <w:r w:rsidR="0013032F" w:rsidRPr="00224485">
        <w:t xml:space="preserve"> </w:t>
      </w:r>
      <w:r w:rsidRPr="00224485">
        <w:t>that</w:t>
      </w:r>
      <w:r w:rsidR="0013032F" w:rsidRPr="00224485">
        <w:t xml:space="preserve"> </w:t>
      </w:r>
      <w:r w:rsidRPr="00224485">
        <w:t>will</w:t>
      </w:r>
      <w:r w:rsidR="0013032F" w:rsidRPr="00224485">
        <w:t xml:space="preserve"> </w:t>
      </w:r>
      <w:r w:rsidRPr="00224485">
        <w:t>help</w:t>
      </w:r>
      <w:r w:rsidR="0013032F" w:rsidRPr="00224485">
        <w:t xml:space="preserve"> </w:t>
      </w:r>
      <w:r w:rsidRPr="00224485">
        <w:t>see</w:t>
      </w:r>
      <w:r w:rsidR="0013032F" w:rsidRPr="00224485">
        <w:t xml:space="preserve"> </w:t>
      </w:r>
      <w:r w:rsidRPr="00224485">
        <w:t>the</w:t>
      </w:r>
      <w:r w:rsidR="0013032F" w:rsidRPr="00224485">
        <w:t xml:space="preserve"> </w:t>
      </w:r>
      <w:r w:rsidRPr="00224485">
        <w:t>REIC</w:t>
      </w:r>
      <w:r w:rsidR="0013032F" w:rsidRPr="00224485">
        <w:t xml:space="preserve"> </w:t>
      </w:r>
      <w:r w:rsidRPr="00224485">
        <w:t>thrive:</w:t>
      </w:r>
    </w:p>
    <w:p w14:paraId="7BEE4E8A" w14:textId="7F9E60D9" w:rsidR="00757772" w:rsidRPr="00224485" w:rsidRDefault="00305D3C" w:rsidP="00224485">
      <w:pPr>
        <w:pStyle w:val="ListParagraph"/>
      </w:pPr>
      <w:r w:rsidRPr="00224485">
        <w:t>Plan</w:t>
      </w:r>
      <w:r w:rsidR="0013032F" w:rsidRPr="00224485">
        <w:t xml:space="preserve"> </w:t>
      </w:r>
      <w:r w:rsidRPr="00224485">
        <w:t>for</w:t>
      </w:r>
      <w:r w:rsidR="0013032F" w:rsidRPr="00224485">
        <w:t xml:space="preserve"> </w:t>
      </w:r>
      <w:r w:rsidRPr="00224485">
        <w:t>liveability</w:t>
      </w:r>
      <w:r w:rsidR="0013032F" w:rsidRPr="00224485">
        <w:t xml:space="preserve"> </w:t>
      </w:r>
      <w:r w:rsidRPr="00224485">
        <w:t>and</w:t>
      </w:r>
      <w:r w:rsidR="0013032F" w:rsidRPr="00224485">
        <w:t xml:space="preserve"> </w:t>
      </w:r>
      <w:r w:rsidRPr="00224485">
        <w:t>growth</w:t>
      </w:r>
    </w:p>
    <w:p w14:paraId="0047F7AD" w14:textId="0FDEFE95" w:rsidR="00757772" w:rsidRPr="00224485" w:rsidRDefault="00305D3C" w:rsidP="00224485">
      <w:pPr>
        <w:pStyle w:val="ListParagraph"/>
      </w:pPr>
      <w:r w:rsidRPr="00224485">
        <w:t>Provide</w:t>
      </w:r>
      <w:r w:rsidR="0013032F" w:rsidRPr="00224485">
        <w:t xml:space="preserve"> </w:t>
      </w:r>
      <w:r w:rsidRPr="00224485">
        <w:t>for</w:t>
      </w:r>
      <w:r w:rsidR="0013032F" w:rsidRPr="00224485">
        <w:t xml:space="preserve"> </w:t>
      </w:r>
      <w:r w:rsidRPr="00224485">
        <w:t>connecting</w:t>
      </w:r>
      <w:r w:rsidR="0013032F" w:rsidRPr="00224485">
        <w:t xml:space="preserve"> </w:t>
      </w:r>
      <w:r w:rsidRPr="00224485">
        <w:t>and</w:t>
      </w:r>
      <w:r w:rsidR="0013032F" w:rsidRPr="00224485">
        <w:t xml:space="preserve"> </w:t>
      </w:r>
      <w:r w:rsidRPr="00224485">
        <w:t>enabling</w:t>
      </w:r>
      <w:r w:rsidR="0013032F" w:rsidRPr="00224485">
        <w:t xml:space="preserve"> </w:t>
      </w:r>
      <w:r w:rsidRPr="00224485">
        <w:t>infrastructure</w:t>
      </w:r>
    </w:p>
    <w:p w14:paraId="63F55EEB" w14:textId="375E217E" w:rsidR="00757772" w:rsidRPr="00224485" w:rsidRDefault="00305D3C" w:rsidP="00224485">
      <w:pPr>
        <w:pStyle w:val="ListParagraph"/>
      </w:pPr>
      <w:r w:rsidRPr="00224485">
        <w:t>Build</w:t>
      </w:r>
      <w:r w:rsidR="0013032F" w:rsidRPr="00224485">
        <w:t xml:space="preserve"> </w:t>
      </w:r>
      <w:r w:rsidRPr="00224485">
        <w:t>pathways</w:t>
      </w:r>
      <w:r w:rsidR="0013032F" w:rsidRPr="00224485">
        <w:t xml:space="preserve"> </w:t>
      </w:r>
      <w:r w:rsidRPr="00224485">
        <w:t>to</w:t>
      </w:r>
      <w:r w:rsidR="0013032F" w:rsidRPr="00224485">
        <w:t xml:space="preserve"> </w:t>
      </w:r>
      <w:r w:rsidRPr="00224485">
        <w:t>skills</w:t>
      </w:r>
      <w:r w:rsidR="0013032F" w:rsidRPr="00224485">
        <w:t xml:space="preserve"> </w:t>
      </w:r>
      <w:r w:rsidRPr="00224485">
        <w:t>and</w:t>
      </w:r>
      <w:r w:rsidR="0013032F" w:rsidRPr="00224485">
        <w:t xml:space="preserve"> </w:t>
      </w:r>
      <w:r w:rsidRPr="00224485">
        <w:t>employment</w:t>
      </w:r>
    </w:p>
    <w:p w14:paraId="57474A9E" w14:textId="24D97B63" w:rsidR="00757772" w:rsidRPr="00224485" w:rsidRDefault="00305D3C" w:rsidP="00224485">
      <w:pPr>
        <w:pStyle w:val="ListParagraph"/>
      </w:pPr>
      <w:r w:rsidRPr="00224485">
        <w:t>Encourage</w:t>
      </w:r>
      <w:r w:rsidR="0013032F" w:rsidRPr="00224485">
        <w:t xml:space="preserve"> </w:t>
      </w:r>
      <w:r w:rsidRPr="00224485">
        <w:t>innovation,</w:t>
      </w:r>
      <w:r w:rsidR="0013032F" w:rsidRPr="00224485">
        <w:t xml:space="preserve"> </w:t>
      </w:r>
      <w:r w:rsidRPr="00224485">
        <w:t>entrepreneurship</w:t>
      </w:r>
      <w:r w:rsidR="0013032F" w:rsidRPr="00224485">
        <w:t xml:space="preserve"> </w:t>
      </w:r>
      <w:r w:rsidRPr="00224485">
        <w:t>and</w:t>
      </w:r>
      <w:r w:rsidR="0013032F" w:rsidRPr="00224485">
        <w:t xml:space="preserve"> </w:t>
      </w:r>
      <w:r w:rsidRPr="00224485">
        <w:t>investme</w:t>
      </w:r>
      <w:r w:rsidRPr="00224485">
        <w:t>nt</w:t>
      </w:r>
      <w:r w:rsidR="0013032F" w:rsidRPr="00224485">
        <w:t xml:space="preserve"> </w:t>
      </w:r>
    </w:p>
    <w:p w14:paraId="6506712E" w14:textId="5E0FF214" w:rsidR="00757772" w:rsidRPr="00224485" w:rsidRDefault="00305D3C" w:rsidP="0038203A">
      <w:pPr>
        <w:pStyle w:val="ListParagraph"/>
        <w:spacing w:after="280"/>
      </w:pPr>
      <w:r w:rsidRPr="00224485">
        <w:t>Ensure</w:t>
      </w:r>
      <w:r w:rsidR="0013032F" w:rsidRPr="00224485">
        <w:t xml:space="preserve"> </w:t>
      </w:r>
      <w:r w:rsidRPr="00224485">
        <w:t>that</w:t>
      </w:r>
      <w:r w:rsidR="0013032F" w:rsidRPr="00224485">
        <w:t xml:space="preserve"> </w:t>
      </w:r>
      <w:r w:rsidRPr="00224485">
        <w:t>there</w:t>
      </w:r>
      <w:r w:rsidR="0013032F" w:rsidRPr="00224485">
        <w:t xml:space="preserve"> </w:t>
      </w:r>
      <w:r w:rsidRPr="00224485">
        <w:t>is</w:t>
      </w:r>
      <w:r w:rsidR="0013032F" w:rsidRPr="00224485">
        <w:t xml:space="preserve"> </w:t>
      </w:r>
      <w:r w:rsidRPr="00224485">
        <w:t>good</w:t>
      </w:r>
      <w:r w:rsidR="0013032F" w:rsidRPr="00224485">
        <w:t xml:space="preserve"> </w:t>
      </w:r>
      <w:r w:rsidRPr="00224485">
        <w:t>governance</w:t>
      </w:r>
      <w:r w:rsidR="0013032F" w:rsidRPr="00224485">
        <w:t xml:space="preserve"> </w:t>
      </w:r>
      <w:r w:rsidRPr="00224485">
        <w:t>and</w:t>
      </w:r>
      <w:r w:rsidR="0013032F" w:rsidRPr="00224485">
        <w:t xml:space="preserve"> </w:t>
      </w:r>
      <w:r w:rsidRPr="00224485">
        <w:t>leadership</w:t>
      </w:r>
      <w:r w:rsidR="0013032F" w:rsidRPr="00224485">
        <w:t xml:space="preserve"> </w:t>
      </w:r>
      <w:r w:rsidRPr="00224485">
        <w:t>in</w:t>
      </w:r>
      <w:r w:rsidR="0013032F" w:rsidRPr="00224485">
        <w:t xml:space="preserve"> </w:t>
      </w:r>
      <w:r w:rsidRPr="00224485">
        <w:t>place</w:t>
      </w:r>
    </w:p>
    <w:p w14:paraId="4330CD20" w14:textId="471B0134" w:rsidR="00757772" w:rsidRPr="0038203A" w:rsidRDefault="00305D3C" w:rsidP="0038203A">
      <w:r w:rsidRPr="0038203A">
        <w:t>Through</w:t>
      </w:r>
      <w:r w:rsidR="0013032F" w:rsidRPr="0038203A">
        <w:t xml:space="preserve"> </w:t>
      </w:r>
      <w:r w:rsidRPr="0038203A">
        <w:t>the</w:t>
      </w:r>
      <w:r w:rsidR="0013032F" w:rsidRPr="0038203A">
        <w:t xml:space="preserve"> </w:t>
      </w:r>
      <w:r w:rsidRPr="0038203A">
        <w:t>coordinated</w:t>
      </w:r>
      <w:r w:rsidR="0013032F" w:rsidRPr="0038203A">
        <w:t xml:space="preserve"> </w:t>
      </w:r>
      <w:r w:rsidRPr="0038203A">
        <w:t>efforts</w:t>
      </w:r>
      <w:r w:rsidR="0013032F" w:rsidRPr="0038203A">
        <w:t xml:space="preserve"> </w:t>
      </w:r>
      <w:r w:rsidRPr="0038203A">
        <w:t>of</w:t>
      </w:r>
      <w:r w:rsidR="0013032F" w:rsidRPr="0038203A">
        <w:t xml:space="preserve"> </w:t>
      </w:r>
      <w:r w:rsidRPr="0038203A">
        <w:t>all</w:t>
      </w:r>
      <w:r w:rsidR="0013032F" w:rsidRPr="0038203A">
        <w:t xml:space="preserve"> </w:t>
      </w:r>
      <w:r w:rsidRPr="0038203A">
        <w:t>local</w:t>
      </w:r>
      <w:r w:rsidR="0013032F" w:rsidRPr="0038203A">
        <w:t xml:space="preserve"> </w:t>
      </w:r>
      <w:r w:rsidRPr="0038203A">
        <w:t>government</w:t>
      </w:r>
      <w:r w:rsidR="0013032F" w:rsidRPr="0038203A">
        <w:t xml:space="preserve"> </w:t>
      </w:r>
      <w:r w:rsidRPr="0038203A">
        <w:t>areas,</w:t>
      </w:r>
      <w:r w:rsidR="0013032F" w:rsidRPr="0038203A">
        <w:t xml:space="preserve"> </w:t>
      </w:r>
      <w:r w:rsidRPr="0038203A">
        <w:t>work</w:t>
      </w:r>
      <w:r w:rsidR="0013032F" w:rsidRPr="0038203A">
        <w:t xml:space="preserve"> </w:t>
      </w:r>
      <w:r w:rsidRPr="0038203A">
        <w:t>is</w:t>
      </w:r>
      <w:r w:rsidR="0013032F" w:rsidRPr="0038203A">
        <w:t xml:space="preserve"> </w:t>
      </w:r>
      <w:r w:rsidRPr="0038203A">
        <w:t>progressing</w:t>
      </w:r>
      <w:r w:rsidR="0013032F" w:rsidRPr="0038203A">
        <w:t xml:space="preserve"> </w:t>
      </w:r>
      <w:r w:rsidRPr="0038203A">
        <w:t>against</w:t>
      </w:r>
      <w:r w:rsidR="0013032F" w:rsidRPr="0038203A">
        <w:t xml:space="preserve"> </w:t>
      </w:r>
      <w:r w:rsidRPr="0038203A">
        <w:t>each</w:t>
      </w:r>
      <w:r w:rsidR="0013032F" w:rsidRPr="0038203A">
        <w:t xml:space="preserve"> </w:t>
      </w:r>
      <w:r w:rsidRPr="0038203A">
        <w:t>of</w:t>
      </w:r>
      <w:r w:rsidR="0013032F" w:rsidRPr="0038203A">
        <w:t xml:space="preserve"> </w:t>
      </w:r>
      <w:r w:rsidRPr="0038203A">
        <w:t>these</w:t>
      </w:r>
      <w:r w:rsidR="0013032F" w:rsidRPr="0038203A">
        <w:t xml:space="preserve"> </w:t>
      </w:r>
      <w:r w:rsidRPr="0038203A">
        <w:t>5</w:t>
      </w:r>
      <w:r w:rsidR="0013032F" w:rsidRPr="0038203A">
        <w:t xml:space="preserve"> </w:t>
      </w:r>
      <w:r w:rsidRPr="0038203A">
        <w:t>objectives.</w:t>
      </w:r>
    </w:p>
    <w:p w14:paraId="423A0F2E" w14:textId="77777777" w:rsidR="00757772" w:rsidRDefault="00305D3C" w:rsidP="0038203A">
      <w:pPr>
        <w:pStyle w:val="Heading2"/>
      </w:pPr>
      <w:bookmarkStart w:id="26" w:name="_Toc149566572"/>
      <w:r>
        <w:t>Gippsland</w:t>
      </w:r>
      <w:bookmarkEnd w:id="26"/>
    </w:p>
    <w:p w14:paraId="48652749" w14:textId="0265AD82" w:rsidR="00757772" w:rsidRDefault="00305D3C" w:rsidP="0038203A">
      <w:r>
        <w:t>In</w:t>
      </w:r>
      <w:r w:rsidR="0013032F">
        <w:t xml:space="preserve"> </w:t>
      </w:r>
      <w:r>
        <w:t>2022–23,</w:t>
      </w:r>
      <w:r w:rsidR="0013032F">
        <w:t xml:space="preserve"> </w:t>
      </w:r>
      <w:r>
        <w:t>the</w:t>
      </w:r>
      <w:r w:rsidR="0013032F">
        <w:t xml:space="preserve"> </w:t>
      </w:r>
      <w:r>
        <w:t>Gippsland</w:t>
      </w:r>
      <w:r w:rsidR="0013032F">
        <w:t xml:space="preserve"> </w:t>
      </w:r>
      <w:r>
        <w:t>Regional</w:t>
      </w:r>
      <w:r w:rsidR="0013032F">
        <w:t xml:space="preserve"> </w:t>
      </w:r>
      <w:r>
        <w:t>Partnership</w:t>
      </w:r>
      <w:r w:rsidR="0013032F">
        <w:t xml:space="preserve"> </w:t>
      </w:r>
      <w:r>
        <w:t>(GRP)</w:t>
      </w:r>
      <w:r w:rsidR="0013032F">
        <w:t xml:space="preserve"> </w:t>
      </w:r>
      <w:r>
        <w:t>continued</w:t>
      </w:r>
      <w:r w:rsidR="0013032F">
        <w:t xml:space="preserve"> </w:t>
      </w:r>
      <w:r>
        <w:t>to</w:t>
      </w:r>
      <w:r w:rsidR="0013032F">
        <w:t xml:space="preserve"> </w:t>
      </w:r>
      <w:r>
        <w:t>deliver</w:t>
      </w:r>
      <w:r w:rsidR="0013032F">
        <w:t xml:space="preserve"> </w:t>
      </w:r>
      <w:r>
        <w:t>its</w:t>
      </w:r>
      <w:r w:rsidR="0013032F">
        <w:t xml:space="preserve"> </w:t>
      </w:r>
      <w:r>
        <w:t>migration</w:t>
      </w:r>
      <w:r w:rsidR="0013032F">
        <w:t xml:space="preserve"> </w:t>
      </w:r>
      <w:r>
        <w:t>planning,</w:t>
      </w:r>
      <w:r w:rsidR="0013032F">
        <w:t xml:space="preserve"> </w:t>
      </w:r>
      <w:r>
        <w:t>workforce</w:t>
      </w:r>
      <w:r w:rsidR="0013032F">
        <w:t xml:space="preserve"> </w:t>
      </w:r>
      <w:r>
        <w:t>housing,</w:t>
      </w:r>
      <w:r w:rsidR="0013032F">
        <w:t xml:space="preserve"> </w:t>
      </w:r>
      <w:r>
        <w:t>positive</w:t>
      </w:r>
      <w:r w:rsidR="0013032F">
        <w:t xml:space="preserve"> </w:t>
      </w:r>
      <w:r>
        <w:t>advocacy</w:t>
      </w:r>
      <w:r w:rsidR="0013032F">
        <w:t xml:space="preserve"> </w:t>
      </w:r>
      <w:r>
        <w:t>campaign</w:t>
      </w:r>
      <w:r w:rsidR="0013032F">
        <w:t xml:space="preserve"> </w:t>
      </w:r>
      <w:r>
        <w:t>and</w:t>
      </w:r>
      <w:r w:rsidR="0013032F">
        <w:t xml:space="preserve"> </w:t>
      </w:r>
      <w:r>
        <w:t>digital</w:t>
      </w:r>
      <w:r w:rsidR="0013032F">
        <w:t xml:space="preserve"> </w:t>
      </w:r>
      <w:r>
        <w:t>literacy</w:t>
      </w:r>
      <w:r w:rsidR="0013032F">
        <w:t xml:space="preserve"> </w:t>
      </w:r>
      <w:r>
        <w:t>and</w:t>
      </w:r>
      <w:r w:rsidR="0013032F">
        <w:t xml:space="preserve"> </w:t>
      </w:r>
      <w:r>
        <w:t>access</w:t>
      </w:r>
      <w:r w:rsidR="0013032F">
        <w:t xml:space="preserve"> </w:t>
      </w:r>
      <w:r>
        <w:t>priorities</w:t>
      </w:r>
      <w:r w:rsidR="0013032F">
        <w:t xml:space="preserve"> </w:t>
      </w:r>
      <w:r>
        <w:t>for</w:t>
      </w:r>
      <w:r w:rsidR="0013032F">
        <w:t xml:space="preserve"> </w:t>
      </w:r>
      <w:r>
        <w:t>the</w:t>
      </w:r>
      <w:r w:rsidR="0013032F">
        <w:t xml:space="preserve"> </w:t>
      </w:r>
      <w:r>
        <w:t>region.</w:t>
      </w:r>
    </w:p>
    <w:p w14:paraId="6BA0F19C" w14:textId="5E93D42B" w:rsidR="00757772" w:rsidRDefault="00305D3C" w:rsidP="0038203A">
      <w:pPr>
        <w:pStyle w:val="Heading3"/>
      </w:pPr>
      <w:r>
        <w:t>Regional</w:t>
      </w:r>
      <w:r w:rsidR="0013032F">
        <w:t xml:space="preserve"> </w:t>
      </w:r>
      <w:r>
        <w:t>priorities:</w:t>
      </w:r>
    </w:p>
    <w:p w14:paraId="1861E290" w14:textId="66218C7E" w:rsidR="00757772" w:rsidRDefault="00305D3C" w:rsidP="0038203A">
      <w:pPr>
        <w:pStyle w:val="Bullet"/>
      </w:pPr>
      <w:r w:rsidRPr="0038203A">
        <w:rPr>
          <w:b/>
          <w:bCs/>
        </w:rPr>
        <w:t>Improve</w:t>
      </w:r>
      <w:r w:rsidR="0013032F" w:rsidRPr="0038203A">
        <w:rPr>
          <w:b/>
          <w:bCs/>
        </w:rPr>
        <w:t xml:space="preserve"> </w:t>
      </w:r>
      <w:r w:rsidRPr="0038203A">
        <w:rPr>
          <w:b/>
          <w:bCs/>
        </w:rPr>
        <w:t>housing</w:t>
      </w:r>
      <w:r w:rsidR="0013032F" w:rsidRPr="0038203A">
        <w:rPr>
          <w:b/>
          <w:bCs/>
        </w:rPr>
        <w:t xml:space="preserve"> </w:t>
      </w:r>
      <w:r w:rsidRPr="0038203A">
        <w:rPr>
          <w:b/>
          <w:bCs/>
        </w:rPr>
        <w:t>supply</w:t>
      </w:r>
      <w:r w:rsidR="0013032F" w:rsidRPr="0038203A">
        <w:rPr>
          <w:b/>
          <w:bCs/>
        </w:rPr>
        <w:t xml:space="preserve"> </w:t>
      </w:r>
      <w:r w:rsidRPr="0038203A">
        <w:rPr>
          <w:b/>
          <w:bCs/>
        </w:rPr>
        <w:t>and</w:t>
      </w:r>
      <w:r w:rsidR="0013032F" w:rsidRPr="0038203A">
        <w:rPr>
          <w:b/>
          <w:bCs/>
        </w:rPr>
        <w:t xml:space="preserve"> </w:t>
      </w:r>
      <w:r w:rsidRPr="0038203A">
        <w:rPr>
          <w:b/>
          <w:bCs/>
        </w:rPr>
        <w:t>affordability</w:t>
      </w:r>
      <w:r w:rsidR="0013032F" w:rsidRPr="0038203A">
        <w:rPr>
          <w:b/>
          <w:bCs/>
        </w:rPr>
        <w:t xml:space="preserve"> </w:t>
      </w:r>
      <w:r>
        <w:t>–</w:t>
      </w:r>
      <w:r w:rsidR="0013032F">
        <w:t xml:space="preserve"> </w:t>
      </w:r>
      <w:r>
        <w:t>undertook</w:t>
      </w:r>
      <w:r w:rsidR="0013032F">
        <w:t xml:space="preserve"> </w:t>
      </w:r>
      <w:r>
        <w:t>an</w:t>
      </w:r>
      <w:r w:rsidR="0013032F">
        <w:t xml:space="preserve"> </w:t>
      </w:r>
      <w:r>
        <w:t>environmental</w:t>
      </w:r>
      <w:r w:rsidR="0013032F">
        <w:t xml:space="preserve"> </w:t>
      </w:r>
      <w:r>
        <w:t>scan</w:t>
      </w:r>
      <w:r w:rsidR="0013032F">
        <w:t xml:space="preserve"> </w:t>
      </w:r>
      <w:r>
        <w:t>and</w:t>
      </w:r>
      <w:r w:rsidR="0013032F">
        <w:t xml:space="preserve"> </w:t>
      </w:r>
      <w:r>
        <w:t>developed</w:t>
      </w:r>
      <w:r w:rsidR="0013032F">
        <w:t xml:space="preserve"> </w:t>
      </w:r>
      <w:r>
        <w:t>a</w:t>
      </w:r>
      <w:r w:rsidR="0013032F">
        <w:t xml:space="preserve"> </w:t>
      </w:r>
      <w:r>
        <w:t>workforce</w:t>
      </w:r>
      <w:r w:rsidR="0013032F">
        <w:t xml:space="preserve"> </w:t>
      </w:r>
      <w:r>
        <w:t>housing</w:t>
      </w:r>
      <w:r w:rsidR="0013032F">
        <w:t xml:space="preserve"> </w:t>
      </w:r>
      <w:r>
        <w:t>report</w:t>
      </w:r>
      <w:r w:rsidR="0013032F">
        <w:t xml:space="preserve"> </w:t>
      </w:r>
      <w:r>
        <w:t>in</w:t>
      </w:r>
      <w:r w:rsidR="0013032F">
        <w:t xml:space="preserve"> </w:t>
      </w:r>
      <w:r>
        <w:t>close</w:t>
      </w:r>
      <w:r w:rsidR="0013032F">
        <w:t xml:space="preserve"> </w:t>
      </w:r>
      <w:r>
        <w:t>collaboration</w:t>
      </w:r>
      <w:r w:rsidR="0013032F">
        <w:t xml:space="preserve"> </w:t>
      </w:r>
      <w:r>
        <w:t>with</w:t>
      </w:r>
      <w:r w:rsidR="0013032F">
        <w:t xml:space="preserve"> </w:t>
      </w:r>
      <w:r>
        <w:t>Gippsland’s</w:t>
      </w:r>
      <w:r w:rsidR="0013032F">
        <w:t xml:space="preserve"> </w:t>
      </w:r>
      <w:r>
        <w:t>local</w:t>
      </w:r>
      <w:r w:rsidR="0013032F">
        <w:t xml:space="preserve"> </w:t>
      </w:r>
      <w:r>
        <w:t>councils.</w:t>
      </w:r>
      <w:r w:rsidR="0013032F">
        <w:t xml:space="preserve"> </w:t>
      </w:r>
      <w:r>
        <w:t>The</w:t>
      </w:r>
      <w:r w:rsidR="0013032F">
        <w:t xml:space="preserve"> </w:t>
      </w:r>
      <w:r>
        <w:t>report</w:t>
      </w:r>
      <w:r w:rsidR="0013032F">
        <w:t xml:space="preserve"> </w:t>
      </w:r>
      <w:r>
        <w:t>identified</w:t>
      </w:r>
      <w:r w:rsidR="0013032F">
        <w:t xml:space="preserve"> </w:t>
      </w:r>
      <w:r>
        <w:t>housing</w:t>
      </w:r>
      <w:r w:rsidR="0013032F">
        <w:t xml:space="preserve"> </w:t>
      </w:r>
      <w:r>
        <w:t>challenges</w:t>
      </w:r>
      <w:r w:rsidR="0013032F">
        <w:t xml:space="preserve"> </w:t>
      </w:r>
      <w:r>
        <w:t>and</w:t>
      </w:r>
      <w:r w:rsidR="0013032F">
        <w:t xml:space="preserve"> </w:t>
      </w:r>
      <w:r>
        <w:t>potential</w:t>
      </w:r>
      <w:r w:rsidR="0013032F">
        <w:t xml:space="preserve"> </w:t>
      </w:r>
      <w:r>
        <w:t>solutions</w:t>
      </w:r>
      <w:r w:rsidR="0013032F">
        <w:t xml:space="preserve"> </w:t>
      </w:r>
      <w:r>
        <w:t>for</w:t>
      </w:r>
      <w:r w:rsidR="0013032F">
        <w:t xml:space="preserve"> </w:t>
      </w:r>
      <w:r>
        <w:t>the</w:t>
      </w:r>
      <w:r w:rsidR="0013032F">
        <w:t xml:space="preserve"> </w:t>
      </w:r>
      <w:r>
        <w:t>following</w:t>
      </w:r>
      <w:r w:rsidR="0013032F">
        <w:t xml:space="preserve"> </w:t>
      </w:r>
      <w:r>
        <w:t>key</w:t>
      </w:r>
      <w:r w:rsidR="0013032F">
        <w:t xml:space="preserve"> </w:t>
      </w:r>
      <w:r>
        <w:t>sectors:</w:t>
      </w:r>
      <w:r w:rsidR="0013032F">
        <w:t xml:space="preserve"> </w:t>
      </w:r>
    </w:p>
    <w:p w14:paraId="7E3D6F92" w14:textId="163F7B44" w:rsidR="00757772" w:rsidRDefault="00305D3C" w:rsidP="0038203A">
      <w:pPr>
        <w:pStyle w:val="Bullet2"/>
      </w:pPr>
      <w:r>
        <w:t>Offshore</w:t>
      </w:r>
      <w:r w:rsidR="0013032F">
        <w:t xml:space="preserve"> </w:t>
      </w:r>
      <w:r>
        <w:t>wind</w:t>
      </w:r>
    </w:p>
    <w:p w14:paraId="15EE3C43" w14:textId="71BBBAC0" w:rsidR="00757772" w:rsidRDefault="00305D3C" w:rsidP="0038203A">
      <w:pPr>
        <w:pStyle w:val="Bullet2"/>
      </w:pPr>
      <w:r>
        <w:t>Agriculture</w:t>
      </w:r>
      <w:r w:rsidR="0013032F">
        <w:t xml:space="preserve"> </w:t>
      </w:r>
      <w:r>
        <w:t>and</w:t>
      </w:r>
      <w:r w:rsidR="0013032F">
        <w:t xml:space="preserve"> </w:t>
      </w:r>
      <w:r>
        <w:t>primary</w:t>
      </w:r>
      <w:r w:rsidR="0013032F">
        <w:t xml:space="preserve"> </w:t>
      </w:r>
      <w:r>
        <w:t>production</w:t>
      </w:r>
    </w:p>
    <w:p w14:paraId="6F8A9281" w14:textId="5217E15C" w:rsidR="00757772" w:rsidRDefault="00305D3C" w:rsidP="0038203A">
      <w:pPr>
        <w:pStyle w:val="Bullet2"/>
      </w:pPr>
      <w:r>
        <w:t>Tourism</w:t>
      </w:r>
      <w:r w:rsidR="0013032F">
        <w:t xml:space="preserve"> </w:t>
      </w:r>
      <w:r>
        <w:t>and</w:t>
      </w:r>
      <w:r w:rsidR="0013032F">
        <w:t xml:space="preserve"> </w:t>
      </w:r>
      <w:r>
        <w:t>visitor</w:t>
      </w:r>
      <w:r w:rsidR="0013032F">
        <w:t xml:space="preserve"> </w:t>
      </w:r>
      <w:r>
        <w:t>economy</w:t>
      </w:r>
    </w:p>
    <w:p w14:paraId="32235999" w14:textId="77777777" w:rsidR="00757772" w:rsidRDefault="00305D3C" w:rsidP="0038203A">
      <w:pPr>
        <w:pStyle w:val="Bullet2"/>
      </w:pPr>
      <w:r>
        <w:lastRenderedPageBreak/>
        <w:t>Education</w:t>
      </w:r>
    </w:p>
    <w:p w14:paraId="11310A71" w14:textId="77777777" w:rsidR="00757772" w:rsidRDefault="00305D3C" w:rsidP="0038203A">
      <w:pPr>
        <w:pStyle w:val="Bullet2"/>
      </w:pPr>
      <w:r>
        <w:t>Health</w:t>
      </w:r>
    </w:p>
    <w:p w14:paraId="216A4BF2" w14:textId="63E4EEC6" w:rsidR="00757772" w:rsidRDefault="00305D3C" w:rsidP="0038203A">
      <w:pPr>
        <w:pStyle w:val="Bullet"/>
      </w:pPr>
      <w:r w:rsidRPr="0038203A">
        <w:rPr>
          <w:b/>
          <w:bCs/>
        </w:rPr>
        <w:t>Attract</w:t>
      </w:r>
      <w:r w:rsidR="0013032F" w:rsidRPr="0038203A">
        <w:rPr>
          <w:b/>
          <w:bCs/>
        </w:rPr>
        <w:t xml:space="preserve"> </w:t>
      </w:r>
      <w:r w:rsidRPr="0038203A">
        <w:rPr>
          <w:b/>
          <w:bCs/>
        </w:rPr>
        <w:t>migration</w:t>
      </w:r>
      <w:r w:rsidR="0013032F">
        <w:rPr>
          <w:rFonts w:ascii="VIC" w:hAnsi="VIC" w:cs="VIC"/>
          <w:b/>
          <w:bCs/>
        </w:rPr>
        <w:t xml:space="preserve"> </w:t>
      </w:r>
      <w:r>
        <w:t>–</w:t>
      </w:r>
      <w:r w:rsidR="0013032F">
        <w:t xml:space="preserve"> </w:t>
      </w:r>
      <w:r>
        <w:t>identified</w:t>
      </w:r>
      <w:r w:rsidR="0013032F">
        <w:t xml:space="preserve"> </w:t>
      </w:r>
      <w:r>
        <w:t>a</w:t>
      </w:r>
      <w:r w:rsidR="0013032F">
        <w:t xml:space="preserve"> </w:t>
      </w:r>
      <w:r>
        <w:t>migration</w:t>
      </w:r>
      <w:r w:rsidR="0013032F">
        <w:t xml:space="preserve"> </w:t>
      </w:r>
      <w:r>
        <w:t>attraction</w:t>
      </w:r>
      <w:r w:rsidR="0013032F">
        <w:t xml:space="preserve"> </w:t>
      </w:r>
      <w:r>
        <w:t>priority</w:t>
      </w:r>
      <w:r w:rsidR="0013032F">
        <w:t xml:space="preserve"> </w:t>
      </w:r>
      <w:r>
        <w:t>to</w:t>
      </w:r>
      <w:r w:rsidR="0013032F">
        <w:t xml:space="preserve"> </w:t>
      </w:r>
      <w:r>
        <w:t>address</w:t>
      </w:r>
      <w:r w:rsidR="0013032F">
        <w:t xml:space="preserve"> </w:t>
      </w:r>
      <w:r>
        <w:t>workforce</w:t>
      </w:r>
      <w:r w:rsidR="0013032F">
        <w:t xml:space="preserve"> </w:t>
      </w:r>
      <w:r>
        <w:t>shortages</w:t>
      </w:r>
      <w:r w:rsidR="0013032F">
        <w:t xml:space="preserve"> </w:t>
      </w:r>
      <w:r>
        <w:t>and</w:t>
      </w:r>
      <w:r w:rsidR="0013032F">
        <w:t xml:space="preserve"> </w:t>
      </w:r>
      <w:r>
        <w:t>enhance</w:t>
      </w:r>
      <w:r w:rsidR="0013032F">
        <w:t xml:space="preserve"> </w:t>
      </w:r>
      <w:r>
        <w:t>the</w:t>
      </w:r>
      <w:r w:rsidR="0013032F">
        <w:t xml:space="preserve"> </w:t>
      </w:r>
      <w:r>
        <w:t>support</w:t>
      </w:r>
      <w:r w:rsidR="0013032F">
        <w:t xml:space="preserve"> </w:t>
      </w:r>
      <w:r>
        <w:t>available</w:t>
      </w:r>
      <w:r w:rsidR="0013032F">
        <w:t xml:space="preserve"> </w:t>
      </w:r>
      <w:r>
        <w:t>for</w:t>
      </w:r>
      <w:r w:rsidR="0013032F">
        <w:t xml:space="preserve"> </w:t>
      </w:r>
      <w:r>
        <w:t>newcomers.</w:t>
      </w:r>
      <w:r w:rsidR="0013032F">
        <w:t xml:space="preserve"> </w:t>
      </w:r>
      <w:r>
        <w:t>In</w:t>
      </w:r>
      <w:r w:rsidR="0013032F">
        <w:t xml:space="preserve"> </w:t>
      </w:r>
      <w:r>
        <w:t>2022–23</w:t>
      </w:r>
      <w:r w:rsidR="0013032F">
        <w:t xml:space="preserve"> </w:t>
      </w:r>
      <w:r>
        <w:t>the</w:t>
      </w:r>
      <w:r w:rsidR="0013032F">
        <w:t xml:space="preserve"> </w:t>
      </w:r>
      <w:r>
        <w:t>partnership</w:t>
      </w:r>
      <w:r w:rsidR="0013032F">
        <w:t xml:space="preserve"> </w:t>
      </w:r>
      <w:r>
        <w:t>consulted</w:t>
      </w:r>
      <w:r w:rsidR="0013032F">
        <w:t xml:space="preserve"> </w:t>
      </w:r>
      <w:r>
        <w:t>with</w:t>
      </w:r>
      <w:r w:rsidR="0013032F">
        <w:t xml:space="preserve"> </w:t>
      </w:r>
      <w:r>
        <w:t>Talia</w:t>
      </w:r>
      <w:r w:rsidR="0013032F">
        <w:t xml:space="preserve"> </w:t>
      </w:r>
      <w:r>
        <w:t>Stump,</w:t>
      </w:r>
      <w:r w:rsidR="0013032F">
        <w:t xml:space="preserve"> </w:t>
      </w:r>
      <w:r>
        <w:t>Churchill</w:t>
      </w:r>
      <w:r w:rsidR="0013032F">
        <w:t xml:space="preserve"> </w:t>
      </w:r>
      <w:r>
        <w:t>Fellow</w:t>
      </w:r>
      <w:r w:rsidR="0013032F">
        <w:t xml:space="preserve"> </w:t>
      </w:r>
      <w:r>
        <w:t>who</w:t>
      </w:r>
      <w:r w:rsidR="0013032F">
        <w:t xml:space="preserve"> </w:t>
      </w:r>
      <w:r>
        <w:t>researched</w:t>
      </w:r>
      <w:r w:rsidR="0013032F">
        <w:t xml:space="preserve"> </w:t>
      </w:r>
      <w:r>
        <w:t>regional</w:t>
      </w:r>
      <w:r w:rsidR="0013032F">
        <w:t xml:space="preserve"> </w:t>
      </w:r>
      <w:r>
        <w:t>migration</w:t>
      </w:r>
      <w:r w:rsidR="0013032F">
        <w:t xml:space="preserve"> </w:t>
      </w:r>
      <w:r>
        <w:t>in</w:t>
      </w:r>
      <w:r w:rsidR="0013032F">
        <w:t xml:space="preserve"> </w:t>
      </w:r>
      <w:r>
        <w:t>Europe</w:t>
      </w:r>
      <w:r w:rsidR="0013032F">
        <w:t xml:space="preserve"> </w:t>
      </w:r>
      <w:r>
        <w:t>and</w:t>
      </w:r>
      <w:r w:rsidR="0013032F">
        <w:t xml:space="preserve"> </w:t>
      </w:r>
      <w:r>
        <w:t>North</w:t>
      </w:r>
      <w:r w:rsidR="0013032F">
        <w:t xml:space="preserve"> </w:t>
      </w:r>
      <w:r>
        <w:t>America.</w:t>
      </w:r>
      <w:r w:rsidR="0013032F">
        <w:t xml:space="preserve"> </w:t>
      </w:r>
      <w:r>
        <w:t>Subsequently</w:t>
      </w:r>
      <w:r w:rsidR="0013032F">
        <w:t xml:space="preserve"> </w:t>
      </w:r>
      <w:r>
        <w:t>the</w:t>
      </w:r>
      <w:r w:rsidR="0013032F">
        <w:t xml:space="preserve"> </w:t>
      </w:r>
      <w:r>
        <w:t>partnership</w:t>
      </w:r>
      <w:r w:rsidR="0013032F">
        <w:t xml:space="preserve"> </w:t>
      </w:r>
      <w:r>
        <w:t>developed</w:t>
      </w:r>
      <w:r w:rsidR="0013032F">
        <w:t xml:space="preserve"> </w:t>
      </w:r>
      <w:r>
        <w:t>a</w:t>
      </w:r>
      <w:r w:rsidR="0013032F">
        <w:t xml:space="preserve"> </w:t>
      </w:r>
      <w:r>
        <w:t>detailed</w:t>
      </w:r>
      <w:r w:rsidR="0013032F">
        <w:t xml:space="preserve"> </w:t>
      </w:r>
      <w:r>
        <w:t>strategy</w:t>
      </w:r>
      <w:r w:rsidR="0013032F">
        <w:t xml:space="preserve"> </w:t>
      </w:r>
      <w:r>
        <w:t>that</w:t>
      </w:r>
      <w:r w:rsidR="0013032F">
        <w:t xml:space="preserve"> </w:t>
      </w:r>
      <w:r>
        <w:t>identified</w:t>
      </w:r>
      <w:r w:rsidR="0013032F">
        <w:t xml:space="preserve"> </w:t>
      </w:r>
      <w:r>
        <w:t>the</w:t>
      </w:r>
      <w:r w:rsidR="0013032F">
        <w:t xml:space="preserve"> </w:t>
      </w:r>
      <w:r>
        <w:t>next</w:t>
      </w:r>
      <w:r w:rsidR="0013032F">
        <w:t xml:space="preserve"> </w:t>
      </w:r>
      <w:r>
        <w:t>steps</w:t>
      </w:r>
      <w:r w:rsidR="0013032F">
        <w:t xml:space="preserve"> </w:t>
      </w:r>
      <w:r>
        <w:t>including</w:t>
      </w:r>
      <w:r w:rsidR="0013032F">
        <w:t xml:space="preserve"> </w:t>
      </w:r>
      <w:r>
        <w:t>undertaking</w:t>
      </w:r>
      <w:r w:rsidR="0013032F">
        <w:t xml:space="preserve"> </w:t>
      </w:r>
      <w:r>
        <w:t>broad</w:t>
      </w:r>
      <w:r w:rsidR="0013032F">
        <w:t xml:space="preserve"> </w:t>
      </w:r>
      <w:r>
        <w:t>community</w:t>
      </w:r>
      <w:r w:rsidR="0013032F">
        <w:t xml:space="preserve"> </w:t>
      </w:r>
      <w:r>
        <w:t>engagement</w:t>
      </w:r>
      <w:r w:rsidR="0013032F">
        <w:t xml:space="preserve"> </w:t>
      </w:r>
      <w:r>
        <w:t>to</w:t>
      </w:r>
      <w:r w:rsidR="0013032F">
        <w:t xml:space="preserve"> </w:t>
      </w:r>
      <w:r>
        <w:t>establish</w:t>
      </w:r>
      <w:r w:rsidR="0013032F">
        <w:t xml:space="preserve"> </w:t>
      </w:r>
      <w:r>
        <w:t>a</w:t>
      </w:r>
      <w:r w:rsidR="0013032F">
        <w:t xml:space="preserve"> </w:t>
      </w:r>
      <w:r>
        <w:t>vision</w:t>
      </w:r>
      <w:r w:rsidR="0013032F">
        <w:t xml:space="preserve"> </w:t>
      </w:r>
      <w:r>
        <w:t>and</w:t>
      </w:r>
      <w:r w:rsidR="0013032F">
        <w:t xml:space="preserve"> </w:t>
      </w:r>
      <w:r>
        <w:t>practical</w:t>
      </w:r>
      <w:r w:rsidR="0013032F">
        <w:t xml:space="preserve"> </w:t>
      </w:r>
      <w:r>
        <w:t>guide</w:t>
      </w:r>
      <w:r w:rsidR="0013032F">
        <w:t xml:space="preserve"> </w:t>
      </w:r>
      <w:r>
        <w:t>to</w:t>
      </w:r>
      <w:r w:rsidR="0013032F">
        <w:t xml:space="preserve"> </w:t>
      </w:r>
      <w:r>
        <w:t>delivering</w:t>
      </w:r>
      <w:r w:rsidR="0013032F">
        <w:t xml:space="preserve"> </w:t>
      </w:r>
      <w:r>
        <w:t>this</w:t>
      </w:r>
      <w:r w:rsidR="0013032F">
        <w:t xml:space="preserve"> </w:t>
      </w:r>
      <w:r>
        <w:t>priority</w:t>
      </w:r>
    </w:p>
    <w:p w14:paraId="05F053EA" w14:textId="246B0B84" w:rsidR="00757772" w:rsidRDefault="00305D3C" w:rsidP="0038203A">
      <w:pPr>
        <w:pStyle w:val="Bulletlast"/>
      </w:pPr>
      <w:r w:rsidRPr="0038203A">
        <w:rPr>
          <w:b/>
          <w:bCs/>
        </w:rPr>
        <w:t>Positive</w:t>
      </w:r>
      <w:r w:rsidR="0013032F" w:rsidRPr="0038203A">
        <w:rPr>
          <w:b/>
          <w:bCs/>
        </w:rPr>
        <w:t xml:space="preserve"> </w:t>
      </w:r>
      <w:r w:rsidRPr="0038203A">
        <w:rPr>
          <w:b/>
          <w:bCs/>
        </w:rPr>
        <w:t>advocacy</w:t>
      </w:r>
      <w:r w:rsidR="0013032F" w:rsidRPr="0038203A">
        <w:rPr>
          <w:b/>
          <w:bCs/>
        </w:rPr>
        <w:t xml:space="preserve"> </w:t>
      </w:r>
      <w:r w:rsidRPr="0038203A">
        <w:rPr>
          <w:b/>
          <w:bCs/>
        </w:rPr>
        <w:t>campaign</w:t>
      </w:r>
      <w:r w:rsidR="0013032F" w:rsidRPr="0038203A">
        <w:rPr>
          <w:b/>
          <w:bCs/>
        </w:rPr>
        <w:t xml:space="preserve"> </w:t>
      </w:r>
      <w:r>
        <w:rPr>
          <w:spacing w:val="-2"/>
        </w:rPr>
        <w:t>–</w:t>
      </w:r>
      <w:r w:rsidR="0013032F">
        <w:rPr>
          <w:spacing w:val="-2"/>
        </w:rPr>
        <w:t xml:space="preserve"> </w:t>
      </w:r>
      <w:r>
        <w:rPr>
          <w:spacing w:val="-2"/>
        </w:rPr>
        <w:t>promoted</w:t>
      </w:r>
      <w:r w:rsidR="0013032F">
        <w:rPr>
          <w:spacing w:val="-2"/>
        </w:rPr>
        <w:t xml:space="preserve"> </w:t>
      </w:r>
      <w:r>
        <w:rPr>
          <w:spacing w:val="-2"/>
        </w:rPr>
        <w:t>a</w:t>
      </w:r>
      <w:r w:rsidR="0013032F">
        <w:rPr>
          <w:spacing w:val="-2"/>
        </w:rPr>
        <w:t xml:space="preserve"> </w:t>
      </w:r>
      <w:r>
        <w:rPr>
          <w:spacing w:val="-2"/>
        </w:rPr>
        <w:t>positive</w:t>
      </w:r>
      <w:r w:rsidR="0013032F">
        <w:rPr>
          <w:spacing w:val="-2"/>
        </w:rPr>
        <w:t xml:space="preserve"> </w:t>
      </w:r>
      <w:r>
        <w:t>narrative</w:t>
      </w:r>
      <w:r w:rsidR="0013032F">
        <w:t xml:space="preserve"> </w:t>
      </w:r>
      <w:r>
        <w:t>for</w:t>
      </w:r>
      <w:r w:rsidR="0013032F">
        <w:t xml:space="preserve"> </w:t>
      </w:r>
      <w:r>
        <w:t>Gippsland,</w:t>
      </w:r>
      <w:r w:rsidR="0013032F">
        <w:t xml:space="preserve"> </w:t>
      </w:r>
      <w:r>
        <w:t>focusing</w:t>
      </w:r>
      <w:r w:rsidR="0013032F">
        <w:t xml:space="preserve"> </w:t>
      </w:r>
      <w:r>
        <w:t>on</w:t>
      </w:r>
      <w:r w:rsidR="0013032F">
        <w:t xml:space="preserve"> </w:t>
      </w:r>
      <w:r>
        <w:t>advocating</w:t>
      </w:r>
      <w:r w:rsidR="0013032F">
        <w:t xml:space="preserve"> </w:t>
      </w:r>
      <w:r>
        <w:t>for</w:t>
      </w:r>
      <w:r w:rsidR="0013032F">
        <w:t xml:space="preserve"> </w:t>
      </w:r>
      <w:r>
        <w:t>opportunities</w:t>
      </w:r>
      <w:r w:rsidR="0013032F">
        <w:t xml:space="preserve"> </w:t>
      </w:r>
      <w:r>
        <w:t>of</w:t>
      </w:r>
      <w:r w:rsidR="0013032F">
        <w:t xml:space="preserve"> </w:t>
      </w:r>
      <w:r>
        <w:t>the</w:t>
      </w:r>
      <w:r w:rsidR="0013032F">
        <w:t xml:space="preserve"> </w:t>
      </w:r>
      <w:r>
        <w:t>region.</w:t>
      </w:r>
      <w:r w:rsidR="0013032F">
        <w:t xml:space="preserve"> </w:t>
      </w:r>
      <w:r>
        <w:t>The</w:t>
      </w:r>
      <w:r w:rsidR="0013032F">
        <w:t xml:space="preserve"> </w:t>
      </w:r>
      <w:r>
        <w:t>partnership</w:t>
      </w:r>
      <w:r w:rsidR="0013032F">
        <w:t xml:space="preserve"> </w:t>
      </w:r>
      <w:r>
        <w:rPr>
          <w:spacing w:val="-2"/>
        </w:rPr>
        <w:t>published</w:t>
      </w:r>
      <w:r w:rsidR="0013032F">
        <w:rPr>
          <w:spacing w:val="-2"/>
        </w:rPr>
        <w:t xml:space="preserve"> </w:t>
      </w:r>
      <w:r>
        <w:rPr>
          <w:spacing w:val="-2"/>
        </w:rPr>
        <w:t>4</w:t>
      </w:r>
      <w:r w:rsidR="0013032F">
        <w:rPr>
          <w:spacing w:val="-2"/>
        </w:rPr>
        <w:t xml:space="preserve"> </w:t>
      </w:r>
      <w:r>
        <w:rPr>
          <w:spacing w:val="-2"/>
        </w:rPr>
        <w:t>advertorials</w:t>
      </w:r>
      <w:r w:rsidR="0013032F">
        <w:rPr>
          <w:spacing w:val="-2"/>
        </w:rPr>
        <w:t xml:space="preserve"> </w:t>
      </w:r>
      <w:r>
        <w:rPr>
          <w:spacing w:val="-2"/>
        </w:rPr>
        <w:t>in</w:t>
      </w:r>
      <w:r w:rsidR="0013032F">
        <w:rPr>
          <w:spacing w:val="-2"/>
        </w:rPr>
        <w:t xml:space="preserve"> </w:t>
      </w:r>
      <w:r>
        <w:rPr>
          <w:spacing w:val="-2"/>
        </w:rPr>
        <w:t>local</w:t>
      </w:r>
      <w:r w:rsidR="0013032F">
        <w:rPr>
          <w:spacing w:val="-2"/>
        </w:rPr>
        <w:t xml:space="preserve"> </w:t>
      </w:r>
      <w:r>
        <w:rPr>
          <w:spacing w:val="-2"/>
        </w:rPr>
        <w:t>paper</w:t>
      </w:r>
      <w:r w:rsidR="0013032F">
        <w:rPr>
          <w:spacing w:val="-2"/>
        </w:rPr>
        <w:t xml:space="preserve"> </w:t>
      </w:r>
      <w:proofErr w:type="spellStart"/>
      <w:r w:rsidRPr="0038203A">
        <w:rPr>
          <w:i/>
          <w:iCs/>
        </w:rPr>
        <w:t>Gippslandia</w:t>
      </w:r>
      <w:proofErr w:type="spellEnd"/>
      <w:r w:rsidR="0013032F">
        <w:rPr>
          <w:rStyle w:val="LIGHTITALIC"/>
          <w:rFonts w:ascii="VIC Light Italic" w:hAnsi="VIC Light Italic" w:cs="VIC Light Italic"/>
          <w:i w:val="0"/>
          <w:iCs w:val="0"/>
          <w:spacing w:val="-2"/>
        </w:rPr>
        <w:t xml:space="preserve"> </w:t>
      </w:r>
      <w:r>
        <w:t>in</w:t>
      </w:r>
      <w:r w:rsidR="0013032F">
        <w:t xml:space="preserve"> </w:t>
      </w:r>
      <w:r>
        <w:t>collaboration</w:t>
      </w:r>
      <w:r w:rsidR="0013032F">
        <w:t xml:space="preserve"> </w:t>
      </w:r>
      <w:r>
        <w:t>with</w:t>
      </w:r>
      <w:r w:rsidR="0013032F">
        <w:t xml:space="preserve"> </w:t>
      </w:r>
      <w:r>
        <w:t>the</w:t>
      </w:r>
      <w:r w:rsidR="0013032F">
        <w:t xml:space="preserve"> </w:t>
      </w:r>
      <w:r>
        <w:t>Regional</w:t>
      </w:r>
      <w:r w:rsidR="0013032F">
        <w:t xml:space="preserve"> </w:t>
      </w:r>
      <w:r>
        <w:t>Development</w:t>
      </w:r>
      <w:r w:rsidR="0013032F">
        <w:t xml:space="preserve"> </w:t>
      </w:r>
      <w:r>
        <w:t>Australia</w:t>
      </w:r>
      <w:r w:rsidR="0013032F">
        <w:t xml:space="preserve"> </w:t>
      </w:r>
      <w:r>
        <w:t>Gippsland</w:t>
      </w:r>
      <w:r w:rsidR="0013032F">
        <w:t xml:space="preserve"> </w:t>
      </w:r>
      <w:r>
        <w:t>Committee,</w:t>
      </w:r>
      <w:r w:rsidR="0013032F">
        <w:t xml:space="preserve"> </w:t>
      </w:r>
      <w:r>
        <w:t>highlighting</w:t>
      </w:r>
      <w:r w:rsidR="0013032F">
        <w:t xml:space="preserve"> </w:t>
      </w:r>
      <w:r>
        <w:t>the</w:t>
      </w:r>
      <w:r w:rsidR="0013032F">
        <w:t xml:space="preserve"> </w:t>
      </w:r>
      <w:r>
        <w:t>work</w:t>
      </w:r>
      <w:r w:rsidR="0013032F">
        <w:t xml:space="preserve"> </w:t>
      </w:r>
      <w:r>
        <w:t>of</w:t>
      </w:r>
      <w:r w:rsidR="0013032F">
        <w:t xml:space="preserve"> </w:t>
      </w:r>
      <w:r>
        <w:t>the</w:t>
      </w:r>
      <w:r w:rsidR="0013032F">
        <w:t xml:space="preserve"> </w:t>
      </w:r>
      <w:r>
        <w:t>2</w:t>
      </w:r>
      <w:r w:rsidR="0013032F">
        <w:t xml:space="preserve"> </w:t>
      </w:r>
      <w:r>
        <w:t>bodies</w:t>
      </w:r>
      <w:r w:rsidR="0013032F">
        <w:t xml:space="preserve"> </w:t>
      </w:r>
      <w:r>
        <w:t>and</w:t>
      </w:r>
      <w:r w:rsidR="0013032F">
        <w:t xml:space="preserve"> </w:t>
      </w:r>
      <w:r>
        <w:t>the</w:t>
      </w:r>
      <w:r w:rsidR="0013032F">
        <w:t xml:space="preserve"> </w:t>
      </w:r>
      <w:r>
        <w:t>positive</w:t>
      </w:r>
      <w:r w:rsidR="0013032F">
        <w:t xml:space="preserve"> </w:t>
      </w:r>
      <w:r>
        <w:t>development</w:t>
      </w:r>
      <w:r w:rsidR="0013032F">
        <w:t xml:space="preserve"> </w:t>
      </w:r>
      <w:r>
        <w:t>news</w:t>
      </w:r>
      <w:r w:rsidR="0013032F">
        <w:t xml:space="preserve"> </w:t>
      </w:r>
      <w:r>
        <w:t>stories</w:t>
      </w:r>
      <w:r w:rsidR="0013032F">
        <w:t xml:space="preserve"> </w:t>
      </w:r>
      <w:r>
        <w:t>across</w:t>
      </w:r>
      <w:r w:rsidR="0013032F">
        <w:t xml:space="preserve"> </w:t>
      </w:r>
      <w:r>
        <w:t>the</w:t>
      </w:r>
      <w:r w:rsidR="0013032F">
        <w:t xml:space="preserve"> </w:t>
      </w:r>
      <w:r>
        <w:t>region.</w:t>
      </w:r>
    </w:p>
    <w:p w14:paraId="18920E50" w14:textId="77777777" w:rsidR="00757772" w:rsidRDefault="00305D3C" w:rsidP="0038203A">
      <w:pPr>
        <w:pStyle w:val="Heading3"/>
      </w:pPr>
      <w:r>
        <w:t>Highlights:</w:t>
      </w:r>
    </w:p>
    <w:p w14:paraId="363BDB85" w14:textId="1282322A" w:rsidR="00757772" w:rsidRPr="0038203A" w:rsidRDefault="00305D3C" w:rsidP="0038203A">
      <w:pPr>
        <w:pStyle w:val="Bullet"/>
      </w:pPr>
      <w:r w:rsidRPr="0038203A">
        <w:t>Successfully</w:t>
      </w:r>
      <w:r w:rsidR="0013032F" w:rsidRPr="0038203A">
        <w:t xml:space="preserve"> </w:t>
      </w:r>
      <w:r w:rsidRPr="0038203A">
        <w:t>advocated</w:t>
      </w:r>
      <w:r w:rsidR="0013032F" w:rsidRPr="0038203A">
        <w:t xml:space="preserve"> </w:t>
      </w:r>
      <w:r w:rsidRPr="0038203A">
        <w:t>for</w:t>
      </w:r>
      <w:r w:rsidR="0013032F" w:rsidRPr="0038203A">
        <w:t xml:space="preserve"> </w:t>
      </w:r>
      <w:r w:rsidRPr="0038203A">
        <w:t>West</w:t>
      </w:r>
      <w:r w:rsidR="0013032F" w:rsidRPr="0038203A">
        <w:t xml:space="preserve"> </w:t>
      </w:r>
      <w:r w:rsidRPr="0038203A">
        <w:t>Gippsland</w:t>
      </w:r>
      <w:r w:rsidR="0013032F" w:rsidRPr="0038203A">
        <w:t xml:space="preserve"> </w:t>
      </w:r>
      <w:r w:rsidRPr="0038203A">
        <w:t>Health/Warragul</w:t>
      </w:r>
      <w:r w:rsidR="0013032F" w:rsidRPr="0038203A">
        <w:t xml:space="preserve"> </w:t>
      </w:r>
      <w:r w:rsidRPr="0038203A">
        <w:t>Hospital</w:t>
      </w:r>
      <w:r w:rsidR="0013032F" w:rsidRPr="0038203A">
        <w:t xml:space="preserve"> </w:t>
      </w:r>
      <w:r w:rsidRPr="0038203A">
        <w:t>to</w:t>
      </w:r>
      <w:r w:rsidR="0013032F" w:rsidRPr="0038203A">
        <w:t xml:space="preserve"> </w:t>
      </w:r>
      <w:r w:rsidRPr="0038203A">
        <w:t>receive</w:t>
      </w:r>
      <w:r w:rsidR="0013032F" w:rsidRPr="0038203A">
        <w:t xml:space="preserve"> </w:t>
      </w:r>
      <w:r w:rsidRPr="0038203A">
        <w:t>funding</w:t>
      </w:r>
    </w:p>
    <w:p w14:paraId="31614998" w14:textId="01E665E0" w:rsidR="00757772" w:rsidRPr="0038203A" w:rsidRDefault="00305D3C" w:rsidP="0038203A">
      <w:pPr>
        <w:pStyle w:val="Bullet"/>
      </w:pPr>
      <w:r w:rsidRPr="0038203A">
        <w:t>Undertook</w:t>
      </w:r>
      <w:r w:rsidR="0013032F" w:rsidRPr="0038203A">
        <w:t xml:space="preserve"> </w:t>
      </w:r>
      <w:r w:rsidRPr="0038203A">
        <w:t>a</w:t>
      </w:r>
      <w:r w:rsidR="0013032F" w:rsidRPr="0038203A">
        <w:t xml:space="preserve"> </w:t>
      </w:r>
      <w:r w:rsidRPr="0038203A">
        <w:t>workforce</w:t>
      </w:r>
      <w:r w:rsidR="0013032F" w:rsidRPr="0038203A">
        <w:t xml:space="preserve"> </w:t>
      </w:r>
      <w:r w:rsidRPr="0038203A">
        <w:t>housing</w:t>
      </w:r>
      <w:r w:rsidR="0013032F" w:rsidRPr="0038203A">
        <w:t xml:space="preserve"> </w:t>
      </w:r>
      <w:r w:rsidRPr="0038203A">
        <w:t>report</w:t>
      </w:r>
      <w:r w:rsidR="0013032F" w:rsidRPr="0038203A">
        <w:t xml:space="preserve"> </w:t>
      </w:r>
      <w:r w:rsidRPr="0038203A">
        <w:t>for</w:t>
      </w:r>
      <w:r w:rsidR="0013032F" w:rsidRPr="0038203A">
        <w:t xml:space="preserve"> </w:t>
      </w:r>
      <w:r w:rsidRPr="0038203A">
        <w:t>the</w:t>
      </w:r>
      <w:r w:rsidR="0013032F" w:rsidRPr="0038203A">
        <w:t xml:space="preserve"> </w:t>
      </w:r>
      <w:r w:rsidRPr="0038203A">
        <w:t>Gippsland</w:t>
      </w:r>
      <w:r w:rsidR="0013032F" w:rsidRPr="0038203A">
        <w:t xml:space="preserve"> </w:t>
      </w:r>
      <w:r w:rsidRPr="0038203A">
        <w:t>region</w:t>
      </w:r>
    </w:p>
    <w:p w14:paraId="7C51229C" w14:textId="47CA7468" w:rsidR="00757772" w:rsidRPr="0038203A" w:rsidRDefault="00305D3C" w:rsidP="0038203A">
      <w:pPr>
        <w:pStyle w:val="Bullet"/>
      </w:pPr>
      <w:r w:rsidRPr="0038203A">
        <w:t>Successfully</w:t>
      </w:r>
      <w:r w:rsidR="0013032F" w:rsidRPr="0038203A">
        <w:t xml:space="preserve"> </w:t>
      </w:r>
      <w:r w:rsidRPr="0038203A">
        <w:t>advocated</w:t>
      </w:r>
      <w:r w:rsidR="0013032F" w:rsidRPr="0038203A">
        <w:t xml:space="preserve"> </w:t>
      </w:r>
      <w:r w:rsidRPr="0038203A">
        <w:t>for</w:t>
      </w:r>
      <w:r w:rsidR="0013032F" w:rsidRPr="0038203A">
        <w:t xml:space="preserve"> </w:t>
      </w:r>
      <w:r w:rsidRPr="0038203A">
        <w:t>the</w:t>
      </w:r>
      <w:r w:rsidR="0013032F" w:rsidRPr="0038203A">
        <w:t xml:space="preserve"> </w:t>
      </w:r>
      <w:r w:rsidRPr="0038203A">
        <w:t>geothermal</w:t>
      </w:r>
      <w:r w:rsidR="0013032F" w:rsidRPr="0038203A">
        <w:t xml:space="preserve"> </w:t>
      </w:r>
      <w:r w:rsidRPr="0038203A">
        <w:t>industrial</w:t>
      </w:r>
      <w:r w:rsidR="0013032F" w:rsidRPr="0038203A">
        <w:t xml:space="preserve"> </w:t>
      </w:r>
      <w:r w:rsidRPr="0038203A">
        <w:t>loop</w:t>
      </w:r>
      <w:r w:rsidR="0013032F" w:rsidRPr="0038203A">
        <w:t xml:space="preserve"> </w:t>
      </w:r>
      <w:r w:rsidRPr="0038203A">
        <w:t>design</w:t>
      </w:r>
      <w:r w:rsidR="0013032F" w:rsidRPr="0038203A">
        <w:t xml:space="preserve"> </w:t>
      </w:r>
      <w:r w:rsidRPr="0038203A">
        <w:t>study</w:t>
      </w:r>
      <w:r w:rsidR="0013032F" w:rsidRPr="0038203A">
        <w:t xml:space="preserve"> </w:t>
      </w:r>
      <w:r w:rsidRPr="0038203A">
        <w:t>to</w:t>
      </w:r>
      <w:r w:rsidR="0013032F" w:rsidRPr="0038203A">
        <w:t xml:space="preserve"> </w:t>
      </w:r>
      <w:r w:rsidRPr="0038203A">
        <w:t>receive</w:t>
      </w:r>
      <w:r w:rsidR="0013032F" w:rsidRPr="0038203A">
        <w:t xml:space="preserve"> </w:t>
      </w:r>
      <w:r w:rsidRPr="0038203A">
        <w:t>funding</w:t>
      </w:r>
      <w:r w:rsidR="0013032F" w:rsidRPr="0038203A">
        <w:t xml:space="preserve"> </w:t>
      </w:r>
      <w:r w:rsidRPr="0038203A">
        <w:t>to</w:t>
      </w:r>
      <w:r w:rsidR="0013032F" w:rsidRPr="0038203A">
        <w:t xml:space="preserve"> </w:t>
      </w:r>
      <w:r w:rsidRPr="0038203A">
        <w:t>explore</w:t>
      </w:r>
      <w:r w:rsidR="0013032F" w:rsidRPr="0038203A">
        <w:t xml:space="preserve"> </w:t>
      </w:r>
      <w:r w:rsidRPr="0038203A">
        <w:t>renewable</w:t>
      </w:r>
      <w:r w:rsidR="0013032F" w:rsidRPr="0038203A">
        <w:t xml:space="preserve"> </w:t>
      </w:r>
      <w:r w:rsidRPr="0038203A">
        <w:t>energy</w:t>
      </w:r>
      <w:r w:rsidR="0013032F" w:rsidRPr="0038203A">
        <w:t xml:space="preserve"> </w:t>
      </w:r>
      <w:r w:rsidRPr="0038203A">
        <w:t>potential</w:t>
      </w:r>
      <w:r w:rsidR="0013032F" w:rsidRPr="0038203A">
        <w:t xml:space="preserve"> </w:t>
      </w:r>
      <w:r w:rsidRPr="0038203A">
        <w:t>in</w:t>
      </w:r>
      <w:r w:rsidR="0013032F" w:rsidRPr="0038203A">
        <w:t xml:space="preserve"> </w:t>
      </w:r>
      <w:r w:rsidRPr="0038203A">
        <w:t>the</w:t>
      </w:r>
      <w:r w:rsidR="0013032F" w:rsidRPr="0038203A">
        <w:t xml:space="preserve"> </w:t>
      </w:r>
      <w:r w:rsidRPr="0038203A">
        <w:t>Latrobe</w:t>
      </w:r>
      <w:r w:rsidR="0013032F" w:rsidRPr="0038203A">
        <w:t xml:space="preserve"> </w:t>
      </w:r>
      <w:r w:rsidRPr="0038203A">
        <w:t>Valley</w:t>
      </w:r>
    </w:p>
    <w:p w14:paraId="4FA9A512" w14:textId="0E990F74" w:rsidR="00757772" w:rsidRPr="0038203A" w:rsidRDefault="00305D3C" w:rsidP="0038203A">
      <w:pPr>
        <w:pStyle w:val="Bullet"/>
      </w:pPr>
      <w:r w:rsidRPr="0038203A">
        <w:t>Supported</w:t>
      </w:r>
      <w:r w:rsidR="0013032F" w:rsidRPr="0038203A">
        <w:t xml:space="preserve"> </w:t>
      </w:r>
      <w:r w:rsidRPr="0038203A">
        <w:t>future</w:t>
      </w:r>
      <w:r w:rsidR="0013032F" w:rsidRPr="0038203A">
        <w:t xml:space="preserve"> </w:t>
      </w:r>
      <w:r w:rsidRPr="0038203A">
        <w:t>leaders</w:t>
      </w:r>
      <w:r w:rsidR="0013032F" w:rsidRPr="0038203A">
        <w:t xml:space="preserve"> </w:t>
      </w:r>
      <w:r w:rsidRPr="0038203A">
        <w:t>of</w:t>
      </w:r>
      <w:r w:rsidR="0013032F" w:rsidRPr="0038203A">
        <w:t xml:space="preserve"> </w:t>
      </w:r>
      <w:r w:rsidRPr="0038203A">
        <w:t>Gippsland</w:t>
      </w:r>
      <w:r w:rsidR="0013032F" w:rsidRPr="0038203A">
        <w:t xml:space="preserve"> </w:t>
      </w:r>
      <w:r w:rsidRPr="0038203A">
        <w:t>by</w:t>
      </w:r>
      <w:r w:rsidR="0013032F" w:rsidRPr="0038203A">
        <w:t xml:space="preserve"> </w:t>
      </w:r>
      <w:r w:rsidRPr="0038203A">
        <w:t>providing</w:t>
      </w:r>
      <w:r w:rsidR="0013032F" w:rsidRPr="0038203A">
        <w:t xml:space="preserve"> </w:t>
      </w:r>
      <w:r w:rsidRPr="0038203A">
        <w:t>15</w:t>
      </w:r>
      <w:r w:rsidR="0013032F" w:rsidRPr="0038203A">
        <w:t xml:space="preserve"> </w:t>
      </w:r>
      <w:r w:rsidRPr="0038203A">
        <w:t>scholarships</w:t>
      </w:r>
      <w:r w:rsidR="0013032F" w:rsidRPr="0038203A">
        <w:t xml:space="preserve"> </w:t>
      </w:r>
      <w:r w:rsidRPr="0038203A">
        <w:t>for</w:t>
      </w:r>
      <w:r w:rsidR="0013032F" w:rsidRPr="0038203A">
        <w:t xml:space="preserve"> </w:t>
      </w:r>
      <w:r w:rsidRPr="0038203A">
        <w:t>students</w:t>
      </w:r>
      <w:r w:rsidR="0013032F" w:rsidRPr="0038203A">
        <w:t xml:space="preserve"> </w:t>
      </w:r>
      <w:r w:rsidRPr="0038203A">
        <w:t>to</w:t>
      </w:r>
      <w:r w:rsidR="0013032F" w:rsidRPr="0038203A">
        <w:t xml:space="preserve"> </w:t>
      </w:r>
      <w:r w:rsidRPr="0038203A">
        <w:t>undertake</w:t>
      </w:r>
      <w:r w:rsidR="0013032F" w:rsidRPr="0038203A">
        <w:t xml:space="preserve"> </w:t>
      </w:r>
      <w:r w:rsidRPr="0038203A">
        <w:t>the</w:t>
      </w:r>
      <w:r w:rsidR="0013032F" w:rsidRPr="0038203A">
        <w:t xml:space="preserve"> </w:t>
      </w:r>
      <w:r w:rsidRPr="0038203A">
        <w:t>Master</w:t>
      </w:r>
      <w:r w:rsidR="0013032F" w:rsidRPr="0038203A">
        <w:t xml:space="preserve"> </w:t>
      </w:r>
      <w:r w:rsidRPr="0038203A">
        <w:t>of</w:t>
      </w:r>
      <w:r w:rsidR="0013032F" w:rsidRPr="0038203A">
        <w:t xml:space="preserve"> </w:t>
      </w:r>
      <w:r w:rsidRPr="0038203A">
        <w:t>Business</w:t>
      </w:r>
      <w:r w:rsidR="0013032F" w:rsidRPr="0038203A">
        <w:t xml:space="preserve"> </w:t>
      </w:r>
      <w:r w:rsidRPr="0038203A">
        <w:t>Administration</w:t>
      </w:r>
      <w:r w:rsidR="0013032F" w:rsidRPr="0038203A">
        <w:t xml:space="preserve"> </w:t>
      </w:r>
      <w:r w:rsidRPr="0038203A">
        <w:t>course</w:t>
      </w:r>
      <w:r w:rsidR="0013032F" w:rsidRPr="0038203A">
        <w:t xml:space="preserve"> </w:t>
      </w:r>
      <w:r w:rsidRPr="0038203A">
        <w:t>at</w:t>
      </w:r>
      <w:r w:rsidR="0013032F" w:rsidRPr="0038203A">
        <w:t xml:space="preserve"> </w:t>
      </w:r>
      <w:r w:rsidRPr="0038203A">
        <w:t>Federation</w:t>
      </w:r>
      <w:r w:rsidR="0013032F" w:rsidRPr="0038203A">
        <w:t xml:space="preserve"> </w:t>
      </w:r>
      <w:r w:rsidRPr="0038203A">
        <w:t>University’s</w:t>
      </w:r>
      <w:r w:rsidR="0013032F" w:rsidRPr="0038203A">
        <w:t xml:space="preserve"> </w:t>
      </w:r>
      <w:r w:rsidRPr="0038203A">
        <w:t>Churchill</w:t>
      </w:r>
      <w:r w:rsidR="0013032F" w:rsidRPr="0038203A">
        <w:t xml:space="preserve"> </w:t>
      </w:r>
      <w:r w:rsidRPr="0038203A">
        <w:t>Campus</w:t>
      </w:r>
    </w:p>
    <w:p w14:paraId="3A2E7AAE" w14:textId="5B6B17CF" w:rsidR="00757772" w:rsidRDefault="00305D3C" w:rsidP="0038203A">
      <w:pPr>
        <w:pStyle w:val="Bulletlast"/>
      </w:pPr>
      <w:r w:rsidRPr="0038203A">
        <w:t>Continued</w:t>
      </w:r>
      <w:r w:rsidR="0013032F" w:rsidRPr="0038203A">
        <w:t xml:space="preserve"> </w:t>
      </w:r>
      <w:r w:rsidRPr="0038203A">
        <w:t>to</w:t>
      </w:r>
      <w:r w:rsidR="0013032F" w:rsidRPr="0038203A">
        <w:t xml:space="preserve"> </w:t>
      </w:r>
      <w:r w:rsidRPr="0038203A">
        <w:t>support</w:t>
      </w:r>
      <w:r w:rsidR="0013032F" w:rsidRPr="0038203A">
        <w:t xml:space="preserve"> </w:t>
      </w:r>
      <w:r w:rsidRPr="0038203A">
        <w:t>united</w:t>
      </w:r>
      <w:r w:rsidR="0013032F" w:rsidRPr="0038203A">
        <w:t xml:space="preserve"> </w:t>
      </w:r>
      <w:r w:rsidRPr="0038203A">
        <w:t>advocacy</w:t>
      </w:r>
      <w:r w:rsidR="0013032F" w:rsidRPr="0038203A">
        <w:t xml:space="preserve"> </w:t>
      </w:r>
      <w:r w:rsidRPr="0038203A">
        <w:t>for</w:t>
      </w:r>
      <w:r w:rsidR="0013032F" w:rsidRPr="0038203A">
        <w:t xml:space="preserve"> </w:t>
      </w:r>
      <w:r w:rsidRPr="0038203A">
        <w:t>Gippsland,</w:t>
      </w:r>
      <w:r w:rsidR="0013032F" w:rsidRPr="0038203A">
        <w:t xml:space="preserve"> </w:t>
      </w:r>
      <w:r w:rsidRPr="0038203A">
        <w:t>participating</w:t>
      </w:r>
      <w:r w:rsidR="0013032F" w:rsidRPr="0038203A">
        <w:t xml:space="preserve"> </w:t>
      </w:r>
      <w:r w:rsidRPr="0038203A">
        <w:t>in</w:t>
      </w:r>
      <w:r w:rsidR="0013032F" w:rsidRPr="0038203A">
        <w:t xml:space="preserve"> </w:t>
      </w:r>
      <w:r w:rsidRPr="0038203A">
        <w:t>the</w:t>
      </w:r>
      <w:r w:rsidR="0013032F" w:rsidRPr="0038203A">
        <w:t xml:space="preserve"> </w:t>
      </w:r>
      <w:r w:rsidRPr="0038203A">
        <w:t>Gippsland</w:t>
      </w:r>
      <w:r w:rsidR="0013032F" w:rsidRPr="0038203A">
        <w:t xml:space="preserve"> </w:t>
      </w:r>
      <w:r w:rsidRPr="0038203A">
        <w:t>Regional</w:t>
      </w:r>
      <w:r w:rsidR="0013032F" w:rsidRPr="0038203A">
        <w:t xml:space="preserve"> </w:t>
      </w:r>
      <w:r w:rsidRPr="0038203A">
        <w:t>Plan</w:t>
      </w:r>
      <w:r w:rsidR="0013032F" w:rsidRPr="0038203A">
        <w:t xml:space="preserve"> </w:t>
      </w:r>
      <w:r w:rsidRPr="0038203A">
        <w:t>Leadership</w:t>
      </w:r>
      <w:r w:rsidR="0013032F" w:rsidRPr="0038203A">
        <w:t xml:space="preserve"> </w:t>
      </w:r>
      <w:r w:rsidRPr="0038203A">
        <w:t>Group</w:t>
      </w:r>
      <w:r w:rsidR="0013032F" w:rsidRPr="0038203A">
        <w:t xml:space="preserve"> </w:t>
      </w:r>
      <w:r w:rsidRPr="0038203A">
        <w:t>to</w:t>
      </w:r>
      <w:r w:rsidR="0013032F" w:rsidRPr="0038203A">
        <w:t xml:space="preserve"> </w:t>
      </w:r>
      <w:r w:rsidRPr="0038203A">
        <w:t>enhance</w:t>
      </w:r>
      <w:r w:rsidR="0013032F" w:rsidRPr="0038203A">
        <w:t xml:space="preserve"> </w:t>
      </w:r>
      <w:r w:rsidRPr="0038203A">
        <w:t>coordination</w:t>
      </w:r>
      <w:r w:rsidR="0013032F" w:rsidRPr="0038203A">
        <w:t xml:space="preserve"> </w:t>
      </w:r>
      <w:r w:rsidRPr="0038203A">
        <w:t>and</w:t>
      </w:r>
      <w:r w:rsidR="0013032F" w:rsidRPr="0038203A">
        <w:t xml:space="preserve"> </w:t>
      </w:r>
      <w:r w:rsidRPr="0038203A">
        <w:t>minimise</w:t>
      </w:r>
      <w:r w:rsidR="0013032F" w:rsidRPr="0038203A">
        <w:t xml:space="preserve"> </w:t>
      </w:r>
      <w:r w:rsidRPr="0038203A">
        <w:t>duplication</w:t>
      </w:r>
      <w:r w:rsidR="0013032F" w:rsidRPr="0038203A">
        <w:t xml:space="preserve"> </w:t>
      </w:r>
      <w:r w:rsidRPr="0038203A">
        <w:t>of</w:t>
      </w:r>
      <w:r w:rsidR="0013032F" w:rsidRPr="0038203A">
        <w:t xml:space="preserve"> </w:t>
      </w:r>
      <w:r w:rsidRPr="0038203A">
        <w:t>strategic</w:t>
      </w:r>
      <w:r w:rsidR="0013032F" w:rsidRPr="0038203A">
        <w:t xml:space="preserve"> </w:t>
      </w:r>
      <w:r w:rsidRPr="0038203A">
        <w:t>advocacy</w:t>
      </w:r>
      <w:r w:rsidR="0013032F" w:rsidRPr="0038203A">
        <w:t xml:space="preserve"> </w:t>
      </w:r>
      <w:r w:rsidRPr="0038203A">
        <w:t>efforts.</w:t>
      </w:r>
    </w:p>
    <w:p w14:paraId="367D4B6C" w14:textId="1BDCA4F2" w:rsidR="0038203A" w:rsidRDefault="0038203A" w:rsidP="0038203A">
      <w:pPr>
        <w:pStyle w:val="Bullet"/>
      </w:pPr>
      <w:r>
        <w:t>303,850</w:t>
      </w:r>
      <w:r>
        <w:t xml:space="preserve"> </w:t>
      </w:r>
      <w:r>
        <w:t>Population (2022)</w:t>
      </w:r>
    </w:p>
    <w:p w14:paraId="7AB09C9F" w14:textId="39C25D65" w:rsidR="0038203A" w:rsidRDefault="0038203A" w:rsidP="0038203A">
      <w:pPr>
        <w:pStyle w:val="Bullet"/>
      </w:pPr>
      <w:r>
        <w:t>13.9%</w:t>
      </w:r>
      <w:r>
        <w:t xml:space="preserve"> </w:t>
      </w:r>
      <w:r>
        <w:t>Population growth (2022–2036)</w:t>
      </w:r>
    </w:p>
    <w:p w14:paraId="7085B57E" w14:textId="09D3B948" w:rsidR="0038203A" w:rsidRPr="0038203A" w:rsidRDefault="0038203A" w:rsidP="0038203A">
      <w:pPr>
        <w:pStyle w:val="Bulletlast"/>
      </w:pPr>
      <w:r>
        <w:t>$17.8B</w:t>
      </w:r>
      <w:r>
        <w:t xml:space="preserve"> </w:t>
      </w:r>
      <w:r>
        <w:t>Gross Regional Product (2022)</w:t>
      </w:r>
    </w:p>
    <w:p w14:paraId="455DB6F8" w14:textId="1EE5582C" w:rsidR="00757772" w:rsidRPr="00F22F9E" w:rsidRDefault="00305D3C" w:rsidP="0038203A">
      <w:pPr>
        <w:pStyle w:val="Heading2"/>
      </w:pPr>
      <w:bookmarkStart w:id="27" w:name="_Toc149566573"/>
      <w:r w:rsidRPr="00F22F9E">
        <w:t>Case</w:t>
      </w:r>
      <w:r w:rsidR="0013032F">
        <w:t xml:space="preserve"> </w:t>
      </w:r>
      <w:r w:rsidRPr="00F22F9E">
        <w:t>study:</w:t>
      </w:r>
      <w:bookmarkEnd w:id="27"/>
    </w:p>
    <w:p w14:paraId="37412F32" w14:textId="00DD7EDC" w:rsidR="00757772" w:rsidRPr="0038203A" w:rsidRDefault="00305D3C" w:rsidP="0038203A">
      <w:pPr>
        <w:pStyle w:val="Normalbeforebullets"/>
        <w:rPr>
          <w:b/>
        </w:rPr>
      </w:pPr>
      <w:r w:rsidRPr="0038203A">
        <w:rPr>
          <w:b/>
        </w:rPr>
        <w:t>Gippsland</w:t>
      </w:r>
      <w:r w:rsidR="0013032F" w:rsidRPr="0038203A">
        <w:rPr>
          <w:b/>
        </w:rPr>
        <w:t xml:space="preserve"> </w:t>
      </w:r>
      <w:r w:rsidRPr="0038203A">
        <w:rPr>
          <w:b/>
        </w:rPr>
        <w:t>positive</w:t>
      </w:r>
      <w:r w:rsidR="0013032F" w:rsidRPr="0038203A">
        <w:rPr>
          <w:b/>
        </w:rPr>
        <w:t xml:space="preserve"> </w:t>
      </w:r>
      <w:r w:rsidRPr="0038203A">
        <w:rPr>
          <w:b/>
        </w:rPr>
        <w:t>advocacy</w:t>
      </w:r>
      <w:r w:rsidR="0013032F" w:rsidRPr="0038203A">
        <w:rPr>
          <w:b/>
        </w:rPr>
        <w:t xml:space="preserve"> </w:t>
      </w:r>
      <w:r w:rsidRPr="0038203A">
        <w:rPr>
          <w:b/>
        </w:rPr>
        <w:t>campaign</w:t>
      </w:r>
      <w:r w:rsidR="0013032F" w:rsidRPr="0038203A">
        <w:rPr>
          <w:b/>
        </w:rPr>
        <w:t xml:space="preserve"> </w:t>
      </w:r>
    </w:p>
    <w:p w14:paraId="5ABC689B" w14:textId="7F65877E" w:rsidR="00757772" w:rsidRPr="0038203A" w:rsidRDefault="00305D3C" w:rsidP="0038203A">
      <w:r w:rsidRPr="0038203A">
        <w:t>The</w:t>
      </w:r>
      <w:r w:rsidR="0013032F" w:rsidRPr="0038203A">
        <w:t xml:space="preserve"> </w:t>
      </w:r>
      <w:r w:rsidRPr="0038203A">
        <w:t>Gippsland</w:t>
      </w:r>
      <w:r w:rsidR="0013032F" w:rsidRPr="0038203A">
        <w:t xml:space="preserve"> </w:t>
      </w:r>
      <w:r w:rsidRPr="0038203A">
        <w:t>Regional</w:t>
      </w:r>
      <w:r w:rsidR="0013032F" w:rsidRPr="0038203A">
        <w:t xml:space="preserve"> </w:t>
      </w:r>
      <w:r w:rsidRPr="0038203A">
        <w:t>Partnership</w:t>
      </w:r>
      <w:r w:rsidR="0013032F" w:rsidRPr="0038203A">
        <w:t xml:space="preserve"> </w:t>
      </w:r>
      <w:r w:rsidRPr="0038203A">
        <w:t>executed</w:t>
      </w:r>
      <w:r w:rsidR="0013032F" w:rsidRPr="0038203A">
        <w:t xml:space="preserve"> </w:t>
      </w:r>
      <w:r w:rsidRPr="0038203A">
        <w:t>a</w:t>
      </w:r>
      <w:r w:rsidR="0013032F" w:rsidRPr="0038203A">
        <w:t xml:space="preserve"> </w:t>
      </w:r>
      <w:r w:rsidRPr="0038203A">
        <w:t>marketing</w:t>
      </w:r>
      <w:r w:rsidR="0013032F" w:rsidRPr="0038203A">
        <w:t xml:space="preserve"> </w:t>
      </w:r>
      <w:r w:rsidRPr="0038203A">
        <w:t>and</w:t>
      </w:r>
      <w:r w:rsidR="0013032F" w:rsidRPr="0038203A">
        <w:t xml:space="preserve"> </w:t>
      </w:r>
      <w:r w:rsidRPr="0038203A">
        <w:t>communications</w:t>
      </w:r>
      <w:r w:rsidR="0013032F" w:rsidRPr="0038203A">
        <w:t xml:space="preserve"> </w:t>
      </w:r>
      <w:r w:rsidRPr="0038203A">
        <w:t>strategy</w:t>
      </w:r>
      <w:r w:rsidR="0013032F" w:rsidRPr="0038203A">
        <w:t xml:space="preserve"> </w:t>
      </w:r>
      <w:r w:rsidRPr="0038203A">
        <w:t>to</w:t>
      </w:r>
      <w:r w:rsidR="0013032F" w:rsidRPr="0038203A">
        <w:t xml:space="preserve"> </w:t>
      </w:r>
      <w:r w:rsidRPr="0038203A">
        <w:t>promote</w:t>
      </w:r>
      <w:r w:rsidR="0013032F" w:rsidRPr="0038203A">
        <w:t xml:space="preserve"> </w:t>
      </w:r>
      <w:r w:rsidRPr="0038203A">
        <w:t>Gippsland</w:t>
      </w:r>
      <w:r w:rsidR="0013032F" w:rsidRPr="0038203A">
        <w:t xml:space="preserve"> </w:t>
      </w:r>
      <w:r w:rsidRPr="0038203A">
        <w:t>as</w:t>
      </w:r>
      <w:r w:rsidR="0013032F" w:rsidRPr="0038203A">
        <w:t xml:space="preserve"> </w:t>
      </w:r>
      <w:r w:rsidRPr="0038203A">
        <w:t>a</w:t>
      </w:r>
      <w:r w:rsidR="0013032F" w:rsidRPr="0038203A">
        <w:t xml:space="preserve"> </w:t>
      </w:r>
      <w:r w:rsidRPr="0038203A">
        <w:t>region</w:t>
      </w:r>
      <w:r w:rsidR="0013032F" w:rsidRPr="0038203A">
        <w:t xml:space="preserve"> </w:t>
      </w:r>
      <w:r w:rsidRPr="0038203A">
        <w:t>of</w:t>
      </w:r>
      <w:r w:rsidR="0013032F" w:rsidRPr="0038203A">
        <w:t xml:space="preserve"> </w:t>
      </w:r>
      <w:r w:rsidRPr="0038203A">
        <w:t>opportunity</w:t>
      </w:r>
      <w:r w:rsidR="0013032F" w:rsidRPr="0038203A">
        <w:t xml:space="preserve"> </w:t>
      </w:r>
      <w:r w:rsidRPr="0038203A">
        <w:t>for</w:t>
      </w:r>
      <w:r w:rsidR="0013032F" w:rsidRPr="0038203A">
        <w:t xml:space="preserve"> </w:t>
      </w:r>
      <w:r w:rsidRPr="0038203A">
        <w:t>business</w:t>
      </w:r>
      <w:r w:rsidR="0013032F" w:rsidRPr="0038203A">
        <w:t xml:space="preserve"> </w:t>
      </w:r>
      <w:r w:rsidRPr="0038203A">
        <w:t>investment</w:t>
      </w:r>
      <w:r w:rsidR="0013032F" w:rsidRPr="0038203A">
        <w:t xml:space="preserve"> </w:t>
      </w:r>
      <w:r w:rsidRPr="0038203A">
        <w:t>and</w:t>
      </w:r>
      <w:r w:rsidR="0013032F" w:rsidRPr="0038203A">
        <w:t xml:space="preserve"> </w:t>
      </w:r>
      <w:r w:rsidRPr="0038203A">
        <w:t>lifestyle.</w:t>
      </w:r>
      <w:r w:rsidR="0013032F" w:rsidRPr="0038203A">
        <w:t xml:space="preserve"> </w:t>
      </w:r>
      <w:r w:rsidRPr="0038203A">
        <w:t>A</w:t>
      </w:r>
      <w:r w:rsidR="0013032F" w:rsidRPr="0038203A">
        <w:t xml:space="preserve"> </w:t>
      </w:r>
      <w:r w:rsidRPr="0038203A">
        <w:t>series</w:t>
      </w:r>
      <w:r w:rsidR="0013032F" w:rsidRPr="0038203A">
        <w:t xml:space="preserve"> </w:t>
      </w:r>
      <w:r w:rsidRPr="0038203A">
        <w:t>of</w:t>
      </w:r>
      <w:r w:rsidR="0013032F" w:rsidRPr="0038203A">
        <w:t xml:space="preserve"> </w:t>
      </w:r>
      <w:r w:rsidRPr="0038203A">
        <w:t>attention-grabbing</w:t>
      </w:r>
      <w:r w:rsidR="0013032F" w:rsidRPr="0038203A">
        <w:t xml:space="preserve"> </w:t>
      </w:r>
      <w:r w:rsidRPr="0038203A">
        <w:t>media</w:t>
      </w:r>
      <w:r w:rsidR="0013032F" w:rsidRPr="0038203A">
        <w:t xml:space="preserve"> </w:t>
      </w:r>
      <w:r w:rsidRPr="0038203A">
        <w:t>has</w:t>
      </w:r>
      <w:r w:rsidR="0013032F" w:rsidRPr="0038203A">
        <w:t xml:space="preserve"> </w:t>
      </w:r>
      <w:r w:rsidRPr="0038203A">
        <w:t>been</w:t>
      </w:r>
      <w:r w:rsidR="0013032F" w:rsidRPr="0038203A">
        <w:t xml:space="preserve"> </w:t>
      </w:r>
      <w:r w:rsidRPr="0038203A">
        <w:t>developed</w:t>
      </w:r>
      <w:r w:rsidR="0013032F" w:rsidRPr="0038203A">
        <w:t xml:space="preserve"> </w:t>
      </w:r>
      <w:r w:rsidRPr="0038203A">
        <w:t>to</w:t>
      </w:r>
      <w:r w:rsidR="0013032F" w:rsidRPr="0038203A">
        <w:t xml:space="preserve"> </w:t>
      </w:r>
      <w:r w:rsidRPr="0038203A">
        <w:t>showcase</w:t>
      </w:r>
      <w:r w:rsidR="0013032F" w:rsidRPr="0038203A">
        <w:t xml:space="preserve"> </w:t>
      </w:r>
      <w:r w:rsidRPr="0038203A">
        <w:t>positive</w:t>
      </w:r>
      <w:r w:rsidR="0013032F" w:rsidRPr="0038203A">
        <w:t xml:space="preserve"> </w:t>
      </w:r>
      <w:r w:rsidRPr="0038203A">
        <w:t>stories</w:t>
      </w:r>
      <w:r w:rsidR="0013032F" w:rsidRPr="0038203A">
        <w:t xml:space="preserve"> </w:t>
      </w:r>
      <w:r w:rsidRPr="0038203A">
        <w:t>about</w:t>
      </w:r>
      <w:r w:rsidR="0013032F" w:rsidRPr="0038203A">
        <w:t xml:space="preserve"> </w:t>
      </w:r>
      <w:r w:rsidRPr="0038203A">
        <w:t>Gippsland</w:t>
      </w:r>
      <w:r w:rsidR="0013032F" w:rsidRPr="0038203A">
        <w:t xml:space="preserve"> </w:t>
      </w:r>
      <w:r w:rsidRPr="0038203A">
        <w:t>and</w:t>
      </w:r>
      <w:r w:rsidR="0013032F" w:rsidRPr="0038203A">
        <w:t xml:space="preserve"> </w:t>
      </w:r>
      <w:r w:rsidRPr="0038203A">
        <w:t>Gippsland</w:t>
      </w:r>
      <w:r w:rsidR="0013032F" w:rsidRPr="0038203A">
        <w:t xml:space="preserve"> </w:t>
      </w:r>
      <w:r w:rsidRPr="0038203A">
        <w:t>leaders,</w:t>
      </w:r>
      <w:r w:rsidR="0013032F" w:rsidRPr="0038203A">
        <w:t xml:space="preserve"> </w:t>
      </w:r>
      <w:r w:rsidRPr="0038203A">
        <w:t>including</w:t>
      </w:r>
      <w:r w:rsidR="0013032F" w:rsidRPr="0038203A">
        <w:t xml:space="preserve"> </w:t>
      </w:r>
      <w:r w:rsidRPr="0038203A">
        <w:t>print</w:t>
      </w:r>
      <w:r w:rsidR="0013032F" w:rsidRPr="0038203A">
        <w:t xml:space="preserve"> </w:t>
      </w:r>
      <w:r w:rsidRPr="0038203A">
        <w:t>and</w:t>
      </w:r>
      <w:r w:rsidR="0013032F" w:rsidRPr="0038203A">
        <w:t xml:space="preserve"> </w:t>
      </w:r>
      <w:r w:rsidRPr="0038203A">
        <w:t>online</w:t>
      </w:r>
      <w:r w:rsidR="0013032F" w:rsidRPr="0038203A">
        <w:t xml:space="preserve"> </w:t>
      </w:r>
      <w:r w:rsidRPr="0038203A">
        <w:t>publications</w:t>
      </w:r>
      <w:r w:rsidR="0013032F" w:rsidRPr="0038203A">
        <w:t xml:space="preserve"> </w:t>
      </w:r>
      <w:r w:rsidRPr="0038203A">
        <w:t>and</w:t>
      </w:r>
      <w:r w:rsidR="0013032F" w:rsidRPr="0038203A">
        <w:t xml:space="preserve"> </w:t>
      </w:r>
      <w:r w:rsidRPr="0038203A">
        <w:t>social</w:t>
      </w:r>
      <w:r w:rsidR="0013032F" w:rsidRPr="0038203A">
        <w:t xml:space="preserve"> </w:t>
      </w:r>
      <w:r w:rsidRPr="0038203A">
        <w:t>media</w:t>
      </w:r>
      <w:r w:rsidR="0013032F" w:rsidRPr="0038203A">
        <w:t xml:space="preserve"> </w:t>
      </w:r>
      <w:r w:rsidRPr="0038203A">
        <w:t>tiles.</w:t>
      </w:r>
      <w:r w:rsidR="0013032F" w:rsidRPr="0038203A">
        <w:t xml:space="preserve"> </w:t>
      </w:r>
    </w:p>
    <w:p w14:paraId="0905DB2D" w14:textId="750BDB37" w:rsidR="00757772" w:rsidRPr="0038203A" w:rsidRDefault="00305D3C" w:rsidP="0038203A">
      <w:r w:rsidRPr="0038203A">
        <w:lastRenderedPageBreak/>
        <w:t>This</w:t>
      </w:r>
      <w:r w:rsidR="0013032F" w:rsidRPr="0038203A">
        <w:t xml:space="preserve"> </w:t>
      </w:r>
      <w:r w:rsidRPr="0038203A">
        <w:t>project</w:t>
      </w:r>
      <w:r w:rsidR="0013032F" w:rsidRPr="0038203A">
        <w:t xml:space="preserve"> </w:t>
      </w:r>
      <w:r w:rsidRPr="0038203A">
        <w:t>activated</w:t>
      </w:r>
      <w:r w:rsidR="0013032F" w:rsidRPr="0038203A">
        <w:t xml:space="preserve"> </w:t>
      </w:r>
      <w:r w:rsidRPr="0038203A">
        <w:t>a</w:t>
      </w:r>
      <w:r w:rsidR="0013032F" w:rsidRPr="0038203A">
        <w:t xml:space="preserve"> </w:t>
      </w:r>
      <w:r w:rsidRPr="0038203A">
        <w:t>partnership</w:t>
      </w:r>
      <w:r w:rsidR="0013032F" w:rsidRPr="0038203A">
        <w:t xml:space="preserve"> </w:t>
      </w:r>
      <w:r w:rsidRPr="0038203A">
        <w:t>priority</w:t>
      </w:r>
      <w:r w:rsidR="0013032F" w:rsidRPr="0038203A">
        <w:t xml:space="preserve"> </w:t>
      </w:r>
      <w:r w:rsidRPr="0038203A">
        <w:t>to</w:t>
      </w:r>
      <w:r w:rsidR="0013032F" w:rsidRPr="0038203A">
        <w:t xml:space="preserve"> </w:t>
      </w:r>
      <w:r w:rsidRPr="0038203A">
        <w:t>embed</w:t>
      </w:r>
      <w:r w:rsidR="0013032F" w:rsidRPr="0038203A">
        <w:t xml:space="preserve"> </w:t>
      </w:r>
      <w:r w:rsidRPr="0038203A">
        <w:t>a</w:t>
      </w:r>
      <w:r w:rsidR="0013032F" w:rsidRPr="0038203A">
        <w:t xml:space="preserve"> </w:t>
      </w:r>
      <w:r w:rsidRPr="0038203A">
        <w:t>positive</w:t>
      </w:r>
      <w:r w:rsidR="0013032F" w:rsidRPr="0038203A">
        <w:t xml:space="preserve"> </w:t>
      </w:r>
      <w:r w:rsidRPr="0038203A">
        <w:t>culture</w:t>
      </w:r>
      <w:r w:rsidR="0013032F" w:rsidRPr="0038203A">
        <w:t xml:space="preserve"> </w:t>
      </w:r>
      <w:r w:rsidRPr="0038203A">
        <w:t>in</w:t>
      </w:r>
      <w:r w:rsidR="0013032F" w:rsidRPr="0038203A">
        <w:t xml:space="preserve"> </w:t>
      </w:r>
      <w:r w:rsidRPr="0038203A">
        <w:t>Gippsland</w:t>
      </w:r>
      <w:r w:rsidR="0013032F" w:rsidRPr="0038203A">
        <w:t xml:space="preserve"> </w:t>
      </w:r>
      <w:r w:rsidRPr="0038203A">
        <w:t>and</w:t>
      </w:r>
      <w:r w:rsidR="0013032F" w:rsidRPr="0038203A">
        <w:t xml:space="preserve"> </w:t>
      </w:r>
      <w:r w:rsidRPr="0038203A">
        <w:t>is</w:t>
      </w:r>
      <w:r w:rsidR="0013032F" w:rsidRPr="0038203A">
        <w:t xml:space="preserve"> </w:t>
      </w:r>
      <w:r w:rsidRPr="0038203A">
        <w:t>a</w:t>
      </w:r>
      <w:r w:rsidR="0013032F" w:rsidRPr="0038203A">
        <w:t xml:space="preserve"> </w:t>
      </w:r>
      <w:r w:rsidRPr="0038203A">
        <w:t>cornerstone</w:t>
      </w:r>
      <w:r w:rsidR="0013032F" w:rsidRPr="0038203A">
        <w:t xml:space="preserve"> </w:t>
      </w:r>
      <w:r w:rsidRPr="0038203A">
        <w:t>to</w:t>
      </w:r>
      <w:r w:rsidR="0013032F" w:rsidRPr="0038203A">
        <w:t xml:space="preserve"> </w:t>
      </w:r>
      <w:r w:rsidRPr="0038203A">
        <w:t>the</w:t>
      </w:r>
      <w:r w:rsidR="0013032F" w:rsidRPr="0038203A">
        <w:t xml:space="preserve"> </w:t>
      </w:r>
      <w:r w:rsidRPr="0038203A">
        <w:t>work</w:t>
      </w:r>
      <w:r w:rsidR="0013032F" w:rsidRPr="0038203A">
        <w:t xml:space="preserve"> </w:t>
      </w:r>
      <w:r w:rsidRPr="0038203A">
        <w:t>it</w:t>
      </w:r>
      <w:r w:rsidR="0013032F" w:rsidRPr="0038203A">
        <w:t xml:space="preserve"> </w:t>
      </w:r>
      <w:r w:rsidRPr="0038203A">
        <w:t>delivers.</w:t>
      </w:r>
      <w:r w:rsidR="0013032F" w:rsidRPr="0038203A">
        <w:t xml:space="preserve"> </w:t>
      </w:r>
      <w:r w:rsidRPr="0038203A">
        <w:t>It</w:t>
      </w:r>
      <w:r w:rsidR="0013032F" w:rsidRPr="0038203A">
        <w:t xml:space="preserve"> </w:t>
      </w:r>
      <w:r w:rsidRPr="0038203A">
        <w:t>is</w:t>
      </w:r>
      <w:r w:rsidR="0013032F" w:rsidRPr="0038203A">
        <w:t xml:space="preserve"> </w:t>
      </w:r>
      <w:r w:rsidRPr="0038203A">
        <w:t>also</w:t>
      </w:r>
      <w:r w:rsidR="0013032F" w:rsidRPr="0038203A">
        <w:t xml:space="preserve"> </w:t>
      </w:r>
      <w:r w:rsidRPr="0038203A">
        <w:t>an</w:t>
      </w:r>
      <w:r w:rsidR="0013032F" w:rsidRPr="0038203A">
        <w:t xml:space="preserve"> </w:t>
      </w:r>
      <w:r w:rsidRPr="0038203A">
        <w:t>enabler</w:t>
      </w:r>
      <w:r w:rsidR="0013032F" w:rsidRPr="0038203A">
        <w:t xml:space="preserve"> </w:t>
      </w:r>
      <w:r w:rsidRPr="0038203A">
        <w:t>to</w:t>
      </w:r>
      <w:r w:rsidR="0013032F" w:rsidRPr="0038203A">
        <w:t xml:space="preserve"> </w:t>
      </w:r>
      <w:r w:rsidRPr="0038203A">
        <w:t>showcasing</w:t>
      </w:r>
      <w:r w:rsidR="0013032F" w:rsidRPr="0038203A">
        <w:t xml:space="preserve"> </w:t>
      </w:r>
      <w:r w:rsidRPr="0038203A">
        <w:t>positive</w:t>
      </w:r>
      <w:r w:rsidR="0013032F" w:rsidRPr="0038203A">
        <w:t xml:space="preserve"> </w:t>
      </w:r>
      <w:r w:rsidRPr="0038203A">
        <w:t>stories</w:t>
      </w:r>
      <w:r w:rsidR="0013032F" w:rsidRPr="0038203A">
        <w:t xml:space="preserve"> </w:t>
      </w:r>
      <w:r w:rsidRPr="0038203A">
        <w:t>about</w:t>
      </w:r>
      <w:r w:rsidR="0013032F" w:rsidRPr="0038203A">
        <w:t xml:space="preserve"> </w:t>
      </w:r>
      <w:r w:rsidRPr="0038203A">
        <w:t>Gippsland</w:t>
      </w:r>
      <w:r w:rsidR="0013032F" w:rsidRPr="0038203A">
        <w:t xml:space="preserve"> </w:t>
      </w:r>
      <w:r w:rsidRPr="0038203A">
        <w:t>and</w:t>
      </w:r>
      <w:r w:rsidR="0013032F" w:rsidRPr="0038203A">
        <w:t xml:space="preserve"> </w:t>
      </w:r>
      <w:proofErr w:type="spellStart"/>
      <w:r w:rsidRPr="0038203A">
        <w:t>Gippslanders</w:t>
      </w:r>
      <w:proofErr w:type="spellEnd"/>
      <w:r w:rsidRPr="0038203A">
        <w:t>,</w:t>
      </w:r>
      <w:r w:rsidR="0013032F" w:rsidRPr="0038203A">
        <w:t xml:space="preserve"> </w:t>
      </w:r>
      <w:r w:rsidRPr="0038203A">
        <w:t>ultimately</w:t>
      </w:r>
      <w:r w:rsidR="0013032F" w:rsidRPr="0038203A">
        <w:t xml:space="preserve"> </w:t>
      </w:r>
      <w:r w:rsidRPr="0038203A">
        <w:t>boosting</w:t>
      </w:r>
      <w:r w:rsidR="0013032F" w:rsidRPr="0038203A">
        <w:t xml:space="preserve"> </w:t>
      </w:r>
      <w:r w:rsidRPr="0038203A">
        <w:t>pride</w:t>
      </w:r>
      <w:r w:rsidR="0013032F" w:rsidRPr="0038203A">
        <w:t xml:space="preserve"> </w:t>
      </w:r>
      <w:r w:rsidRPr="0038203A">
        <w:t>in</w:t>
      </w:r>
      <w:r w:rsidR="0013032F" w:rsidRPr="0038203A">
        <w:t xml:space="preserve"> </w:t>
      </w:r>
      <w:r w:rsidRPr="0038203A">
        <w:t>place.</w:t>
      </w:r>
      <w:r w:rsidR="0013032F" w:rsidRPr="0038203A">
        <w:t xml:space="preserve"> </w:t>
      </w:r>
    </w:p>
    <w:p w14:paraId="40B61128" w14:textId="30185D32" w:rsidR="00757772" w:rsidRPr="0038203A" w:rsidRDefault="00305D3C" w:rsidP="0038203A">
      <w:r w:rsidRPr="0038203A">
        <w:t>Through</w:t>
      </w:r>
      <w:r w:rsidR="0013032F" w:rsidRPr="0038203A">
        <w:t xml:space="preserve"> </w:t>
      </w:r>
      <w:r w:rsidRPr="0038203A">
        <w:t>the</w:t>
      </w:r>
      <w:r w:rsidR="0013032F" w:rsidRPr="0038203A">
        <w:t xml:space="preserve"> </w:t>
      </w:r>
      <w:r w:rsidRPr="0038203A">
        <w:t>positive</w:t>
      </w:r>
      <w:r w:rsidR="0013032F" w:rsidRPr="0038203A">
        <w:t xml:space="preserve"> </w:t>
      </w:r>
      <w:r w:rsidRPr="0038203A">
        <w:t>advocacy</w:t>
      </w:r>
      <w:r w:rsidR="0013032F" w:rsidRPr="0038203A">
        <w:t xml:space="preserve"> </w:t>
      </w:r>
      <w:r w:rsidRPr="0038203A">
        <w:t>campaign,</w:t>
      </w:r>
      <w:r w:rsidR="0013032F" w:rsidRPr="0038203A">
        <w:t xml:space="preserve"> </w:t>
      </w:r>
      <w:r w:rsidRPr="0038203A">
        <w:t>the</w:t>
      </w:r>
      <w:r w:rsidR="0013032F" w:rsidRPr="0038203A">
        <w:t xml:space="preserve"> </w:t>
      </w:r>
      <w:r w:rsidRPr="0038203A">
        <w:t>partnership</w:t>
      </w:r>
      <w:r w:rsidR="0013032F" w:rsidRPr="0038203A">
        <w:t xml:space="preserve"> </w:t>
      </w:r>
      <w:r w:rsidRPr="0038203A">
        <w:t>promoted</w:t>
      </w:r>
      <w:r w:rsidR="0013032F" w:rsidRPr="0038203A">
        <w:t xml:space="preserve"> </w:t>
      </w:r>
      <w:r w:rsidRPr="0038203A">
        <w:t>the</w:t>
      </w:r>
      <w:r w:rsidR="0013032F" w:rsidRPr="0038203A">
        <w:t xml:space="preserve"> </w:t>
      </w:r>
      <w:proofErr w:type="spellStart"/>
      <w:r w:rsidRPr="0038203A">
        <w:t>Elecsome</w:t>
      </w:r>
      <w:proofErr w:type="spellEnd"/>
      <w:r w:rsidR="0013032F" w:rsidRPr="0038203A">
        <w:t xml:space="preserve"> </w:t>
      </w:r>
      <w:r w:rsidRPr="0038203A">
        <w:t>project</w:t>
      </w:r>
      <w:r w:rsidR="0013032F" w:rsidRPr="0038203A">
        <w:t xml:space="preserve"> </w:t>
      </w:r>
      <w:r w:rsidRPr="0038203A">
        <w:t>to</w:t>
      </w:r>
      <w:r w:rsidR="0013032F" w:rsidRPr="0038203A">
        <w:t xml:space="preserve"> </w:t>
      </w:r>
      <w:r w:rsidRPr="0038203A">
        <w:t>the</w:t>
      </w:r>
      <w:r w:rsidR="0013032F" w:rsidRPr="0038203A">
        <w:t xml:space="preserve"> </w:t>
      </w:r>
      <w:r w:rsidRPr="0038203A">
        <w:t>broader</w:t>
      </w:r>
      <w:r w:rsidR="0013032F" w:rsidRPr="0038203A">
        <w:t xml:space="preserve"> </w:t>
      </w:r>
      <w:r w:rsidRPr="0038203A">
        <w:t>Gippsland</w:t>
      </w:r>
      <w:r w:rsidR="0013032F" w:rsidRPr="0038203A">
        <w:t xml:space="preserve"> </w:t>
      </w:r>
      <w:r w:rsidRPr="0038203A">
        <w:t>community.</w:t>
      </w:r>
      <w:r w:rsidR="0013032F" w:rsidRPr="0038203A">
        <w:t xml:space="preserve"> </w:t>
      </w:r>
      <w:r w:rsidRPr="0038203A">
        <w:t>The</w:t>
      </w:r>
      <w:r w:rsidR="0013032F" w:rsidRPr="0038203A">
        <w:t xml:space="preserve"> </w:t>
      </w:r>
      <w:r w:rsidRPr="0038203A">
        <w:t>partnership</w:t>
      </w:r>
      <w:r w:rsidR="0013032F" w:rsidRPr="0038203A">
        <w:t xml:space="preserve"> </w:t>
      </w:r>
      <w:r w:rsidRPr="0038203A">
        <w:t>continues</w:t>
      </w:r>
      <w:r w:rsidR="0013032F" w:rsidRPr="0038203A">
        <w:t xml:space="preserve"> </w:t>
      </w:r>
      <w:r w:rsidRPr="0038203A">
        <w:t>to</w:t>
      </w:r>
      <w:r w:rsidR="0013032F" w:rsidRPr="0038203A">
        <w:t xml:space="preserve"> </w:t>
      </w:r>
      <w:r w:rsidRPr="0038203A">
        <w:t>harness</w:t>
      </w:r>
      <w:r w:rsidR="0013032F" w:rsidRPr="0038203A">
        <w:t xml:space="preserve"> </w:t>
      </w:r>
      <w:r w:rsidRPr="0038203A">
        <w:t>the</w:t>
      </w:r>
      <w:r w:rsidR="0013032F" w:rsidRPr="0038203A">
        <w:t xml:space="preserve"> </w:t>
      </w:r>
      <w:r w:rsidRPr="0038203A">
        <w:t>positive</w:t>
      </w:r>
      <w:r w:rsidR="0013032F" w:rsidRPr="0038203A">
        <w:t xml:space="preserve"> </w:t>
      </w:r>
      <w:r w:rsidRPr="0038203A">
        <w:t>adv</w:t>
      </w:r>
      <w:r w:rsidRPr="0038203A">
        <w:t>ocacy</w:t>
      </w:r>
      <w:r w:rsidR="0013032F" w:rsidRPr="0038203A">
        <w:t xml:space="preserve"> </w:t>
      </w:r>
      <w:r w:rsidRPr="0038203A">
        <w:t>campaign</w:t>
      </w:r>
      <w:r w:rsidR="0013032F" w:rsidRPr="0038203A">
        <w:t xml:space="preserve"> </w:t>
      </w:r>
      <w:r w:rsidRPr="0038203A">
        <w:t>to</w:t>
      </w:r>
      <w:r w:rsidR="0013032F" w:rsidRPr="0038203A">
        <w:t xml:space="preserve"> </w:t>
      </w:r>
      <w:r w:rsidRPr="0038203A">
        <w:t>ignite</w:t>
      </w:r>
      <w:r w:rsidR="0013032F" w:rsidRPr="0038203A">
        <w:t xml:space="preserve"> </w:t>
      </w:r>
      <w:r w:rsidRPr="0038203A">
        <w:t>interest</w:t>
      </w:r>
      <w:r w:rsidR="0013032F" w:rsidRPr="0038203A">
        <w:t xml:space="preserve"> </w:t>
      </w:r>
      <w:r w:rsidRPr="0038203A">
        <w:t>and</w:t>
      </w:r>
      <w:r w:rsidR="0013032F" w:rsidRPr="0038203A">
        <w:t xml:space="preserve"> </w:t>
      </w:r>
      <w:r w:rsidRPr="0038203A">
        <w:t>advance</w:t>
      </w:r>
      <w:r w:rsidR="0013032F" w:rsidRPr="0038203A">
        <w:t xml:space="preserve"> </w:t>
      </w:r>
      <w:r w:rsidRPr="0038203A">
        <w:t>actions</w:t>
      </w:r>
      <w:r w:rsidR="0013032F" w:rsidRPr="0038203A">
        <w:t xml:space="preserve"> </w:t>
      </w:r>
      <w:r w:rsidRPr="0038203A">
        <w:t>that</w:t>
      </w:r>
      <w:r w:rsidR="0013032F" w:rsidRPr="0038203A">
        <w:t xml:space="preserve"> </w:t>
      </w:r>
      <w:r w:rsidRPr="0038203A">
        <w:t>leverage</w:t>
      </w:r>
      <w:r w:rsidR="0013032F" w:rsidRPr="0038203A">
        <w:t xml:space="preserve"> </w:t>
      </w:r>
      <w:r w:rsidRPr="0038203A">
        <w:t>future</w:t>
      </w:r>
      <w:r w:rsidR="0013032F" w:rsidRPr="0038203A">
        <w:t xml:space="preserve"> </w:t>
      </w:r>
      <w:r w:rsidRPr="0038203A">
        <w:t>opportunities</w:t>
      </w:r>
      <w:r w:rsidR="0013032F" w:rsidRPr="0038203A">
        <w:t xml:space="preserve"> </w:t>
      </w:r>
      <w:r w:rsidRPr="0038203A">
        <w:t>in</w:t>
      </w:r>
      <w:r w:rsidR="0013032F" w:rsidRPr="0038203A">
        <w:t xml:space="preserve"> </w:t>
      </w:r>
      <w:r w:rsidRPr="0038203A">
        <w:t>the</w:t>
      </w:r>
      <w:r w:rsidR="0013032F" w:rsidRPr="0038203A">
        <w:t xml:space="preserve"> </w:t>
      </w:r>
      <w:r w:rsidRPr="0038203A">
        <w:t>region.</w:t>
      </w:r>
    </w:p>
    <w:p w14:paraId="23BD1422" w14:textId="698666FA" w:rsidR="00757772" w:rsidRDefault="00305D3C" w:rsidP="0038203A">
      <w:pPr>
        <w:pStyle w:val="Heading1"/>
      </w:pPr>
      <w:bookmarkStart w:id="28" w:name="_Toc149566574"/>
      <w:r>
        <w:lastRenderedPageBreak/>
        <w:t>Regional</w:t>
      </w:r>
      <w:r w:rsidR="0013032F">
        <w:t xml:space="preserve"> </w:t>
      </w:r>
      <w:r>
        <w:t>Development</w:t>
      </w:r>
      <w:r w:rsidR="0013032F">
        <w:t xml:space="preserve"> </w:t>
      </w:r>
      <w:r>
        <w:t>Australia</w:t>
      </w:r>
      <w:bookmarkEnd w:id="28"/>
    </w:p>
    <w:p w14:paraId="27BA25B5" w14:textId="2C9F0C19" w:rsidR="00757772" w:rsidRDefault="00305D3C" w:rsidP="0038203A">
      <w:r>
        <w:t>Regional</w:t>
      </w:r>
      <w:r w:rsidR="0013032F">
        <w:t xml:space="preserve"> </w:t>
      </w:r>
      <w:r>
        <w:t>Development</w:t>
      </w:r>
      <w:r w:rsidR="0013032F">
        <w:t xml:space="preserve"> </w:t>
      </w:r>
      <w:r>
        <w:t>Australia</w:t>
      </w:r>
      <w:r w:rsidR="0013032F">
        <w:t xml:space="preserve"> </w:t>
      </w:r>
      <w:r>
        <w:t>(RDA)</w:t>
      </w:r>
      <w:r w:rsidR="0013032F">
        <w:t xml:space="preserve"> </w:t>
      </w:r>
      <w:r>
        <w:t>is</w:t>
      </w:r>
      <w:r w:rsidR="0013032F">
        <w:t xml:space="preserve"> </w:t>
      </w:r>
      <w:r>
        <w:t>an</w:t>
      </w:r>
      <w:r w:rsidR="0013032F">
        <w:t xml:space="preserve"> </w:t>
      </w:r>
      <w:r>
        <w:t>Australian</w:t>
      </w:r>
      <w:r w:rsidR="0013032F">
        <w:t xml:space="preserve"> </w:t>
      </w:r>
      <w:r>
        <w:t>Government</w:t>
      </w:r>
      <w:r w:rsidR="0013032F">
        <w:t xml:space="preserve"> </w:t>
      </w:r>
      <w:r>
        <w:t>initiative</w:t>
      </w:r>
      <w:r w:rsidR="0013032F">
        <w:t xml:space="preserve"> </w:t>
      </w:r>
      <w:r>
        <w:t>that</w:t>
      </w:r>
      <w:r w:rsidR="0013032F">
        <w:t xml:space="preserve"> </w:t>
      </w:r>
      <w:r>
        <w:t>aims</w:t>
      </w:r>
      <w:r w:rsidR="0013032F">
        <w:t xml:space="preserve"> </w:t>
      </w:r>
      <w:r>
        <w:t>to</w:t>
      </w:r>
      <w:r w:rsidR="0013032F">
        <w:t xml:space="preserve"> </w:t>
      </w:r>
      <w:r>
        <w:t>develop</w:t>
      </w:r>
      <w:r w:rsidR="0013032F">
        <w:t xml:space="preserve"> </w:t>
      </w:r>
      <w:r>
        <w:t>confident</w:t>
      </w:r>
      <w:r w:rsidR="0013032F">
        <w:t xml:space="preserve"> </w:t>
      </w:r>
      <w:r>
        <w:t>regional</w:t>
      </w:r>
      <w:r w:rsidR="0013032F">
        <w:t xml:space="preserve"> </w:t>
      </w:r>
      <w:r>
        <w:t>economies</w:t>
      </w:r>
      <w:r w:rsidR="0013032F">
        <w:t xml:space="preserve"> </w:t>
      </w:r>
      <w:r>
        <w:t>t</w:t>
      </w:r>
      <w:r>
        <w:t>hat</w:t>
      </w:r>
      <w:r w:rsidR="0013032F">
        <w:t xml:space="preserve"> </w:t>
      </w:r>
      <w:r>
        <w:t>harness</w:t>
      </w:r>
      <w:r w:rsidR="0013032F">
        <w:t xml:space="preserve"> </w:t>
      </w:r>
      <w:r>
        <w:t>their</w:t>
      </w:r>
      <w:r w:rsidR="0013032F">
        <w:t xml:space="preserve"> </w:t>
      </w:r>
      <w:r>
        <w:t>competitive</w:t>
      </w:r>
      <w:r w:rsidR="0013032F">
        <w:t xml:space="preserve"> </w:t>
      </w:r>
      <w:r>
        <w:t>advantages.</w:t>
      </w:r>
    </w:p>
    <w:p w14:paraId="2B4563ED" w14:textId="2381E6E5" w:rsidR="00757772" w:rsidRDefault="00305D3C" w:rsidP="0038203A">
      <w:r>
        <w:rPr>
          <w:spacing w:val="-3"/>
        </w:rPr>
        <w:t>Victoria’s</w:t>
      </w:r>
      <w:r w:rsidR="0013032F">
        <w:rPr>
          <w:spacing w:val="-3"/>
        </w:rPr>
        <w:t xml:space="preserve"> </w:t>
      </w:r>
      <w:r>
        <w:rPr>
          <w:spacing w:val="-3"/>
        </w:rPr>
        <w:t>6</w:t>
      </w:r>
      <w:r w:rsidR="0013032F">
        <w:rPr>
          <w:spacing w:val="-3"/>
        </w:rPr>
        <w:t xml:space="preserve"> </w:t>
      </w:r>
      <w:r>
        <w:rPr>
          <w:spacing w:val="-3"/>
        </w:rPr>
        <w:t>RDA</w:t>
      </w:r>
      <w:r w:rsidR="0013032F">
        <w:rPr>
          <w:spacing w:val="-3"/>
        </w:rPr>
        <w:t xml:space="preserve"> </w:t>
      </w:r>
      <w:r>
        <w:rPr>
          <w:spacing w:val="-3"/>
        </w:rPr>
        <w:t>committees</w:t>
      </w:r>
      <w:r w:rsidR="0013032F">
        <w:rPr>
          <w:spacing w:val="-3"/>
        </w:rPr>
        <w:t xml:space="preserve"> </w:t>
      </w:r>
      <w:r>
        <w:rPr>
          <w:spacing w:val="-3"/>
        </w:rPr>
        <w:t>(Barwon</w:t>
      </w:r>
      <w:r w:rsidR="0013032F">
        <w:rPr>
          <w:spacing w:val="-3"/>
        </w:rPr>
        <w:t xml:space="preserve"> </w:t>
      </w:r>
      <w:r>
        <w:rPr>
          <w:spacing w:val="-3"/>
        </w:rPr>
        <w:t>South</w:t>
      </w:r>
      <w:r w:rsidR="0013032F">
        <w:rPr>
          <w:spacing w:val="-3"/>
        </w:rPr>
        <w:t xml:space="preserve"> </w:t>
      </w:r>
      <w:r>
        <w:rPr>
          <w:spacing w:val="-3"/>
        </w:rPr>
        <w:t>West,</w:t>
      </w:r>
      <w:r w:rsidR="0013032F">
        <w:rPr>
          <w:spacing w:val="-3"/>
        </w:rPr>
        <w:t xml:space="preserve"> </w:t>
      </w:r>
      <w:r>
        <w:rPr>
          <w:spacing w:val="-3"/>
        </w:rPr>
        <w:t>Gippsland,</w:t>
      </w:r>
      <w:r w:rsidR="0013032F">
        <w:rPr>
          <w:spacing w:val="-3"/>
        </w:rPr>
        <w:t xml:space="preserve"> </w:t>
      </w:r>
      <w:r>
        <w:rPr>
          <w:spacing w:val="-3"/>
        </w:rPr>
        <w:t>Grampians,</w:t>
      </w:r>
      <w:r w:rsidR="0013032F">
        <w:rPr>
          <w:spacing w:val="-3"/>
        </w:rPr>
        <w:t xml:space="preserve"> </w:t>
      </w:r>
      <w:r>
        <w:rPr>
          <w:spacing w:val="-3"/>
        </w:rPr>
        <w:t>Hume,</w:t>
      </w:r>
      <w:r w:rsidR="0013032F">
        <w:rPr>
          <w:spacing w:val="-3"/>
        </w:rPr>
        <w:t xml:space="preserve"> </w:t>
      </w:r>
      <w:r>
        <w:rPr>
          <w:spacing w:val="-3"/>
        </w:rPr>
        <w:t>Loddon</w:t>
      </w:r>
      <w:r w:rsidR="0013032F">
        <w:rPr>
          <w:spacing w:val="-3"/>
        </w:rPr>
        <w:t xml:space="preserve"> </w:t>
      </w:r>
      <w:r>
        <w:rPr>
          <w:spacing w:val="-3"/>
        </w:rPr>
        <w:t>Mallee</w:t>
      </w:r>
      <w:r w:rsidR="0013032F">
        <w:rPr>
          <w:spacing w:val="-3"/>
        </w:rPr>
        <w:t xml:space="preserve"> </w:t>
      </w:r>
      <w:r>
        <w:rPr>
          <w:spacing w:val="-3"/>
        </w:rPr>
        <w:t>and</w:t>
      </w:r>
      <w:r w:rsidR="0013032F">
        <w:rPr>
          <w:spacing w:val="-3"/>
        </w:rPr>
        <w:t xml:space="preserve"> </w:t>
      </w:r>
      <w:r>
        <w:rPr>
          <w:spacing w:val="-3"/>
        </w:rPr>
        <w:t>Melbourne)</w:t>
      </w:r>
      <w:r w:rsidR="0013032F">
        <w:rPr>
          <w:spacing w:val="-3"/>
        </w:rPr>
        <w:t xml:space="preserve"> </w:t>
      </w:r>
      <w:r>
        <w:rPr>
          <w:spacing w:val="-3"/>
        </w:rPr>
        <w:t>are</w:t>
      </w:r>
      <w:r w:rsidR="0013032F">
        <w:rPr>
          <w:spacing w:val="-3"/>
        </w:rPr>
        <w:t xml:space="preserve"> </w:t>
      </w:r>
      <w:r>
        <w:rPr>
          <w:spacing w:val="-3"/>
        </w:rPr>
        <w:t>part</w:t>
      </w:r>
      <w:r w:rsidR="0013032F">
        <w:rPr>
          <w:spacing w:val="-3"/>
        </w:rPr>
        <w:t xml:space="preserve"> </w:t>
      </w:r>
      <w:r>
        <w:t>of</w:t>
      </w:r>
      <w:r w:rsidR="0013032F">
        <w:t xml:space="preserve"> </w:t>
      </w:r>
      <w:r>
        <w:t>a</w:t>
      </w:r>
      <w:r w:rsidR="0013032F">
        <w:t xml:space="preserve"> </w:t>
      </w:r>
      <w:r>
        <w:t>network</w:t>
      </w:r>
      <w:r w:rsidR="0013032F">
        <w:t xml:space="preserve"> </w:t>
      </w:r>
      <w:r>
        <w:t>of</w:t>
      </w:r>
      <w:r w:rsidR="0013032F">
        <w:t xml:space="preserve"> </w:t>
      </w:r>
      <w:r>
        <w:t>53</w:t>
      </w:r>
      <w:r w:rsidR="0013032F">
        <w:t xml:space="preserve"> </w:t>
      </w:r>
      <w:r>
        <w:t>committees</w:t>
      </w:r>
      <w:r w:rsidR="0013032F">
        <w:t xml:space="preserve"> </w:t>
      </w:r>
      <w:r>
        <w:t>across</w:t>
      </w:r>
      <w:r w:rsidR="0013032F">
        <w:t xml:space="preserve"> </w:t>
      </w:r>
      <w:r>
        <w:t>Australia’s</w:t>
      </w:r>
      <w:r w:rsidR="0013032F">
        <w:t xml:space="preserve"> </w:t>
      </w:r>
      <w:r>
        <w:t>capital</w:t>
      </w:r>
      <w:r w:rsidR="0013032F">
        <w:t xml:space="preserve"> </w:t>
      </w:r>
      <w:r>
        <w:t>cities</w:t>
      </w:r>
      <w:r w:rsidR="0013032F">
        <w:t xml:space="preserve"> </w:t>
      </w:r>
      <w:r>
        <w:t>and</w:t>
      </w:r>
      <w:r w:rsidR="0013032F">
        <w:t xml:space="preserve"> </w:t>
      </w:r>
      <w:r>
        <w:t>regions,</w:t>
      </w:r>
      <w:r w:rsidR="0013032F">
        <w:t xml:space="preserve"> </w:t>
      </w:r>
      <w:r>
        <w:t>including</w:t>
      </w:r>
      <w:r w:rsidR="0013032F">
        <w:t xml:space="preserve"> </w:t>
      </w:r>
      <w:r>
        <w:t>the</w:t>
      </w:r>
      <w:r w:rsidR="0013032F">
        <w:t xml:space="preserve"> </w:t>
      </w:r>
      <w:r>
        <w:t>Indian</w:t>
      </w:r>
      <w:r w:rsidR="0013032F">
        <w:t xml:space="preserve"> </w:t>
      </w:r>
      <w:r>
        <w:t>Ocean</w:t>
      </w:r>
      <w:r w:rsidR="0013032F">
        <w:t xml:space="preserve"> </w:t>
      </w:r>
      <w:r>
        <w:t>territories</w:t>
      </w:r>
      <w:r w:rsidR="0013032F">
        <w:t xml:space="preserve"> </w:t>
      </w:r>
      <w:r>
        <w:t>and</w:t>
      </w:r>
      <w:r w:rsidR="0013032F">
        <w:t xml:space="preserve"> </w:t>
      </w:r>
      <w:r>
        <w:t>Norfolk</w:t>
      </w:r>
      <w:r w:rsidR="0013032F">
        <w:t xml:space="preserve"> </w:t>
      </w:r>
      <w:r>
        <w:t>Island.</w:t>
      </w:r>
      <w:r w:rsidR="0013032F">
        <w:t xml:space="preserve"> </w:t>
      </w:r>
      <w:r>
        <w:t>The</w:t>
      </w:r>
      <w:r w:rsidR="0013032F">
        <w:t xml:space="preserve"> </w:t>
      </w:r>
      <w:r>
        <w:t>committees</w:t>
      </w:r>
      <w:r w:rsidR="0013032F">
        <w:t xml:space="preserve"> </w:t>
      </w:r>
      <w:r>
        <w:t>work</w:t>
      </w:r>
      <w:r w:rsidR="0013032F">
        <w:t xml:space="preserve"> </w:t>
      </w:r>
      <w:r>
        <w:t>with</w:t>
      </w:r>
      <w:r w:rsidR="0013032F">
        <w:t xml:space="preserve"> </w:t>
      </w:r>
      <w:r>
        <w:t>all</w:t>
      </w:r>
      <w:r w:rsidR="0013032F">
        <w:t xml:space="preserve"> </w:t>
      </w:r>
      <w:r>
        <w:t>tiers</w:t>
      </w:r>
      <w:r w:rsidR="0013032F">
        <w:t xml:space="preserve"> </w:t>
      </w:r>
      <w:r>
        <w:t>of</w:t>
      </w:r>
      <w:r w:rsidR="0013032F">
        <w:t xml:space="preserve"> </w:t>
      </w:r>
      <w:r>
        <w:t>government,</w:t>
      </w:r>
      <w:r w:rsidR="0013032F">
        <w:t xml:space="preserve"> </w:t>
      </w:r>
      <w:r>
        <w:t>and</w:t>
      </w:r>
      <w:r w:rsidR="0013032F">
        <w:t xml:space="preserve"> </w:t>
      </w:r>
      <w:r>
        <w:t>business</w:t>
      </w:r>
      <w:r w:rsidR="0013032F">
        <w:t xml:space="preserve"> </w:t>
      </w:r>
      <w:r>
        <w:t>and</w:t>
      </w:r>
      <w:r w:rsidR="0013032F">
        <w:t xml:space="preserve"> </w:t>
      </w:r>
      <w:r>
        <w:t>community</w:t>
      </w:r>
      <w:r w:rsidR="0013032F">
        <w:t xml:space="preserve"> </w:t>
      </w:r>
      <w:r>
        <w:t>groups</w:t>
      </w:r>
      <w:r w:rsidR="0013032F">
        <w:t xml:space="preserve"> </w:t>
      </w:r>
      <w:r>
        <w:t>to</w:t>
      </w:r>
      <w:r w:rsidR="0013032F">
        <w:t xml:space="preserve"> </w:t>
      </w:r>
      <w:r>
        <w:t>support</w:t>
      </w:r>
      <w:r w:rsidR="0013032F">
        <w:t xml:space="preserve"> </w:t>
      </w:r>
      <w:r>
        <w:t>regional</w:t>
      </w:r>
      <w:r w:rsidR="0013032F">
        <w:t xml:space="preserve"> </w:t>
      </w:r>
      <w:r>
        <w:t>economic</w:t>
      </w:r>
      <w:r w:rsidR="0013032F">
        <w:t xml:space="preserve"> </w:t>
      </w:r>
      <w:r>
        <w:t>development.</w:t>
      </w:r>
    </w:p>
    <w:p w14:paraId="20174667" w14:textId="113BFE91" w:rsidR="00757772" w:rsidRDefault="00305D3C" w:rsidP="0038203A">
      <w:r>
        <w:t>Australia’s</w:t>
      </w:r>
      <w:r w:rsidR="0013032F">
        <w:t xml:space="preserve"> </w:t>
      </w:r>
      <w:r>
        <w:t>regions</w:t>
      </w:r>
      <w:r w:rsidR="0013032F">
        <w:t xml:space="preserve"> </w:t>
      </w:r>
      <w:r>
        <w:t>are</w:t>
      </w:r>
      <w:r w:rsidR="0013032F">
        <w:t xml:space="preserve"> </w:t>
      </w:r>
      <w:r>
        <w:t>incredibly</w:t>
      </w:r>
      <w:r w:rsidR="0013032F">
        <w:t xml:space="preserve"> </w:t>
      </w:r>
      <w:r>
        <w:t>diverse</w:t>
      </w:r>
      <w:r w:rsidR="0013032F">
        <w:t xml:space="preserve"> </w:t>
      </w:r>
      <w:r>
        <w:t>and</w:t>
      </w:r>
      <w:r w:rsidR="0013032F">
        <w:t xml:space="preserve"> </w:t>
      </w:r>
      <w:r>
        <w:t>there</w:t>
      </w:r>
      <w:r w:rsidR="0013032F">
        <w:t xml:space="preserve"> </w:t>
      </w:r>
      <w:r>
        <w:rPr>
          <w:spacing w:val="-3"/>
        </w:rPr>
        <w:t>is</w:t>
      </w:r>
      <w:r w:rsidR="0013032F">
        <w:rPr>
          <w:spacing w:val="-3"/>
        </w:rPr>
        <w:t xml:space="preserve"> </w:t>
      </w:r>
      <w:r>
        <w:rPr>
          <w:spacing w:val="-3"/>
        </w:rPr>
        <w:t>no</w:t>
      </w:r>
      <w:r w:rsidR="0013032F">
        <w:rPr>
          <w:spacing w:val="-3"/>
        </w:rPr>
        <w:t xml:space="preserve"> </w:t>
      </w:r>
      <w:r>
        <w:rPr>
          <w:spacing w:val="-3"/>
        </w:rPr>
        <w:t>one-size-fits-all</w:t>
      </w:r>
      <w:r w:rsidR="0013032F">
        <w:rPr>
          <w:spacing w:val="-3"/>
        </w:rPr>
        <w:t xml:space="preserve"> </w:t>
      </w:r>
      <w:r>
        <w:rPr>
          <w:spacing w:val="-3"/>
        </w:rPr>
        <w:t>approach.</w:t>
      </w:r>
      <w:r w:rsidR="0013032F">
        <w:rPr>
          <w:spacing w:val="-3"/>
        </w:rPr>
        <w:t xml:space="preserve"> </w:t>
      </w:r>
      <w:r>
        <w:rPr>
          <w:spacing w:val="-3"/>
        </w:rPr>
        <w:t>RDA</w:t>
      </w:r>
      <w:r w:rsidR="0013032F">
        <w:rPr>
          <w:spacing w:val="-3"/>
        </w:rPr>
        <w:t xml:space="preserve"> </w:t>
      </w:r>
      <w:r>
        <w:rPr>
          <w:spacing w:val="-3"/>
        </w:rPr>
        <w:t>committee</w:t>
      </w:r>
      <w:r w:rsidR="0013032F">
        <w:rPr>
          <w:spacing w:val="-3"/>
        </w:rPr>
        <w:t xml:space="preserve"> </w:t>
      </w:r>
      <w:r>
        <w:rPr>
          <w:spacing w:val="-3"/>
        </w:rPr>
        <w:t>members</w:t>
      </w:r>
      <w:r w:rsidR="0013032F">
        <w:rPr>
          <w:spacing w:val="-3"/>
        </w:rPr>
        <w:t xml:space="preserve"> </w:t>
      </w:r>
      <w:r>
        <w:rPr>
          <w:spacing w:val="-3"/>
        </w:rPr>
        <w:t>are</w:t>
      </w:r>
      <w:r w:rsidR="0013032F">
        <w:rPr>
          <w:spacing w:val="-3"/>
        </w:rPr>
        <w:t xml:space="preserve"> </w:t>
      </w:r>
      <w:r>
        <w:rPr>
          <w:spacing w:val="-3"/>
        </w:rPr>
        <w:t>passionate</w:t>
      </w:r>
      <w:r w:rsidR="0013032F">
        <w:rPr>
          <w:spacing w:val="-3"/>
        </w:rPr>
        <w:t xml:space="preserve"> </w:t>
      </w:r>
      <w:r>
        <w:rPr>
          <w:spacing w:val="-3"/>
        </w:rPr>
        <w:t>and</w:t>
      </w:r>
      <w:r w:rsidR="0013032F">
        <w:rPr>
          <w:spacing w:val="-3"/>
        </w:rPr>
        <w:t xml:space="preserve"> </w:t>
      </w:r>
      <w:r>
        <w:rPr>
          <w:spacing w:val="-3"/>
        </w:rPr>
        <w:t>dedicated</w:t>
      </w:r>
      <w:r w:rsidR="0013032F">
        <w:rPr>
          <w:spacing w:val="-3"/>
        </w:rPr>
        <w:t xml:space="preserve"> </w:t>
      </w:r>
      <w:r>
        <w:rPr>
          <w:spacing w:val="-3"/>
        </w:rPr>
        <w:t>local</w:t>
      </w:r>
      <w:r w:rsidR="0013032F">
        <w:rPr>
          <w:spacing w:val="-3"/>
        </w:rPr>
        <w:t xml:space="preserve"> </w:t>
      </w:r>
      <w:r>
        <w:rPr>
          <w:spacing w:val="-3"/>
        </w:rPr>
        <w:t>leaders</w:t>
      </w:r>
      <w:r w:rsidR="0013032F">
        <w:rPr>
          <w:spacing w:val="-3"/>
        </w:rPr>
        <w:t xml:space="preserve"> </w:t>
      </w:r>
      <w:r>
        <w:rPr>
          <w:spacing w:val="-3"/>
        </w:rPr>
        <w:t>who</w:t>
      </w:r>
      <w:r w:rsidR="0013032F">
        <w:rPr>
          <w:spacing w:val="-3"/>
        </w:rPr>
        <w:t xml:space="preserve"> </w:t>
      </w:r>
      <w:r>
        <w:rPr>
          <w:spacing w:val="-3"/>
        </w:rPr>
        <w:t>function</w:t>
      </w:r>
      <w:r w:rsidR="0013032F">
        <w:rPr>
          <w:spacing w:val="-3"/>
        </w:rPr>
        <w:t xml:space="preserve"> </w:t>
      </w:r>
      <w:r>
        <w:t>as</w:t>
      </w:r>
      <w:r w:rsidR="0013032F">
        <w:t xml:space="preserve"> </w:t>
      </w:r>
      <w:r>
        <w:t>an</w:t>
      </w:r>
      <w:r w:rsidR="0013032F">
        <w:t xml:space="preserve"> </w:t>
      </w:r>
      <w:r>
        <w:t>effective</w:t>
      </w:r>
      <w:r w:rsidR="0013032F">
        <w:t xml:space="preserve"> </w:t>
      </w:r>
      <w:r>
        <w:t>conduit</w:t>
      </w:r>
      <w:r w:rsidR="0013032F">
        <w:t xml:space="preserve"> </w:t>
      </w:r>
      <w:r>
        <w:t>across</w:t>
      </w:r>
      <w:r w:rsidR="0013032F">
        <w:t xml:space="preserve"> </w:t>
      </w:r>
      <w:r>
        <w:t>government,</w:t>
      </w:r>
      <w:r w:rsidR="0013032F">
        <w:t xml:space="preserve"> </w:t>
      </w:r>
      <w:r>
        <w:t>industry</w:t>
      </w:r>
      <w:r w:rsidR="0013032F">
        <w:t xml:space="preserve"> </w:t>
      </w:r>
      <w:r>
        <w:t>and</w:t>
      </w:r>
      <w:r w:rsidR="0013032F">
        <w:t xml:space="preserve"> </w:t>
      </w:r>
      <w:r>
        <w:t>the</w:t>
      </w:r>
      <w:r w:rsidR="0013032F">
        <w:t xml:space="preserve"> </w:t>
      </w:r>
      <w:r>
        <w:t>community</w:t>
      </w:r>
      <w:r w:rsidR="0013032F">
        <w:t xml:space="preserve"> </w:t>
      </w:r>
      <w:r>
        <w:t>to</w:t>
      </w:r>
      <w:r w:rsidR="0013032F">
        <w:t xml:space="preserve"> </w:t>
      </w:r>
      <w:r>
        <w:t>support</w:t>
      </w:r>
      <w:r w:rsidR="0013032F">
        <w:t xml:space="preserve"> </w:t>
      </w:r>
      <w:r>
        <w:t>the</w:t>
      </w:r>
      <w:r w:rsidR="0013032F">
        <w:t xml:space="preserve"> </w:t>
      </w:r>
      <w:r>
        <w:t>development</w:t>
      </w:r>
      <w:r w:rsidR="0013032F">
        <w:t xml:space="preserve"> </w:t>
      </w:r>
      <w:r>
        <w:t>of</w:t>
      </w:r>
      <w:r w:rsidR="0013032F">
        <w:t xml:space="preserve"> </w:t>
      </w:r>
      <w:r>
        <w:t>their</w:t>
      </w:r>
      <w:r w:rsidR="0013032F">
        <w:t xml:space="preserve"> </w:t>
      </w:r>
      <w:r>
        <w:t>regions.</w:t>
      </w:r>
      <w:r w:rsidR="0013032F">
        <w:t xml:space="preserve"> </w:t>
      </w:r>
      <w:r>
        <w:t>They</w:t>
      </w:r>
      <w:r w:rsidR="0013032F">
        <w:t xml:space="preserve"> </w:t>
      </w:r>
      <w:r>
        <w:t>bring</w:t>
      </w:r>
      <w:r w:rsidR="0013032F">
        <w:t xml:space="preserve"> </w:t>
      </w:r>
      <w:r>
        <w:t>a</w:t>
      </w:r>
      <w:r w:rsidR="0013032F">
        <w:t xml:space="preserve"> </w:t>
      </w:r>
      <w:r>
        <w:t>broad</w:t>
      </w:r>
      <w:r w:rsidR="0013032F">
        <w:t xml:space="preserve"> </w:t>
      </w:r>
      <w:r>
        <w:t>range</w:t>
      </w:r>
      <w:r w:rsidR="0013032F">
        <w:t xml:space="preserve"> </w:t>
      </w:r>
      <w:r>
        <w:t>of</w:t>
      </w:r>
      <w:r w:rsidR="0013032F">
        <w:t xml:space="preserve"> </w:t>
      </w:r>
      <w:r>
        <w:t>experiences</w:t>
      </w:r>
      <w:r w:rsidR="0013032F">
        <w:t xml:space="preserve"> </w:t>
      </w:r>
      <w:r>
        <w:t>from</w:t>
      </w:r>
      <w:r w:rsidR="0013032F">
        <w:t xml:space="preserve"> </w:t>
      </w:r>
      <w:r>
        <w:t>local</w:t>
      </w:r>
      <w:r w:rsidR="0013032F">
        <w:t xml:space="preserve"> </w:t>
      </w:r>
      <w:r>
        <w:t>government,</w:t>
      </w:r>
      <w:r w:rsidR="0013032F">
        <w:t xml:space="preserve"> </w:t>
      </w:r>
      <w:r>
        <w:t>the</w:t>
      </w:r>
      <w:r w:rsidR="0013032F">
        <w:t xml:space="preserve"> </w:t>
      </w:r>
      <w:r>
        <w:t>private</w:t>
      </w:r>
      <w:r w:rsidR="0013032F">
        <w:t xml:space="preserve"> </w:t>
      </w:r>
      <w:r>
        <w:t>sector</w:t>
      </w:r>
      <w:r w:rsidR="0013032F">
        <w:t xml:space="preserve"> </w:t>
      </w:r>
      <w:r>
        <w:t>and</w:t>
      </w:r>
      <w:r w:rsidR="0013032F">
        <w:t xml:space="preserve"> </w:t>
      </w:r>
      <w:r>
        <w:t>community</w:t>
      </w:r>
      <w:r w:rsidR="0013032F">
        <w:t xml:space="preserve"> </w:t>
      </w:r>
      <w:r>
        <w:t>and</w:t>
      </w:r>
      <w:r w:rsidR="0013032F">
        <w:t xml:space="preserve"> </w:t>
      </w:r>
      <w:r>
        <w:t>not-for-profit</w:t>
      </w:r>
      <w:r w:rsidR="0013032F">
        <w:t xml:space="preserve"> </w:t>
      </w:r>
      <w:r>
        <w:t>sectors.</w:t>
      </w:r>
    </w:p>
    <w:p w14:paraId="37F4A5F3" w14:textId="45A1C53C" w:rsidR="00757772" w:rsidRDefault="00305D3C" w:rsidP="0038203A">
      <w:r>
        <w:rPr>
          <w:spacing w:val="-3"/>
        </w:rPr>
        <w:t>RDA</w:t>
      </w:r>
      <w:r w:rsidR="0013032F">
        <w:rPr>
          <w:spacing w:val="-3"/>
        </w:rPr>
        <w:t xml:space="preserve"> </w:t>
      </w:r>
      <w:r>
        <w:rPr>
          <w:spacing w:val="-3"/>
        </w:rPr>
        <w:t>committees</w:t>
      </w:r>
      <w:r w:rsidR="0013032F">
        <w:rPr>
          <w:spacing w:val="-3"/>
        </w:rPr>
        <w:t xml:space="preserve"> </w:t>
      </w:r>
      <w:r>
        <w:rPr>
          <w:spacing w:val="-3"/>
        </w:rPr>
        <w:t>collaborate</w:t>
      </w:r>
      <w:r w:rsidR="0013032F">
        <w:rPr>
          <w:spacing w:val="-3"/>
        </w:rPr>
        <w:t xml:space="preserve"> </w:t>
      </w:r>
      <w:r>
        <w:rPr>
          <w:spacing w:val="-3"/>
        </w:rPr>
        <w:t>with</w:t>
      </w:r>
      <w:r w:rsidR="0013032F">
        <w:rPr>
          <w:spacing w:val="-3"/>
        </w:rPr>
        <w:t xml:space="preserve"> </w:t>
      </w:r>
      <w:r>
        <w:rPr>
          <w:spacing w:val="-3"/>
        </w:rPr>
        <w:t>their</w:t>
      </w:r>
      <w:r w:rsidR="0013032F">
        <w:rPr>
          <w:spacing w:val="-3"/>
        </w:rPr>
        <w:t xml:space="preserve"> </w:t>
      </w:r>
      <w:r>
        <w:rPr>
          <w:spacing w:val="-3"/>
        </w:rPr>
        <w:t>key</w:t>
      </w:r>
      <w:r w:rsidR="0013032F">
        <w:rPr>
          <w:spacing w:val="-3"/>
        </w:rPr>
        <w:t xml:space="preserve"> </w:t>
      </w:r>
      <w:r>
        <w:rPr>
          <w:spacing w:val="-3"/>
        </w:rPr>
        <w:t>stakeholders</w:t>
      </w:r>
      <w:r w:rsidR="0013032F">
        <w:t xml:space="preserve"> </w:t>
      </w:r>
      <w:r>
        <w:t>to</w:t>
      </w:r>
      <w:r w:rsidR="0013032F">
        <w:t xml:space="preserve"> </w:t>
      </w:r>
      <w:r>
        <w:t>identify</w:t>
      </w:r>
      <w:r w:rsidR="0013032F">
        <w:t xml:space="preserve"> </w:t>
      </w:r>
      <w:r>
        <w:t>key</w:t>
      </w:r>
      <w:r w:rsidR="0013032F">
        <w:t xml:space="preserve"> </w:t>
      </w:r>
      <w:r>
        <w:t>priorities</w:t>
      </w:r>
      <w:r w:rsidR="0013032F">
        <w:t xml:space="preserve"> </w:t>
      </w:r>
      <w:r>
        <w:t>that</w:t>
      </w:r>
      <w:r w:rsidR="0013032F">
        <w:t xml:space="preserve"> </w:t>
      </w:r>
      <w:r>
        <w:t>will</w:t>
      </w:r>
      <w:r w:rsidR="0013032F">
        <w:t xml:space="preserve"> </w:t>
      </w:r>
      <w:r>
        <w:t>benefit</w:t>
      </w:r>
      <w:r w:rsidR="0013032F">
        <w:t xml:space="preserve"> </w:t>
      </w:r>
      <w:r>
        <w:t>the</w:t>
      </w:r>
      <w:r w:rsidR="0013032F">
        <w:t xml:space="preserve"> </w:t>
      </w:r>
      <w:r>
        <w:t>economic</w:t>
      </w:r>
      <w:r w:rsidR="0013032F">
        <w:t xml:space="preserve"> </w:t>
      </w:r>
      <w:r>
        <w:t>future</w:t>
      </w:r>
      <w:r w:rsidR="0013032F">
        <w:t xml:space="preserve"> </w:t>
      </w:r>
      <w:r>
        <w:t>of</w:t>
      </w:r>
      <w:r w:rsidR="0013032F">
        <w:t xml:space="preserve"> </w:t>
      </w:r>
      <w:r>
        <w:t>their</w:t>
      </w:r>
      <w:r w:rsidR="0013032F">
        <w:t xml:space="preserve"> </w:t>
      </w:r>
      <w:r>
        <w:t>region.</w:t>
      </w:r>
      <w:r w:rsidR="0013032F">
        <w:t xml:space="preserve"> </w:t>
      </w:r>
    </w:p>
    <w:p w14:paraId="3F8F2E86" w14:textId="63360742" w:rsidR="00757772" w:rsidRDefault="00305D3C" w:rsidP="0038203A">
      <w:pPr>
        <w:pStyle w:val="Normalbeforebullets"/>
      </w:pPr>
      <w:r>
        <w:t>RDA</w:t>
      </w:r>
      <w:r w:rsidR="0013032F">
        <w:t xml:space="preserve"> </w:t>
      </w:r>
      <w:r>
        <w:t>key</w:t>
      </w:r>
      <w:r w:rsidR="0013032F">
        <w:t xml:space="preserve"> </w:t>
      </w:r>
      <w:r>
        <w:t>priorities</w:t>
      </w:r>
      <w:r w:rsidR="0013032F">
        <w:t xml:space="preserve"> </w:t>
      </w:r>
      <w:r>
        <w:t>matrix</w:t>
      </w:r>
      <w:r w:rsidR="0013032F">
        <w:t xml:space="preserve"> </w:t>
      </w:r>
      <w:r>
        <w:t>topics</w:t>
      </w:r>
      <w:r w:rsidR="0013032F">
        <w:t xml:space="preserve"> </w:t>
      </w:r>
      <w:r>
        <w:t>include:</w:t>
      </w:r>
    </w:p>
    <w:p w14:paraId="72F89CF3" w14:textId="5837FBE0" w:rsidR="00757772" w:rsidRDefault="00305D3C" w:rsidP="0038203A">
      <w:pPr>
        <w:pStyle w:val="Bullet"/>
      </w:pPr>
      <w:r>
        <w:t>infrastructure</w:t>
      </w:r>
      <w:r w:rsidR="0013032F">
        <w:t xml:space="preserve"> </w:t>
      </w:r>
      <w:r>
        <w:t>investment</w:t>
      </w:r>
    </w:p>
    <w:p w14:paraId="46AA010D" w14:textId="3E198A81" w:rsidR="00757772" w:rsidRDefault="00305D3C" w:rsidP="0038203A">
      <w:pPr>
        <w:pStyle w:val="Bullet"/>
      </w:pPr>
      <w:r>
        <w:t>economic</w:t>
      </w:r>
      <w:r w:rsidR="0013032F">
        <w:t xml:space="preserve"> </w:t>
      </w:r>
      <w:r>
        <w:t>development</w:t>
      </w:r>
    </w:p>
    <w:p w14:paraId="02F7236C" w14:textId="10ADF910" w:rsidR="00757772" w:rsidRDefault="00305D3C" w:rsidP="0038203A">
      <w:pPr>
        <w:pStyle w:val="Bullet"/>
      </w:pPr>
      <w:r>
        <w:t>skills</w:t>
      </w:r>
      <w:r w:rsidR="0013032F">
        <w:t xml:space="preserve"> </w:t>
      </w:r>
      <w:r>
        <w:t>and</w:t>
      </w:r>
      <w:r w:rsidR="0013032F">
        <w:t xml:space="preserve"> </w:t>
      </w:r>
      <w:r>
        <w:t>ready</w:t>
      </w:r>
      <w:r w:rsidR="0013032F">
        <w:t xml:space="preserve"> </w:t>
      </w:r>
      <w:r>
        <w:t>workforce</w:t>
      </w:r>
    </w:p>
    <w:p w14:paraId="5E169596" w14:textId="16BA42D4" w:rsidR="00757772" w:rsidRDefault="00305D3C" w:rsidP="0038203A">
      <w:pPr>
        <w:pStyle w:val="Bulletlast"/>
      </w:pPr>
      <w:r>
        <w:t>environmental</w:t>
      </w:r>
      <w:r w:rsidR="0013032F">
        <w:t xml:space="preserve"> </w:t>
      </w:r>
      <w:r>
        <w:t>and</w:t>
      </w:r>
      <w:r w:rsidR="0013032F">
        <w:t xml:space="preserve"> </w:t>
      </w:r>
      <w:r>
        <w:t>natural</w:t>
      </w:r>
      <w:r w:rsidR="0013032F">
        <w:t xml:space="preserve"> </w:t>
      </w:r>
      <w:r>
        <w:t>assets.</w:t>
      </w:r>
    </w:p>
    <w:p w14:paraId="237593E8" w14:textId="47CDA366" w:rsidR="00757772" w:rsidRDefault="00305D3C" w:rsidP="0038203A">
      <w:r>
        <w:t>RDA</w:t>
      </w:r>
      <w:r w:rsidR="0013032F">
        <w:t xml:space="preserve"> </w:t>
      </w:r>
      <w:r>
        <w:t>committees</w:t>
      </w:r>
      <w:r w:rsidR="0013032F">
        <w:t xml:space="preserve"> </w:t>
      </w:r>
      <w:r>
        <w:t>in</w:t>
      </w:r>
      <w:r w:rsidR="0013032F">
        <w:t xml:space="preserve"> </w:t>
      </w:r>
      <w:r>
        <w:t>Victoria</w:t>
      </w:r>
      <w:r w:rsidR="0013032F">
        <w:t xml:space="preserve"> </w:t>
      </w:r>
      <w:r>
        <w:t>are</w:t>
      </w:r>
      <w:r w:rsidR="0013032F">
        <w:t xml:space="preserve"> </w:t>
      </w:r>
      <w:r>
        <w:t>unincorporated</w:t>
      </w:r>
      <w:r w:rsidR="0013032F">
        <w:t xml:space="preserve"> </w:t>
      </w:r>
      <w:r>
        <w:t>advisory</w:t>
      </w:r>
      <w:r w:rsidR="0013032F">
        <w:t xml:space="preserve"> </w:t>
      </w:r>
      <w:r>
        <w:t>committees</w:t>
      </w:r>
      <w:r w:rsidR="0013032F">
        <w:t xml:space="preserve"> </w:t>
      </w:r>
      <w:r>
        <w:t>supported</w:t>
      </w:r>
      <w:r w:rsidR="0013032F">
        <w:t xml:space="preserve"> </w:t>
      </w:r>
      <w:r>
        <w:t>by</w:t>
      </w:r>
      <w:r w:rsidR="0013032F">
        <w:t xml:space="preserve"> </w:t>
      </w:r>
      <w:r>
        <w:t>staff</w:t>
      </w:r>
      <w:r w:rsidR="0013032F">
        <w:t xml:space="preserve"> </w:t>
      </w:r>
      <w:r>
        <w:t>employed</w:t>
      </w:r>
      <w:r w:rsidR="0013032F">
        <w:t xml:space="preserve"> </w:t>
      </w:r>
      <w:r>
        <w:t>by</w:t>
      </w:r>
      <w:r w:rsidR="0013032F">
        <w:t xml:space="preserve"> </w:t>
      </w:r>
      <w:r>
        <w:t>the</w:t>
      </w:r>
      <w:r w:rsidR="0013032F">
        <w:t xml:space="preserve"> </w:t>
      </w:r>
      <w:r>
        <w:t>Victorian</w:t>
      </w:r>
      <w:r w:rsidR="0013032F">
        <w:t xml:space="preserve"> </w:t>
      </w:r>
      <w:r>
        <w:t>Gov</w:t>
      </w:r>
      <w:r>
        <w:t>ernment.</w:t>
      </w:r>
      <w:r w:rsidR="0013032F">
        <w:t xml:space="preserve"> </w:t>
      </w:r>
      <w:r>
        <w:t>RDA</w:t>
      </w:r>
      <w:r w:rsidR="0013032F">
        <w:t xml:space="preserve"> </w:t>
      </w:r>
      <w:r>
        <w:t>committees</w:t>
      </w:r>
      <w:r w:rsidR="0013032F">
        <w:t xml:space="preserve"> </w:t>
      </w:r>
      <w:r>
        <w:t>work</w:t>
      </w:r>
      <w:r w:rsidR="0013032F">
        <w:t xml:space="preserve"> </w:t>
      </w:r>
      <w:r>
        <w:t>in</w:t>
      </w:r>
      <w:r w:rsidR="0013032F">
        <w:t xml:space="preserve"> </w:t>
      </w:r>
      <w:r>
        <w:t>partnership</w:t>
      </w:r>
      <w:r w:rsidR="0013032F">
        <w:t xml:space="preserve"> </w:t>
      </w:r>
      <w:r>
        <w:t>with</w:t>
      </w:r>
      <w:r w:rsidR="0013032F">
        <w:t xml:space="preserve"> </w:t>
      </w:r>
      <w:r>
        <w:t>RDV,</w:t>
      </w:r>
      <w:r w:rsidR="0013032F">
        <w:t xml:space="preserve"> </w:t>
      </w:r>
      <w:r>
        <w:t>DJSIR</w:t>
      </w:r>
      <w:r w:rsidR="0013032F">
        <w:t xml:space="preserve"> </w:t>
      </w:r>
      <w:r>
        <w:t>and</w:t>
      </w:r>
      <w:r w:rsidR="0013032F">
        <w:t xml:space="preserve"> </w:t>
      </w:r>
      <w:r>
        <w:t>the</w:t>
      </w:r>
      <w:r w:rsidR="0013032F">
        <w:t xml:space="preserve"> </w:t>
      </w:r>
      <w:r>
        <w:t>Regional</w:t>
      </w:r>
      <w:r w:rsidR="0013032F">
        <w:t xml:space="preserve"> </w:t>
      </w:r>
      <w:r>
        <w:t>Partnerships.</w:t>
      </w:r>
      <w:r w:rsidR="0013032F">
        <w:t xml:space="preserve"> </w:t>
      </w:r>
      <w:r>
        <w:t>This</w:t>
      </w:r>
      <w:r w:rsidR="0013032F">
        <w:t xml:space="preserve"> </w:t>
      </w:r>
      <w:r>
        <w:t>ensures</w:t>
      </w:r>
      <w:r w:rsidR="0013032F">
        <w:t xml:space="preserve"> </w:t>
      </w:r>
      <w:r>
        <w:t>integrated</w:t>
      </w:r>
      <w:r w:rsidR="0013032F">
        <w:t xml:space="preserve"> </w:t>
      </w:r>
      <w:r>
        <w:t>and</w:t>
      </w:r>
      <w:r w:rsidR="0013032F">
        <w:t xml:space="preserve"> </w:t>
      </w:r>
      <w:r>
        <w:t>aligned</w:t>
      </w:r>
      <w:r w:rsidR="0013032F">
        <w:t xml:space="preserve"> </w:t>
      </w:r>
      <w:r>
        <w:t>arrangements</w:t>
      </w:r>
      <w:r w:rsidR="0013032F">
        <w:t xml:space="preserve"> </w:t>
      </w:r>
      <w:r>
        <w:t>for</w:t>
      </w:r>
      <w:r w:rsidR="0013032F">
        <w:t xml:space="preserve"> </w:t>
      </w:r>
      <w:r>
        <w:t>regional</w:t>
      </w:r>
      <w:r w:rsidR="0013032F">
        <w:t xml:space="preserve"> </w:t>
      </w:r>
      <w:r>
        <w:t>engagement</w:t>
      </w:r>
      <w:r w:rsidR="0013032F">
        <w:t xml:space="preserve"> </w:t>
      </w:r>
      <w:r>
        <w:t>and</w:t>
      </w:r>
      <w:r w:rsidR="0013032F">
        <w:t xml:space="preserve"> </w:t>
      </w:r>
      <w:r>
        <w:t>economic</w:t>
      </w:r>
      <w:r w:rsidR="0013032F">
        <w:t xml:space="preserve"> </w:t>
      </w:r>
      <w:r>
        <w:t>development</w:t>
      </w:r>
      <w:r w:rsidR="0013032F">
        <w:t xml:space="preserve"> </w:t>
      </w:r>
      <w:r>
        <w:t>across</w:t>
      </w:r>
      <w:r w:rsidR="0013032F">
        <w:t xml:space="preserve"> </w:t>
      </w:r>
      <w:r>
        <w:t>the</w:t>
      </w:r>
      <w:r w:rsidR="0013032F">
        <w:t xml:space="preserve"> </w:t>
      </w:r>
      <w:r>
        <w:t>state</w:t>
      </w:r>
      <w:r w:rsidR="0013032F">
        <w:t xml:space="preserve"> </w:t>
      </w:r>
      <w:r>
        <w:t>and</w:t>
      </w:r>
      <w:r w:rsidR="0013032F">
        <w:t xml:space="preserve"> </w:t>
      </w:r>
      <w:r>
        <w:t>regional</w:t>
      </w:r>
      <w:r w:rsidR="0013032F">
        <w:t xml:space="preserve"> </w:t>
      </w:r>
      <w:r>
        <w:t>communities.</w:t>
      </w:r>
    </w:p>
    <w:p w14:paraId="70B7F1C9" w14:textId="2BA6477E" w:rsidR="00757772" w:rsidRDefault="00305D3C" w:rsidP="0038203A">
      <w:pPr>
        <w:pStyle w:val="Normalbeforebullets"/>
      </w:pPr>
      <w:r>
        <w:t>In</w:t>
      </w:r>
      <w:r w:rsidR="0013032F">
        <w:t xml:space="preserve"> </w:t>
      </w:r>
      <w:r>
        <w:t>2022–23,</w:t>
      </w:r>
      <w:r w:rsidR="0013032F">
        <w:t xml:space="preserve"> </w:t>
      </w:r>
      <w:r>
        <w:t>RDV</w:t>
      </w:r>
      <w:r w:rsidR="0013032F">
        <w:t xml:space="preserve"> </w:t>
      </w:r>
      <w:r>
        <w:t>supported</w:t>
      </w:r>
      <w:r w:rsidR="0013032F">
        <w:t xml:space="preserve"> </w:t>
      </w:r>
      <w:r>
        <w:t>Victoria’s</w:t>
      </w:r>
      <w:r w:rsidR="0013032F">
        <w:t xml:space="preserve"> </w:t>
      </w:r>
      <w:r>
        <w:t>RDA</w:t>
      </w:r>
      <w:r w:rsidR="0013032F">
        <w:t xml:space="preserve"> </w:t>
      </w:r>
      <w:r>
        <w:t>committees</w:t>
      </w:r>
      <w:r w:rsidR="0013032F">
        <w:t xml:space="preserve"> </w:t>
      </w:r>
      <w:r>
        <w:t>to</w:t>
      </w:r>
      <w:r w:rsidR="0013032F">
        <w:t xml:space="preserve"> </w:t>
      </w:r>
      <w:r>
        <w:t>increase</w:t>
      </w:r>
      <w:r w:rsidR="0013032F">
        <w:t xml:space="preserve"> </w:t>
      </w:r>
      <w:r>
        <w:t>their</w:t>
      </w:r>
      <w:r w:rsidR="0013032F">
        <w:t xml:space="preserve"> </w:t>
      </w:r>
      <w:r>
        <w:t>collaboration</w:t>
      </w:r>
      <w:r w:rsidR="0013032F">
        <w:t xml:space="preserve"> </w:t>
      </w:r>
      <w:r>
        <w:t>and</w:t>
      </w:r>
      <w:r w:rsidR="0013032F">
        <w:t xml:space="preserve"> </w:t>
      </w:r>
      <w:r>
        <w:t>alignment</w:t>
      </w:r>
      <w:r w:rsidR="0013032F">
        <w:t xml:space="preserve"> </w:t>
      </w:r>
      <w:r>
        <w:t>with</w:t>
      </w:r>
      <w:r w:rsidR="0013032F">
        <w:t xml:space="preserve"> </w:t>
      </w:r>
      <w:r>
        <w:t>Regional</w:t>
      </w:r>
      <w:r w:rsidR="0013032F">
        <w:t xml:space="preserve"> </w:t>
      </w:r>
      <w:r>
        <w:t>Partnerships</w:t>
      </w:r>
      <w:r w:rsidR="0013032F">
        <w:t xml:space="preserve"> </w:t>
      </w:r>
      <w:r>
        <w:t>to:</w:t>
      </w:r>
    </w:p>
    <w:p w14:paraId="5BC3A94C" w14:textId="1FE4B933" w:rsidR="00757772" w:rsidRDefault="00305D3C" w:rsidP="0038203A">
      <w:pPr>
        <w:pStyle w:val="Bullet"/>
      </w:pPr>
      <w:r>
        <w:t>identify</w:t>
      </w:r>
      <w:r w:rsidR="0013032F">
        <w:t xml:space="preserve"> </w:t>
      </w:r>
      <w:r>
        <w:t>areas</w:t>
      </w:r>
      <w:r w:rsidR="0013032F">
        <w:t xml:space="preserve"> </w:t>
      </w:r>
      <w:r>
        <w:t>of</w:t>
      </w:r>
      <w:r w:rsidR="0013032F">
        <w:t xml:space="preserve"> </w:t>
      </w:r>
      <w:r>
        <w:t>collaboration</w:t>
      </w:r>
      <w:r w:rsidR="0013032F">
        <w:t xml:space="preserve"> </w:t>
      </w:r>
      <w:r>
        <w:t>and</w:t>
      </w:r>
      <w:r w:rsidR="0013032F">
        <w:t xml:space="preserve"> </w:t>
      </w:r>
      <w:r>
        <w:t>opportunity</w:t>
      </w:r>
      <w:r w:rsidR="0013032F">
        <w:t xml:space="preserve"> </w:t>
      </w:r>
      <w:r>
        <w:rPr>
          <w:spacing w:val="-3"/>
        </w:rPr>
        <w:t>between</w:t>
      </w:r>
      <w:r w:rsidR="0013032F">
        <w:rPr>
          <w:spacing w:val="-3"/>
        </w:rPr>
        <w:t xml:space="preserve"> </w:t>
      </w:r>
      <w:r>
        <w:rPr>
          <w:spacing w:val="-3"/>
        </w:rPr>
        <w:t>the</w:t>
      </w:r>
      <w:r w:rsidR="0013032F">
        <w:rPr>
          <w:spacing w:val="-3"/>
        </w:rPr>
        <w:t xml:space="preserve"> </w:t>
      </w:r>
      <w:r>
        <w:rPr>
          <w:spacing w:val="-3"/>
        </w:rPr>
        <w:t>Australian</w:t>
      </w:r>
      <w:r w:rsidR="0013032F">
        <w:rPr>
          <w:spacing w:val="-3"/>
        </w:rPr>
        <w:t xml:space="preserve"> </w:t>
      </w:r>
      <w:r>
        <w:rPr>
          <w:spacing w:val="-3"/>
        </w:rPr>
        <w:t>and</w:t>
      </w:r>
      <w:r w:rsidR="0013032F">
        <w:rPr>
          <w:spacing w:val="-3"/>
        </w:rPr>
        <w:t xml:space="preserve"> </w:t>
      </w:r>
      <w:r>
        <w:rPr>
          <w:spacing w:val="-3"/>
        </w:rPr>
        <w:t>Victorian</w:t>
      </w:r>
      <w:r w:rsidR="0013032F">
        <w:rPr>
          <w:spacing w:val="-3"/>
        </w:rPr>
        <w:t xml:space="preserve"> </w:t>
      </w:r>
      <w:r>
        <w:rPr>
          <w:spacing w:val="-3"/>
        </w:rPr>
        <w:t>governments</w:t>
      </w:r>
      <w:r w:rsidR="0013032F">
        <w:rPr>
          <w:spacing w:val="-3"/>
        </w:rPr>
        <w:t xml:space="preserve"> </w:t>
      </w:r>
      <w:r>
        <w:t>for</w:t>
      </w:r>
      <w:r w:rsidR="0013032F">
        <w:t xml:space="preserve"> </w:t>
      </w:r>
      <w:r>
        <w:t>regional</w:t>
      </w:r>
      <w:r w:rsidR="0013032F">
        <w:t xml:space="preserve"> </w:t>
      </w:r>
      <w:r>
        <w:t>Victoria</w:t>
      </w:r>
    </w:p>
    <w:p w14:paraId="7C42BD6B" w14:textId="0C572B6B" w:rsidR="00757772" w:rsidRDefault="00305D3C" w:rsidP="0038203A">
      <w:pPr>
        <w:pStyle w:val="Bullet"/>
      </w:pPr>
      <w:r>
        <w:t>address</w:t>
      </w:r>
      <w:r w:rsidR="0013032F">
        <w:t xml:space="preserve"> </w:t>
      </w:r>
      <w:r>
        <w:t>cross</w:t>
      </w:r>
      <w:r>
        <w:noBreakHyphen/>
      </w:r>
      <w:r>
        <w:t>jurisdictional</w:t>
      </w:r>
      <w:r w:rsidR="0013032F">
        <w:t xml:space="preserve"> </w:t>
      </w:r>
      <w:r>
        <w:t>barriers</w:t>
      </w:r>
      <w:r w:rsidR="0013032F">
        <w:t xml:space="preserve"> </w:t>
      </w:r>
      <w:r>
        <w:t>faced</w:t>
      </w:r>
      <w:r w:rsidR="0013032F">
        <w:t xml:space="preserve"> </w:t>
      </w:r>
      <w:r>
        <w:t>by</w:t>
      </w:r>
      <w:r w:rsidR="0013032F">
        <w:t xml:space="preserve"> </w:t>
      </w:r>
      <w:r>
        <w:t>regional</w:t>
      </w:r>
      <w:r w:rsidR="0013032F">
        <w:t xml:space="preserve"> </w:t>
      </w:r>
      <w:r>
        <w:t>Victorians</w:t>
      </w:r>
    </w:p>
    <w:p w14:paraId="2769B8E5" w14:textId="552B050B" w:rsidR="00757772" w:rsidRDefault="00305D3C" w:rsidP="0038203A">
      <w:pPr>
        <w:pStyle w:val="Bullet"/>
      </w:pPr>
      <w:r>
        <w:t>support</w:t>
      </w:r>
      <w:r w:rsidR="0013032F">
        <w:t xml:space="preserve"> </w:t>
      </w:r>
      <w:r>
        <w:t>informed</w:t>
      </w:r>
      <w:r w:rsidR="0013032F">
        <w:t xml:space="preserve"> </w:t>
      </w:r>
      <w:r>
        <w:t>regional</w:t>
      </w:r>
      <w:r w:rsidR="0013032F">
        <w:t xml:space="preserve"> </w:t>
      </w:r>
      <w:r>
        <w:t>planning</w:t>
      </w:r>
    </w:p>
    <w:p w14:paraId="1DE6E8F5" w14:textId="21A9443C" w:rsidR="00757772" w:rsidRDefault="00305D3C" w:rsidP="0038203A">
      <w:pPr>
        <w:pStyle w:val="Bullet"/>
      </w:pPr>
      <w:r>
        <w:rPr>
          <w:spacing w:val="-2"/>
        </w:rPr>
        <w:t>consult</w:t>
      </w:r>
      <w:r w:rsidR="0013032F">
        <w:rPr>
          <w:spacing w:val="-2"/>
        </w:rPr>
        <w:t xml:space="preserve"> </w:t>
      </w:r>
      <w:r>
        <w:rPr>
          <w:spacing w:val="-2"/>
        </w:rPr>
        <w:t>and</w:t>
      </w:r>
      <w:r w:rsidR="0013032F">
        <w:rPr>
          <w:spacing w:val="-2"/>
        </w:rPr>
        <w:t xml:space="preserve"> </w:t>
      </w:r>
      <w:r>
        <w:rPr>
          <w:spacing w:val="-2"/>
        </w:rPr>
        <w:t>engage</w:t>
      </w:r>
      <w:r w:rsidR="0013032F">
        <w:rPr>
          <w:spacing w:val="-2"/>
        </w:rPr>
        <w:t xml:space="preserve"> </w:t>
      </w:r>
      <w:r>
        <w:rPr>
          <w:spacing w:val="-2"/>
        </w:rPr>
        <w:t>with</w:t>
      </w:r>
      <w:r w:rsidR="0013032F">
        <w:rPr>
          <w:spacing w:val="-2"/>
        </w:rPr>
        <w:t xml:space="preserve"> </w:t>
      </w:r>
      <w:r>
        <w:rPr>
          <w:spacing w:val="-2"/>
        </w:rPr>
        <w:t>communities</w:t>
      </w:r>
      <w:r w:rsidR="0013032F">
        <w:rPr>
          <w:spacing w:val="-2"/>
        </w:rPr>
        <w:t xml:space="preserve"> </w:t>
      </w:r>
      <w:r>
        <w:rPr>
          <w:spacing w:val="-2"/>
        </w:rPr>
        <w:t>on</w:t>
      </w:r>
      <w:r w:rsidR="0013032F">
        <w:rPr>
          <w:spacing w:val="-2"/>
        </w:rPr>
        <w:t xml:space="preserve"> </w:t>
      </w:r>
      <w:r>
        <w:rPr>
          <w:spacing w:val="-2"/>
        </w:rPr>
        <w:t>economic</w:t>
      </w:r>
      <w:r w:rsidR="0013032F">
        <w:t xml:space="preserve"> </w:t>
      </w:r>
      <w:r>
        <w:t>development</w:t>
      </w:r>
    </w:p>
    <w:p w14:paraId="3E83C895" w14:textId="005A391F" w:rsidR="00757772" w:rsidRDefault="00305D3C" w:rsidP="0038203A">
      <w:pPr>
        <w:pStyle w:val="Bullet"/>
      </w:pPr>
      <w:r>
        <w:t>liaise</w:t>
      </w:r>
      <w:r w:rsidR="0013032F">
        <w:t xml:space="preserve"> </w:t>
      </w:r>
      <w:r>
        <w:t>with</w:t>
      </w:r>
      <w:r w:rsidR="0013032F">
        <w:t xml:space="preserve"> </w:t>
      </w:r>
      <w:r>
        <w:t>governments</w:t>
      </w:r>
      <w:r w:rsidR="0013032F">
        <w:t xml:space="preserve"> </w:t>
      </w:r>
      <w:r>
        <w:t>and</w:t>
      </w:r>
      <w:r w:rsidR="0013032F">
        <w:t xml:space="preserve"> </w:t>
      </w:r>
      <w:r>
        <w:t>local</w:t>
      </w:r>
      <w:r w:rsidR="0013032F">
        <w:t xml:space="preserve"> </w:t>
      </w:r>
      <w:r>
        <w:t>communities</w:t>
      </w:r>
      <w:r w:rsidR="0013032F">
        <w:t xml:space="preserve"> </w:t>
      </w:r>
      <w:r>
        <w:t>about</w:t>
      </w:r>
      <w:r w:rsidR="0013032F">
        <w:t xml:space="preserve"> </w:t>
      </w:r>
      <w:r>
        <w:t>government</w:t>
      </w:r>
      <w:r w:rsidR="0013032F">
        <w:t xml:space="preserve"> </w:t>
      </w:r>
      <w:r>
        <w:t>programs,</w:t>
      </w:r>
      <w:r w:rsidR="0013032F">
        <w:t xml:space="preserve"> </w:t>
      </w:r>
      <w:r>
        <w:t>services,</w:t>
      </w:r>
      <w:r w:rsidR="0013032F">
        <w:t xml:space="preserve"> </w:t>
      </w:r>
      <w:r>
        <w:t>grants</w:t>
      </w:r>
      <w:r w:rsidR="0013032F">
        <w:t xml:space="preserve"> </w:t>
      </w:r>
      <w:r>
        <w:t>and</w:t>
      </w:r>
      <w:r w:rsidR="0013032F">
        <w:t xml:space="preserve"> </w:t>
      </w:r>
      <w:r>
        <w:t>initiatives</w:t>
      </w:r>
      <w:r w:rsidR="0013032F">
        <w:t xml:space="preserve"> </w:t>
      </w:r>
      <w:r>
        <w:t>for</w:t>
      </w:r>
      <w:r w:rsidR="0013032F">
        <w:t xml:space="preserve"> </w:t>
      </w:r>
      <w:r>
        <w:t>regional</w:t>
      </w:r>
      <w:r w:rsidR="0013032F">
        <w:t xml:space="preserve"> </w:t>
      </w:r>
      <w:r>
        <w:t>development</w:t>
      </w:r>
    </w:p>
    <w:p w14:paraId="60B2E434" w14:textId="25252375" w:rsidR="00757772" w:rsidRDefault="00305D3C" w:rsidP="0038203A">
      <w:pPr>
        <w:pStyle w:val="Bullet"/>
      </w:pPr>
      <w:r>
        <w:lastRenderedPageBreak/>
        <w:t>contribute</w:t>
      </w:r>
      <w:r w:rsidR="0013032F">
        <w:t xml:space="preserve"> </w:t>
      </w:r>
      <w:r>
        <w:t>to</w:t>
      </w:r>
      <w:r w:rsidR="0013032F">
        <w:t xml:space="preserve"> </w:t>
      </w:r>
      <w:r>
        <w:t>business</w:t>
      </w:r>
      <w:r w:rsidR="0013032F">
        <w:t xml:space="preserve"> </w:t>
      </w:r>
      <w:r>
        <w:t>growth</w:t>
      </w:r>
      <w:r w:rsidR="0013032F">
        <w:t xml:space="preserve"> </w:t>
      </w:r>
      <w:r>
        <w:t>plans</w:t>
      </w:r>
      <w:r w:rsidR="0013032F">
        <w:t xml:space="preserve"> </w:t>
      </w:r>
      <w:r>
        <w:t>and</w:t>
      </w:r>
      <w:r w:rsidR="0013032F">
        <w:t xml:space="preserve"> </w:t>
      </w:r>
      <w:r>
        <w:t>investment</w:t>
      </w:r>
      <w:r w:rsidR="0013032F">
        <w:t xml:space="preserve"> </w:t>
      </w:r>
      <w:r>
        <w:t>strategies</w:t>
      </w:r>
    </w:p>
    <w:p w14:paraId="49E98432" w14:textId="346D3750" w:rsidR="00757772" w:rsidRDefault="00305D3C" w:rsidP="0038203A">
      <w:pPr>
        <w:pStyle w:val="Bulletlast"/>
      </w:pPr>
      <w:r>
        <w:t>promote</w:t>
      </w:r>
      <w:r w:rsidR="0013032F">
        <w:t xml:space="preserve"> </w:t>
      </w:r>
      <w:r>
        <w:t>increased</w:t>
      </w:r>
      <w:r w:rsidR="0013032F">
        <w:t xml:space="preserve"> </w:t>
      </w:r>
      <w:r>
        <w:t>awareness</w:t>
      </w:r>
      <w:r w:rsidR="0013032F">
        <w:t xml:space="preserve"> </w:t>
      </w:r>
      <w:r>
        <w:t>of</w:t>
      </w:r>
      <w:r w:rsidR="0013032F">
        <w:t xml:space="preserve"> </w:t>
      </w:r>
      <w:r>
        <w:t>Australian</w:t>
      </w:r>
      <w:r w:rsidR="0013032F">
        <w:t xml:space="preserve"> </w:t>
      </w:r>
      <w:r>
        <w:t>Government</w:t>
      </w:r>
      <w:r w:rsidR="0013032F">
        <w:t xml:space="preserve"> </w:t>
      </w:r>
      <w:r>
        <w:t>programs</w:t>
      </w:r>
      <w:r w:rsidR="0013032F">
        <w:t xml:space="preserve"> </w:t>
      </w:r>
      <w:r>
        <w:t>in</w:t>
      </w:r>
      <w:r w:rsidR="0013032F">
        <w:t xml:space="preserve"> </w:t>
      </w:r>
      <w:r>
        <w:t>their</w:t>
      </w:r>
      <w:r w:rsidR="0013032F">
        <w:t xml:space="preserve"> </w:t>
      </w:r>
      <w:r>
        <w:t>RDA</w:t>
      </w:r>
      <w:r w:rsidR="0013032F">
        <w:t xml:space="preserve"> </w:t>
      </w:r>
      <w:r>
        <w:t>region.</w:t>
      </w:r>
    </w:p>
    <w:p w14:paraId="1E813BD2" w14:textId="7823EA40" w:rsidR="00757772" w:rsidRDefault="00305D3C" w:rsidP="0038203A">
      <w:pPr>
        <w:pStyle w:val="Heading2"/>
      </w:pPr>
      <w:bookmarkStart w:id="29" w:name="_Toc149566575"/>
      <w:r>
        <w:t>Barwon</w:t>
      </w:r>
      <w:r w:rsidR="0013032F">
        <w:t xml:space="preserve"> </w:t>
      </w:r>
      <w:r>
        <w:t>South</w:t>
      </w:r>
      <w:r w:rsidR="0013032F">
        <w:t xml:space="preserve"> </w:t>
      </w:r>
      <w:r>
        <w:t>West</w:t>
      </w:r>
      <w:r w:rsidR="0013032F">
        <w:t xml:space="preserve"> </w:t>
      </w:r>
      <w:r>
        <w:t>case</w:t>
      </w:r>
      <w:r w:rsidR="0013032F">
        <w:t xml:space="preserve"> </w:t>
      </w:r>
      <w:r>
        <w:t>study</w:t>
      </w:r>
      <w:bookmarkEnd w:id="29"/>
    </w:p>
    <w:p w14:paraId="5EE0AFF8" w14:textId="7196DD76" w:rsidR="00757772" w:rsidRPr="002E1560" w:rsidRDefault="00305D3C" w:rsidP="002E1560">
      <w:pPr>
        <w:pStyle w:val="Normalbeforebullets"/>
        <w:rPr>
          <w:b/>
          <w:bCs/>
        </w:rPr>
      </w:pPr>
      <w:r w:rsidRPr="002E1560">
        <w:rPr>
          <w:b/>
          <w:bCs/>
        </w:rPr>
        <w:t>Spirit</w:t>
      </w:r>
      <w:r w:rsidR="0013032F" w:rsidRPr="002E1560">
        <w:rPr>
          <w:b/>
          <w:bCs/>
        </w:rPr>
        <w:t xml:space="preserve"> </w:t>
      </w:r>
      <w:r w:rsidRPr="002E1560">
        <w:rPr>
          <w:b/>
          <w:bCs/>
        </w:rPr>
        <w:t>of</w:t>
      </w:r>
      <w:r w:rsidR="0013032F" w:rsidRPr="002E1560">
        <w:rPr>
          <w:b/>
          <w:bCs/>
        </w:rPr>
        <w:t xml:space="preserve"> </w:t>
      </w:r>
      <w:r w:rsidRPr="002E1560">
        <w:rPr>
          <w:b/>
          <w:bCs/>
        </w:rPr>
        <w:t>Tasmania</w:t>
      </w:r>
      <w:r w:rsidR="0013032F" w:rsidRPr="002E1560">
        <w:rPr>
          <w:b/>
          <w:bCs/>
        </w:rPr>
        <w:t xml:space="preserve"> </w:t>
      </w:r>
      <w:r w:rsidRPr="002E1560">
        <w:rPr>
          <w:b/>
          <w:bCs/>
        </w:rPr>
        <w:t>ferry</w:t>
      </w:r>
      <w:r w:rsidR="0013032F" w:rsidRPr="002E1560">
        <w:rPr>
          <w:b/>
          <w:bCs/>
        </w:rPr>
        <w:t xml:space="preserve"> </w:t>
      </w:r>
      <w:r w:rsidRPr="002E1560">
        <w:rPr>
          <w:b/>
          <w:bCs/>
        </w:rPr>
        <w:t>relocation</w:t>
      </w:r>
      <w:r w:rsidR="0013032F" w:rsidRPr="002E1560">
        <w:rPr>
          <w:b/>
          <w:bCs/>
        </w:rPr>
        <w:t xml:space="preserve"> </w:t>
      </w:r>
      <w:r w:rsidRPr="002E1560">
        <w:rPr>
          <w:b/>
          <w:bCs/>
        </w:rPr>
        <w:t>–</w:t>
      </w:r>
      <w:r w:rsidR="0013032F" w:rsidRPr="002E1560">
        <w:rPr>
          <w:b/>
          <w:bCs/>
        </w:rPr>
        <w:t xml:space="preserve"> </w:t>
      </w:r>
      <w:r w:rsidRPr="002E1560">
        <w:rPr>
          <w:b/>
          <w:bCs/>
        </w:rPr>
        <w:t>economic</w:t>
      </w:r>
      <w:r w:rsidR="0013032F" w:rsidRPr="002E1560">
        <w:rPr>
          <w:b/>
          <w:bCs/>
        </w:rPr>
        <w:t xml:space="preserve"> </w:t>
      </w:r>
      <w:r w:rsidRPr="002E1560">
        <w:rPr>
          <w:b/>
          <w:bCs/>
        </w:rPr>
        <w:t>impact</w:t>
      </w:r>
      <w:r w:rsidR="0013032F" w:rsidRPr="002E1560">
        <w:rPr>
          <w:b/>
          <w:bCs/>
        </w:rPr>
        <w:t xml:space="preserve"> </w:t>
      </w:r>
      <w:r w:rsidRPr="002E1560">
        <w:rPr>
          <w:b/>
          <w:bCs/>
        </w:rPr>
        <w:t>and</w:t>
      </w:r>
      <w:r w:rsidR="0013032F" w:rsidRPr="002E1560">
        <w:rPr>
          <w:b/>
          <w:bCs/>
        </w:rPr>
        <w:t xml:space="preserve"> </w:t>
      </w:r>
      <w:r w:rsidRPr="002E1560">
        <w:rPr>
          <w:b/>
          <w:bCs/>
        </w:rPr>
        <w:t>opportunities</w:t>
      </w:r>
      <w:r w:rsidR="0013032F" w:rsidRPr="002E1560">
        <w:rPr>
          <w:b/>
          <w:bCs/>
        </w:rPr>
        <w:t xml:space="preserve"> </w:t>
      </w:r>
    </w:p>
    <w:p w14:paraId="6CCB9E46" w14:textId="51F5AD7A" w:rsidR="00757772" w:rsidRDefault="00305D3C" w:rsidP="002E1560">
      <w:r>
        <w:t>With</w:t>
      </w:r>
      <w:r w:rsidR="0013032F">
        <w:t xml:space="preserve"> </w:t>
      </w:r>
      <w:r>
        <w:t>funding</w:t>
      </w:r>
      <w:r w:rsidR="0013032F">
        <w:t xml:space="preserve"> </w:t>
      </w:r>
      <w:r>
        <w:t>provided</w:t>
      </w:r>
      <w:r w:rsidR="0013032F">
        <w:t xml:space="preserve"> </w:t>
      </w:r>
      <w:r>
        <w:t>from</w:t>
      </w:r>
      <w:r w:rsidR="0013032F">
        <w:t xml:space="preserve"> </w:t>
      </w:r>
      <w:r>
        <w:t>the</w:t>
      </w:r>
      <w:r w:rsidR="0013032F">
        <w:t xml:space="preserve"> </w:t>
      </w:r>
      <w:r>
        <w:t>Regional</w:t>
      </w:r>
      <w:r w:rsidR="0013032F">
        <w:t xml:space="preserve"> </w:t>
      </w:r>
      <w:r>
        <w:t>Partnership</w:t>
      </w:r>
      <w:r w:rsidR="0013032F">
        <w:t xml:space="preserve"> </w:t>
      </w:r>
      <w:r>
        <w:t>Development</w:t>
      </w:r>
      <w:r w:rsidR="0013032F">
        <w:t xml:space="preserve"> </w:t>
      </w:r>
      <w:r>
        <w:t>Fund,</w:t>
      </w:r>
      <w:r w:rsidR="0013032F">
        <w:t xml:space="preserve"> </w:t>
      </w:r>
      <w:r>
        <w:t>RDA</w:t>
      </w:r>
      <w:r w:rsidR="0013032F">
        <w:t xml:space="preserve"> </w:t>
      </w:r>
      <w:r>
        <w:t>Barwon</w:t>
      </w:r>
      <w:r w:rsidR="0013032F">
        <w:t xml:space="preserve"> </w:t>
      </w:r>
      <w:r>
        <w:t>South</w:t>
      </w:r>
      <w:r w:rsidR="0013032F">
        <w:t xml:space="preserve"> </w:t>
      </w:r>
      <w:r>
        <w:t>West</w:t>
      </w:r>
      <w:r w:rsidR="0013032F">
        <w:t xml:space="preserve"> </w:t>
      </w:r>
      <w:r>
        <w:t>led</w:t>
      </w:r>
      <w:r w:rsidR="0013032F">
        <w:t xml:space="preserve"> </w:t>
      </w:r>
      <w:r>
        <w:t>2</w:t>
      </w:r>
      <w:r w:rsidR="0013032F">
        <w:t xml:space="preserve"> </w:t>
      </w:r>
      <w:r>
        <w:t>studies</w:t>
      </w:r>
      <w:r w:rsidR="0013032F">
        <w:t xml:space="preserve"> </w:t>
      </w:r>
      <w:r>
        <w:t>that</w:t>
      </w:r>
      <w:r w:rsidR="0013032F">
        <w:t xml:space="preserve"> </w:t>
      </w:r>
      <w:r>
        <w:t>focused</w:t>
      </w:r>
      <w:r w:rsidR="0013032F">
        <w:t xml:space="preserve"> </w:t>
      </w:r>
      <w:r>
        <w:t>on</w:t>
      </w:r>
      <w:r w:rsidR="0013032F">
        <w:t xml:space="preserve"> </w:t>
      </w:r>
      <w:r>
        <w:t>the</w:t>
      </w:r>
      <w:r w:rsidR="0013032F">
        <w:t xml:space="preserve"> </w:t>
      </w:r>
      <w:r>
        <w:t>relocation</w:t>
      </w:r>
      <w:r w:rsidR="0013032F">
        <w:t xml:space="preserve"> </w:t>
      </w:r>
      <w:r>
        <w:t>of</w:t>
      </w:r>
      <w:r w:rsidR="0013032F">
        <w:t xml:space="preserve"> </w:t>
      </w:r>
      <w:r>
        <w:t>the</w:t>
      </w:r>
      <w:r w:rsidR="0013032F">
        <w:t xml:space="preserve"> </w:t>
      </w:r>
      <w:r>
        <w:t>Spirit</w:t>
      </w:r>
      <w:r w:rsidR="0013032F">
        <w:t xml:space="preserve"> </w:t>
      </w:r>
      <w:r>
        <w:t>of</w:t>
      </w:r>
      <w:r w:rsidR="0013032F">
        <w:t xml:space="preserve"> </w:t>
      </w:r>
      <w:r>
        <w:t>Tasmania</w:t>
      </w:r>
      <w:r w:rsidR="0013032F">
        <w:t xml:space="preserve"> </w:t>
      </w:r>
      <w:r>
        <w:t>ferry</w:t>
      </w:r>
      <w:r w:rsidR="0013032F">
        <w:t xml:space="preserve"> </w:t>
      </w:r>
      <w:r>
        <w:t>service</w:t>
      </w:r>
      <w:r w:rsidR="0013032F">
        <w:t xml:space="preserve"> </w:t>
      </w:r>
      <w:r>
        <w:t>from</w:t>
      </w:r>
      <w:r w:rsidR="0013032F">
        <w:t xml:space="preserve"> </w:t>
      </w:r>
      <w:r>
        <w:t>Port</w:t>
      </w:r>
      <w:r w:rsidR="0013032F">
        <w:t xml:space="preserve"> </w:t>
      </w:r>
      <w:r>
        <w:t>of</w:t>
      </w:r>
      <w:r w:rsidR="0013032F">
        <w:t xml:space="preserve"> </w:t>
      </w:r>
      <w:r>
        <w:t>Melbourne</w:t>
      </w:r>
      <w:r w:rsidR="0013032F">
        <w:t xml:space="preserve"> </w:t>
      </w:r>
      <w:r>
        <w:t>to</w:t>
      </w:r>
      <w:r w:rsidR="0013032F">
        <w:t xml:space="preserve"> </w:t>
      </w:r>
      <w:proofErr w:type="spellStart"/>
      <w:r>
        <w:t>GeelongPort</w:t>
      </w:r>
      <w:proofErr w:type="spellEnd"/>
      <w:r>
        <w:t>.</w:t>
      </w:r>
      <w:r w:rsidR="0013032F">
        <w:t xml:space="preserve"> </w:t>
      </w:r>
      <w:r>
        <w:t>The</w:t>
      </w:r>
      <w:r w:rsidR="0013032F">
        <w:t xml:space="preserve"> </w:t>
      </w:r>
      <w:r>
        <w:t>studies</w:t>
      </w:r>
      <w:r w:rsidR="0013032F">
        <w:t xml:space="preserve"> </w:t>
      </w:r>
      <w:r>
        <w:t>assessed</w:t>
      </w:r>
      <w:r w:rsidR="0013032F">
        <w:t xml:space="preserve"> </w:t>
      </w:r>
      <w:r>
        <w:t>the</w:t>
      </w:r>
      <w:r w:rsidR="0013032F">
        <w:t xml:space="preserve"> </w:t>
      </w:r>
      <w:r>
        <w:t>economic</w:t>
      </w:r>
      <w:r w:rsidR="0013032F">
        <w:t xml:space="preserve"> </w:t>
      </w:r>
      <w:r>
        <w:t>impact</w:t>
      </w:r>
      <w:r w:rsidR="0013032F">
        <w:t xml:space="preserve"> </w:t>
      </w:r>
      <w:r>
        <w:t>and</w:t>
      </w:r>
      <w:r w:rsidR="0013032F">
        <w:t xml:space="preserve"> </w:t>
      </w:r>
      <w:r>
        <w:t>explored</w:t>
      </w:r>
      <w:r w:rsidR="0013032F">
        <w:t xml:space="preserve"> </w:t>
      </w:r>
      <w:r>
        <w:t>opportunities</w:t>
      </w:r>
      <w:r w:rsidR="0013032F">
        <w:t xml:space="preserve"> </w:t>
      </w:r>
      <w:r>
        <w:t>arising</w:t>
      </w:r>
      <w:r w:rsidR="0013032F">
        <w:t xml:space="preserve"> </w:t>
      </w:r>
      <w:r>
        <w:t>from</w:t>
      </w:r>
      <w:r w:rsidR="0013032F">
        <w:t xml:space="preserve"> </w:t>
      </w:r>
      <w:r>
        <w:t>the</w:t>
      </w:r>
      <w:r w:rsidR="0013032F">
        <w:t xml:space="preserve"> </w:t>
      </w:r>
      <w:r>
        <w:t>relocation.</w:t>
      </w:r>
      <w:r w:rsidR="0013032F">
        <w:t xml:space="preserve"> </w:t>
      </w:r>
      <w:r>
        <w:t>The</w:t>
      </w:r>
      <w:r w:rsidR="0013032F">
        <w:t xml:space="preserve"> </w:t>
      </w:r>
      <w:r>
        <w:t>Spirit</w:t>
      </w:r>
      <w:r w:rsidR="0013032F">
        <w:t xml:space="preserve"> </w:t>
      </w:r>
      <w:r>
        <w:t>of</w:t>
      </w:r>
      <w:r w:rsidR="0013032F">
        <w:t xml:space="preserve"> </w:t>
      </w:r>
      <w:r>
        <w:t>Tasmania</w:t>
      </w:r>
      <w:r w:rsidR="0013032F">
        <w:t xml:space="preserve"> </w:t>
      </w:r>
      <w:r>
        <w:t>ferry</w:t>
      </w:r>
      <w:r w:rsidR="0013032F">
        <w:t xml:space="preserve"> </w:t>
      </w:r>
      <w:r>
        <w:t>service</w:t>
      </w:r>
      <w:r w:rsidR="0013032F">
        <w:t xml:space="preserve"> </w:t>
      </w:r>
      <w:r>
        <w:t>commenced</w:t>
      </w:r>
      <w:r w:rsidR="0013032F">
        <w:t xml:space="preserve"> </w:t>
      </w:r>
      <w:r>
        <w:t>operations</w:t>
      </w:r>
      <w:r w:rsidR="0013032F">
        <w:t xml:space="preserve"> </w:t>
      </w:r>
      <w:r>
        <w:t>from</w:t>
      </w:r>
      <w:r w:rsidR="0013032F">
        <w:t xml:space="preserve"> </w:t>
      </w:r>
      <w:proofErr w:type="spellStart"/>
      <w:r>
        <w:t>GeelongPort</w:t>
      </w:r>
      <w:proofErr w:type="spellEnd"/>
      <w:r w:rsidR="0013032F">
        <w:t xml:space="preserve"> </w:t>
      </w:r>
      <w:r>
        <w:t>in</w:t>
      </w:r>
      <w:r w:rsidR="0013032F">
        <w:t xml:space="preserve"> </w:t>
      </w:r>
      <w:r>
        <w:t>October</w:t>
      </w:r>
      <w:r w:rsidR="0013032F">
        <w:t xml:space="preserve"> </w:t>
      </w:r>
      <w:r>
        <w:t>2022.</w:t>
      </w:r>
    </w:p>
    <w:p w14:paraId="5A83D3D2" w14:textId="39CF3B34" w:rsidR="00757772" w:rsidRDefault="00305D3C" w:rsidP="002E1560">
      <w:r>
        <w:t>Collaborating</w:t>
      </w:r>
      <w:r w:rsidR="0013032F">
        <w:t xml:space="preserve"> </w:t>
      </w:r>
      <w:r>
        <w:t>with</w:t>
      </w:r>
      <w:r w:rsidR="0013032F">
        <w:t xml:space="preserve"> </w:t>
      </w:r>
      <w:r>
        <w:t>Tourism</w:t>
      </w:r>
      <w:r w:rsidR="0013032F">
        <w:t xml:space="preserve"> </w:t>
      </w:r>
      <w:r>
        <w:t>Greater</w:t>
      </w:r>
      <w:r w:rsidR="0013032F">
        <w:t xml:space="preserve"> </w:t>
      </w:r>
      <w:r>
        <w:t>Geelong</w:t>
      </w:r>
      <w:r w:rsidR="0013032F">
        <w:t xml:space="preserve"> </w:t>
      </w:r>
      <w:r>
        <w:t>and</w:t>
      </w:r>
      <w:r w:rsidR="0013032F">
        <w:t xml:space="preserve"> </w:t>
      </w:r>
      <w:r>
        <w:t>the</w:t>
      </w:r>
      <w:r w:rsidR="0013032F">
        <w:t xml:space="preserve"> </w:t>
      </w:r>
      <w:r>
        <w:t>Bel</w:t>
      </w:r>
      <w:r>
        <w:t>larine,</w:t>
      </w:r>
      <w:r w:rsidR="0013032F">
        <w:t xml:space="preserve"> </w:t>
      </w:r>
      <w:r>
        <w:t>Great</w:t>
      </w:r>
      <w:r w:rsidR="0013032F">
        <w:t xml:space="preserve"> </w:t>
      </w:r>
      <w:r>
        <w:t>Ocean</w:t>
      </w:r>
      <w:r w:rsidR="0013032F">
        <w:t xml:space="preserve"> </w:t>
      </w:r>
      <w:r>
        <w:t>Road</w:t>
      </w:r>
      <w:r w:rsidR="0013032F">
        <w:t xml:space="preserve"> </w:t>
      </w:r>
      <w:r>
        <w:t>Tourism,</w:t>
      </w:r>
      <w:r w:rsidR="0013032F">
        <w:t xml:space="preserve"> </w:t>
      </w:r>
      <w:r>
        <w:t>RDA</w:t>
      </w:r>
      <w:r w:rsidR="0013032F">
        <w:t xml:space="preserve"> </w:t>
      </w:r>
      <w:r>
        <w:t>Tasmania,</w:t>
      </w:r>
      <w:r w:rsidR="0013032F">
        <w:t xml:space="preserve"> </w:t>
      </w:r>
      <w:proofErr w:type="spellStart"/>
      <w:r>
        <w:t>GeelongPort</w:t>
      </w:r>
      <w:proofErr w:type="spellEnd"/>
      <w:r w:rsidR="0013032F">
        <w:t xml:space="preserve"> </w:t>
      </w:r>
      <w:r>
        <w:t>and</w:t>
      </w:r>
      <w:r w:rsidR="0013032F">
        <w:t xml:space="preserve"> </w:t>
      </w:r>
      <w:r>
        <w:t>Avalon</w:t>
      </w:r>
      <w:r w:rsidR="0013032F">
        <w:t xml:space="preserve"> </w:t>
      </w:r>
      <w:r>
        <w:t>Airport,</w:t>
      </w:r>
      <w:r w:rsidR="0013032F">
        <w:t xml:space="preserve"> </w:t>
      </w:r>
      <w:r>
        <w:t>the</w:t>
      </w:r>
      <w:r w:rsidR="0013032F">
        <w:t xml:space="preserve"> </w:t>
      </w:r>
      <w:r>
        <w:t>studies</w:t>
      </w:r>
      <w:r w:rsidR="0013032F">
        <w:t xml:space="preserve"> </w:t>
      </w:r>
      <w:r>
        <w:t>revealed</w:t>
      </w:r>
      <w:r w:rsidR="0013032F">
        <w:t xml:space="preserve"> </w:t>
      </w:r>
      <w:r>
        <w:t>opportunities</w:t>
      </w:r>
      <w:r w:rsidR="0013032F">
        <w:t xml:space="preserve"> </w:t>
      </w:r>
      <w:r>
        <w:t>in</w:t>
      </w:r>
      <w:r w:rsidR="0013032F">
        <w:t xml:space="preserve"> </w:t>
      </w:r>
      <w:r>
        <w:t>key</w:t>
      </w:r>
      <w:r w:rsidR="0013032F">
        <w:t xml:space="preserve"> </w:t>
      </w:r>
      <w:r>
        <w:t>sectors,</w:t>
      </w:r>
      <w:r w:rsidR="0013032F">
        <w:t xml:space="preserve"> </w:t>
      </w:r>
      <w:r>
        <w:t>including</w:t>
      </w:r>
      <w:r w:rsidR="0013032F">
        <w:t xml:space="preserve"> </w:t>
      </w:r>
      <w:r>
        <w:t>manufacturing,</w:t>
      </w:r>
      <w:r w:rsidR="0013032F">
        <w:t xml:space="preserve"> </w:t>
      </w:r>
      <w:r>
        <w:t>tourism,</w:t>
      </w:r>
      <w:r w:rsidR="0013032F">
        <w:t xml:space="preserve"> </w:t>
      </w:r>
      <w:r>
        <w:t>food</w:t>
      </w:r>
      <w:r w:rsidR="0013032F">
        <w:t xml:space="preserve"> </w:t>
      </w:r>
      <w:r>
        <w:t>and</w:t>
      </w:r>
      <w:r w:rsidR="0013032F">
        <w:t xml:space="preserve"> </w:t>
      </w:r>
      <w:r>
        <w:t>agri-business,</w:t>
      </w:r>
      <w:r w:rsidR="0013032F">
        <w:t xml:space="preserve"> </w:t>
      </w:r>
      <w:r>
        <w:t>and</w:t>
      </w:r>
      <w:r w:rsidR="0013032F">
        <w:t xml:space="preserve"> </w:t>
      </w:r>
      <w:r>
        <w:t>green</w:t>
      </w:r>
      <w:r w:rsidR="0013032F">
        <w:t xml:space="preserve"> </w:t>
      </w:r>
      <w:r>
        <w:t>energy.</w:t>
      </w:r>
      <w:r w:rsidR="0013032F">
        <w:t xml:space="preserve"> </w:t>
      </w:r>
      <w:r>
        <w:t>They</w:t>
      </w:r>
      <w:r w:rsidR="0013032F">
        <w:t xml:space="preserve"> </w:t>
      </w:r>
      <w:r>
        <w:t>also</w:t>
      </w:r>
      <w:r w:rsidR="0013032F">
        <w:t xml:space="preserve"> </w:t>
      </w:r>
      <w:r>
        <w:t>provided</w:t>
      </w:r>
      <w:r w:rsidR="0013032F">
        <w:t xml:space="preserve"> </w:t>
      </w:r>
      <w:r>
        <w:t>valuable</w:t>
      </w:r>
      <w:r w:rsidR="0013032F">
        <w:t xml:space="preserve"> </w:t>
      </w:r>
      <w:r>
        <w:t>insights</w:t>
      </w:r>
      <w:r w:rsidR="0013032F">
        <w:t xml:space="preserve"> </w:t>
      </w:r>
      <w:r>
        <w:t>into</w:t>
      </w:r>
      <w:r w:rsidR="0013032F">
        <w:t xml:space="preserve"> </w:t>
      </w:r>
      <w:r>
        <w:t>transportation</w:t>
      </w:r>
      <w:r w:rsidR="0013032F">
        <w:t xml:space="preserve"> </w:t>
      </w:r>
      <w:r>
        <w:t>modes</w:t>
      </w:r>
      <w:r w:rsidR="0013032F">
        <w:t xml:space="preserve"> </w:t>
      </w:r>
      <w:r>
        <w:t>and</w:t>
      </w:r>
      <w:r w:rsidR="0013032F">
        <w:t xml:space="preserve"> </w:t>
      </w:r>
      <w:r>
        <w:t>support</w:t>
      </w:r>
      <w:r w:rsidR="0013032F">
        <w:t xml:space="preserve"> </w:t>
      </w:r>
      <w:r>
        <w:t>services</w:t>
      </w:r>
      <w:r w:rsidR="0013032F">
        <w:t xml:space="preserve"> </w:t>
      </w:r>
      <w:r>
        <w:t>such</w:t>
      </w:r>
      <w:r w:rsidR="0013032F">
        <w:t xml:space="preserve"> </w:t>
      </w:r>
      <w:r>
        <w:t>as</w:t>
      </w:r>
      <w:r w:rsidR="0013032F">
        <w:t xml:space="preserve"> </w:t>
      </w:r>
      <w:r>
        <w:t>warehousing,</w:t>
      </w:r>
      <w:r w:rsidR="0013032F">
        <w:t xml:space="preserve"> </w:t>
      </w:r>
      <w:r>
        <w:t>storage</w:t>
      </w:r>
      <w:r w:rsidR="0013032F">
        <w:t xml:space="preserve"> </w:t>
      </w:r>
      <w:r>
        <w:t>and</w:t>
      </w:r>
      <w:r w:rsidR="0013032F">
        <w:t xml:space="preserve"> </w:t>
      </w:r>
      <w:r>
        <w:t>freight.</w:t>
      </w:r>
    </w:p>
    <w:p w14:paraId="0E620AD1" w14:textId="5E0C3F14" w:rsidR="00757772" w:rsidRDefault="00305D3C" w:rsidP="002E1560">
      <w:r>
        <w:t>This</w:t>
      </w:r>
      <w:r w:rsidR="0013032F">
        <w:t xml:space="preserve"> </w:t>
      </w:r>
      <w:r>
        <w:t>project</w:t>
      </w:r>
      <w:r w:rsidR="0013032F">
        <w:t xml:space="preserve"> </w:t>
      </w:r>
      <w:r>
        <w:t>enabled</w:t>
      </w:r>
      <w:r w:rsidR="0013032F">
        <w:t xml:space="preserve"> </w:t>
      </w:r>
      <w:r>
        <w:t>RDA</w:t>
      </w:r>
      <w:r w:rsidR="0013032F">
        <w:t xml:space="preserve"> </w:t>
      </w:r>
      <w:r>
        <w:t>Barwon</w:t>
      </w:r>
      <w:r w:rsidR="0013032F">
        <w:t xml:space="preserve"> </w:t>
      </w:r>
      <w:r>
        <w:t>South</w:t>
      </w:r>
      <w:r w:rsidR="0013032F">
        <w:t xml:space="preserve"> </w:t>
      </w:r>
      <w:r>
        <w:t>West</w:t>
      </w:r>
      <w:r w:rsidR="0013032F">
        <w:t xml:space="preserve"> </w:t>
      </w:r>
      <w:r>
        <w:t>to</w:t>
      </w:r>
      <w:r w:rsidR="0013032F">
        <w:t xml:space="preserve"> </w:t>
      </w:r>
      <w:r>
        <w:t>successfully</w:t>
      </w:r>
      <w:r w:rsidR="0013032F">
        <w:t xml:space="preserve"> </w:t>
      </w:r>
      <w:r>
        <w:t>forge</w:t>
      </w:r>
      <w:r w:rsidR="0013032F">
        <w:t xml:space="preserve"> </w:t>
      </w:r>
      <w:r>
        <w:t>a</w:t>
      </w:r>
      <w:r w:rsidR="0013032F">
        <w:t xml:space="preserve"> </w:t>
      </w:r>
      <w:r>
        <w:t>relationship</w:t>
      </w:r>
      <w:r w:rsidR="0013032F">
        <w:t xml:space="preserve"> </w:t>
      </w:r>
      <w:r>
        <w:t>with</w:t>
      </w:r>
      <w:r w:rsidR="0013032F">
        <w:t xml:space="preserve"> </w:t>
      </w:r>
      <w:r>
        <w:t>RDA</w:t>
      </w:r>
      <w:r w:rsidR="0013032F">
        <w:t xml:space="preserve"> </w:t>
      </w:r>
      <w:r>
        <w:t>Tasmania,</w:t>
      </w:r>
      <w:r w:rsidR="0013032F">
        <w:t xml:space="preserve"> </w:t>
      </w:r>
      <w:r>
        <w:t>fostering</w:t>
      </w:r>
      <w:r w:rsidR="0013032F">
        <w:t xml:space="preserve"> </w:t>
      </w:r>
      <w:r>
        <w:t>an</w:t>
      </w:r>
      <w:r w:rsidR="0013032F">
        <w:t xml:space="preserve"> </w:t>
      </w:r>
      <w:r>
        <w:t>ongoing</w:t>
      </w:r>
      <w:r w:rsidR="0013032F">
        <w:t xml:space="preserve"> </w:t>
      </w:r>
      <w:r>
        <w:t>collaboration</w:t>
      </w:r>
      <w:r w:rsidR="0013032F">
        <w:t xml:space="preserve"> </w:t>
      </w:r>
      <w:r>
        <w:t>and</w:t>
      </w:r>
      <w:r w:rsidR="0013032F">
        <w:t xml:space="preserve"> </w:t>
      </w:r>
      <w:r>
        <w:t>joint</w:t>
      </w:r>
      <w:r w:rsidR="0013032F">
        <w:t xml:space="preserve"> </w:t>
      </w:r>
      <w:r>
        <w:t>opportunities.</w:t>
      </w:r>
      <w:r w:rsidR="0013032F">
        <w:t xml:space="preserve"> </w:t>
      </w:r>
      <w:r>
        <w:t>RDA</w:t>
      </w:r>
      <w:r w:rsidR="0013032F">
        <w:t xml:space="preserve"> </w:t>
      </w:r>
      <w:r>
        <w:t>Barwon</w:t>
      </w:r>
      <w:r w:rsidR="0013032F">
        <w:t xml:space="preserve"> </w:t>
      </w:r>
      <w:r>
        <w:t>South</w:t>
      </w:r>
      <w:r w:rsidR="0013032F">
        <w:t xml:space="preserve"> </w:t>
      </w:r>
      <w:r>
        <w:t>West</w:t>
      </w:r>
      <w:r w:rsidR="0013032F">
        <w:t xml:space="preserve"> </w:t>
      </w:r>
      <w:r>
        <w:t>remains</w:t>
      </w:r>
      <w:r w:rsidR="0013032F">
        <w:t xml:space="preserve"> </w:t>
      </w:r>
      <w:r>
        <w:t>committed</w:t>
      </w:r>
      <w:r w:rsidR="0013032F">
        <w:t xml:space="preserve"> </w:t>
      </w:r>
      <w:r>
        <w:t>to</w:t>
      </w:r>
      <w:r w:rsidR="0013032F">
        <w:t xml:space="preserve"> </w:t>
      </w:r>
      <w:r>
        <w:t>partnering</w:t>
      </w:r>
      <w:r w:rsidR="0013032F">
        <w:t xml:space="preserve"> </w:t>
      </w:r>
      <w:r>
        <w:t>with</w:t>
      </w:r>
      <w:r w:rsidR="0013032F">
        <w:t xml:space="preserve"> </w:t>
      </w:r>
      <w:r>
        <w:t>regional</w:t>
      </w:r>
      <w:r w:rsidR="0013032F">
        <w:t xml:space="preserve"> </w:t>
      </w:r>
      <w:r>
        <w:t>stakeholders</w:t>
      </w:r>
      <w:r w:rsidR="0013032F">
        <w:t xml:space="preserve"> </w:t>
      </w:r>
      <w:r>
        <w:t>to</w:t>
      </w:r>
      <w:r w:rsidR="0013032F">
        <w:t xml:space="preserve"> </w:t>
      </w:r>
      <w:r>
        <w:t>implement</w:t>
      </w:r>
      <w:r w:rsidR="0013032F">
        <w:t xml:space="preserve"> </w:t>
      </w:r>
      <w:r>
        <w:t>the</w:t>
      </w:r>
      <w:r w:rsidR="0013032F">
        <w:t xml:space="preserve"> </w:t>
      </w:r>
      <w:r>
        <w:t>2</w:t>
      </w:r>
      <w:r w:rsidR="0013032F">
        <w:t xml:space="preserve"> </w:t>
      </w:r>
      <w:r>
        <w:t>studies’</w:t>
      </w:r>
      <w:r w:rsidR="0013032F">
        <w:t xml:space="preserve"> </w:t>
      </w:r>
      <w:r>
        <w:t>recommended</w:t>
      </w:r>
      <w:r w:rsidR="0013032F">
        <w:t xml:space="preserve"> </w:t>
      </w:r>
      <w:r>
        <w:t>actions.</w:t>
      </w:r>
    </w:p>
    <w:p w14:paraId="233722FC" w14:textId="4D89EBE8" w:rsidR="00757772" w:rsidRDefault="00305D3C" w:rsidP="002E1560">
      <w:pPr>
        <w:pStyle w:val="Heading2"/>
      </w:pPr>
      <w:bookmarkStart w:id="30" w:name="_Toc149566576"/>
      <w:r>
        <w:t>Gippsland</w:t>
      </w:r>
      <w:r w:rsidR="0013032F">
        <w:t xml:space="preserve"> </w:t>
      </w:r>
      <w:r>
        <w:t>case</w:t>
      </w:r>
      <w:r w:rsidR="0013032F">
        <w:t xml:space="preserve"> </w:t>
      </w:r>
      <w:r>
        <w:t>study</w:t>
      </w:r>
      <w:bookmarkEnd w:id="30"/>
    </w:p>
    <w:p w14:paraId="1545D11A" w14:textId="22EF18B9" w:rsidR="00757772" w:rsidRPr="002E1560" w:rsidRDefault="00305D3C" w:rsidP="002E1560">
      <w:pPr>
        <w:pStyle w:val="Normalbeforebullets"/>
        <w:rPr>
          <w:b/>
          <w:bCs/>
        </w:rPr>
      </w:pPr>
      <w:r w:rsidRPr="002E1560">
        <w:rPr>
          <w:b/>
          <w:bCs/>
        </w:rPr>
        <w:t>Gippsland</w:t>
      </w:r>
      <w:r w:rsidR="0013032F" w:rsidRPr="002E1560">
        <w:rPr>
          <w:b/>
          <w:bCs/>
        </w:rPr>
        <w:t xml:space="preserve"> </w:t>
      </w:r>
      <w:r w:rsidRPr="002E1560">
        <w:rPr>
          <w:b/>
          <w:bCs/>
        </w:rPr>
        <w:t>Freight</w:t>
      </w:r>
      <w:r w:rsidR="0013032F" w:rsidRPr="002E1560">
        <w:rPr>
          <w:b/>
          <w:bCs/>
        </w:rPr>
        <w:t xml:space="preserve"> </w:t>
      </w:r>
      <w:r w:rsidRPr="002E1560">
        <w:rPr>
          <w:b/>
          <w:bCs/>
        </w:rPr>
        <w:t>Infrastructure</w:t>
      </w:r>
      <w:r w:rsidR="0013032F" w:rsidRPr="002E1560">
        <w:rPr>
          <w:b/>
          <w:bCs/>
        </w:rPr>
        <w:t xml:space="preserve"> </w:t>
      </w:r>
      <w:r w:rsidRPr="002E1560">
        <w:rPr>
          <w:b/>
          <w:bCs/>
        </w:rPr>
        <w:t>Masterplan</w:t>
      </w:r>
      <w:r w:rsidR="0013032F" w:rsidRPr="002E1560">
        <w:rPr>
          <w:b/>
          <w:bCs/>
        </w:rPr>
        <w:t xml:space="preserve"> </w:t>
      </w:r>
      <w:r w:rsidRPr="002E1560">
        <w:rPr>
          <w:b/>
          <w:bCs/>
        </w:rPr>
        <w:t>refresh</w:t>
      </w:r>
    </w:p>
    <w:p w14:paraId="327384B9" w14:textId="507162A9" w:rsidR="00757772" w:rsidRPr="002E1560" w:rsidRDefault="00305D3C" w:rsidP="002E1560">
      <w:r w:rsidRPr="002E1560">
        <w:t>In</w:t>
      </w:r>
      <w:r w:rsidR="0013032F" w:rsidRPr="002E1560">
        <w:t xml:space="preserve"> </w:t>
      </w:r>
      <w:r w:rsidRPr="002E1560">
        <w:t>2022–23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RDA</w:t>
      </w:r>
      <w:r w:rsidR="0013032F" w:rsidRPr="002E1560">
        <w:t xml:space="preserve"> </w:t>
      </w:r>
      <w:r w:rsidRPr="002E1560">
        <w:t>Gippsland</w:t>
      </w:r>
      <w:r w:rsidR="0013032F" w:rsidRPr="002E1560">
        <w:t xml:space="preserve"> </w:t>
      </w:r>
      <w:r w:rsidRPr="002E1560">
        <w:t>Committee</w:t>
      </w:r>
      <w:r w:rsidR="0013032F" w:rsidRPr="002E1560">
        <w:t xml:space="preserve"> </w:t>
      </w:r>
      <w:r w:rsidRPr="002E1560">
        <w:t>showed</w:t>
      </w:r>
      <w:r w:rsidR="0013032F" w:rsidRPr="002E1560">
        <w:t xml:space="preserve"> </w:t>
      </w:r>
      <w:r w:rsidRPr="002E1560">
        <w:t>leadership</w:t>
      </w:r>
      <w:r w:rsidR="0013032F" w:rsidRPr="002E1560">
        <w:t xml:space="preserve"> </w:t>
      </w:r>
      <w:r w:rsidRPr="002E1560">
        <w:t>and</w:t>
      </w:r>
      <w:r w:rsidR="0013032F" w:rsidRPr="002E1560">
        <w:t xml:space="preserve"> </w:t>
      </w:r>
      <w:r w:rsidRPr="002E1560">
        <w:t>its</w:t>
      </w:r>
      <w:r w:rsidR="0013032F" w:rsidRPr="002E1560">
        <w:t xml:space="preserve"> </w:t>
      </w:r>
      <w:r w:rsidRPr="002E1560">
        <w:t>collaborative</w:t>
      </w:r>
      <w:r w:rsidR="0013032F" w:rsidRPr="002E1560">
        <w:t xml:space="preserve"> </w:t>
      </w:r>
      <w:r w:rsidRPr="002E1560">
        <w:t>approach</w:t>
      </w:r>
      <w:r w:rsidR="0013032F" w:rsidRPr="002E1560">
        <w:t xml:space="preserve"> </w:t>
      </w:r>
      <w:r w:rsidRPr="002E1560">
        <w:t>by</w:t>
      </w:r>
      <w:r w:rsidR="0013032F" w:rsidRPr="002E1560">
        <w:t xml:space="preserve"> </w:t>
      </w:r>
      <w:r w:rsidRPr="002E1560">
        <w:t>supporting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Gippsland</w:t>
      </w:r>
      <w:r w:rsidR="0013032F" w:rsidRPr="002E1560">
        <w:t xml:space="preserve"> </w:t>
      </w:r>
      <w:r w:rsidRPr="002E1560">
        <w:t>region</w:t>
      </w:r>
      <w:r w:rsidR="0013032F" w:rsidRPr="002E1560">
        <w:t xml:space="preserve"> </w:t>
      </w:r>
      <w:r w:rsidRPr="002E1560">
        <w:t>through</w:t>
      </w:r>
      <w:r w:rsidR="0013032F" w:rsidRPr="002E1560">
        <w:t xml:space="preserve"> </w:t>
      </w:r>
      <w:r w:rsidRPr="002E1560">
        <w:t>projects,</w:t>
      </w:r>
      <w:r w:rsidR="0013032F" w:rsidRPr="002E1560">
        <w:t xml:space="preserve"> </w:t>
      </w:r>
      <w:r w:rsidRPr="002E1560">
        <w:t>advocacy</w:t>
      </w:r>
      <w:r w:rsidR="0013032F" w:rsidRPr="002E1560">
        <w:t xml:space="preserve"> </w:t>
      </w:r>
      <w:r w:rsidRPr="002E1560">
        <w:t>and</w:t>
      </w:r>
      <w:r w:rsidR="0013032F" w:rsidRPr="002E1560">
        <w:t xml:space="preserve"> </w:t>
      </w:r>
      <w:r w:rsidRPr="002E1560">
        <w:t>engagements</w:t>
      </w:r>
      <w:r w:rsidR="0013032F" w:rsidRPr="002E1560">
        <w:t xml:space="preserve"> </w:t>
      </w:r>
      <w:r w:rsidRPr="002E1560">
        <w:t>as</w:t>
      </w:r>
      <w:r w:rsidR="0013032F" w:rsidRPr="002E1560">
        <w:t xml:space="preserve"> </w:t>
      </w:r>
      <w:r w:rsidRPr="002E1560">
        <w:t>it</w:t>
      </w:r>
      <w:r w:rsidR="0013032F" w:rsidRPr="002E1560">
        <w:t xml:space="preserve"> </w:t>
      </w:r>
      <w:r w:rsidRPr="002E1560">
        <w:t>experienced</w:t>
      </w:r>
      <w:r w:rsidR="0013032F" w:rsidRPr="002E1560">
        <w:t xml:space="preserve"> </w:t>
      </w:r>
      <w:r w:rsidRPr="002E1560">
        <w:t>significant</w:t>
      </w:r>
      <w:r w:rsidR="0013032F" w:rsidRPr="002E1560">
        <w:t xml:space="preserve"> </w:t>
      </w:r>
      <w:r w:rsidRPr="002E1560">
        <w:t>change.</w:t>
      </w:r>
      <w:r w:rsidR="0013032F" w:rsidRPr="002E1560">
        <w:t xml:space="preserve"> </w:t>
      </w:r>
    </w:p>
    <w:p w14:paraId="14B7827A" w14:textId="07033550" w:rsidR="00757772" w:rsidRPr="002E1560" w:rsidRDefault="00305D3C" w:rsidP="002E1560">
      <w:r w:rsidRPr="002E1560">
        <w:t>RDA</w:t>
      </w:r>
      <w:r w:rsidR="0013032F" w:rsidRPr="002E1560">
        <w:t xml:space="preserve"> </w:t>
      </w:r>
      <w:r w:rsidRPr="002E1560">
        <w:t>Gippsland</w:t>
      </w:r>
      <w:r w:rsidR="0013032F" w:rsidRPr="002E1560">
        <w:t xml:space="preserve"> </w:t>
      </w:r>
      <w:r w:rsidRPr="002E1560">
        <w:t>provided</w:t>
      </w:r>
      <w:r w:rsidR="0013032F" w:rsidRPr="002E1560">
        <w:t xml:space="preserve"> </w:t>
      </w:r>
      <w:r w:rsidRPr="002E1560">
        <w:t>$80,000</w:t>
      </w:r>
      <w:r w:rsidR="0013032F" w:rsidRPr="002E1560">
        <w:t xml:space="preserve"> </w:t>
      </w:r>
      <w:r w:rsidRPr="002E1560">
        <w:t>from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Regional</w:t>
      </w:r>
      <w:r w:rsidR="0013032F" w:rsidRPr="002E1560">
        <w:t xml:space="preserve"> </w:t>
      </w:r>
      <w:r w:rsidRPr="002E1560">
        <w:t>Partnership</w:t>
      </w:r>
      <w:r w:rsidR="0013032F" w:rsidRPr="002E1560">
        <w:t xml:space="preserve"> </w:t>
      </w:r>
      <w:r w:rsidRPr="002E1560">
        <w:t>Development</w:t>
      </w:r>
      <w:r w:rsidR="0013032F" w:rsidRPr="002E1560">
        <w:t xml:space="preserve"> </w:t>
      </w:r>
      <w:r w:rsidRPr="002E1560">
        <w:t>Fund</w:t>
      </w:r>
      <w:r w:rsidR="0013032F" w:rsidRPr="002E1560">
        <w:t xml:space="preserve"> </w:t>
      </w:r>
      <w:r w:rsidRPr="002E1560">
        <w:t>to</w:t>
      </w:r>
      <w:r w:rsidR="0013032F" w:rsidRPr="002E1560">
        <w:t xml:space="preserve"> </w:t>
      </w:r>
      <w:r w:rsidRPr="002E1560">
        <w:t>fund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refreshed</w:t>
      </w:r>
      <w:r w:rsidR="0013032F" w:rsidRPr="002E1560">
        <w:t xml:space="preserve"> </w:t>
      </w:r>
      <w:r w:rsidRPr="002E1560">
        <w:t>Gippsland</w:t>
      </w:r>
      <w:r w:rsidR="0013032F" w:rsidRPr="002E1560">
        <w:t xml:space="preserve"> </w:t>
      </w:r>
      <w:r w:rsidRPr="002E1560">
        <w:t>Freight</w:t>
      </w:r>
      <w:r w:rsidR="0013032F" w:rsidRPr="002E1560">
        <w:t xml:space="preserve"> </w:t>
      </w:r>
      <w:r w:rsidRPr="002E1560">
        <w:t>Infrastructure</w:t>
      </w:r>
      <w:r w:rsidR="0013032F" w:rsidRPr="002E1560">
        <w:t xml:space="preserve"> </w:t>
      </w:r>
      <w:r w:rsidRPr="002E1560">
        <w:t>Masterplan.</w:t>
      </w:r>
      <w:r w:rsidR="0013032F" w:rsidRPr="002E1560">
        <w:t xml:space="preserve"> </w:t>
      </w:r>
      <w:r w:rsidRPr="002E1560">
        <w:t>Prepared</w:t>
      </w:r>
      <w:r w:rsidR="0013032F" w:rsidRPr="002E1560">
        <w:t xml:space="preserve"> </w:t>
      </w:r>
      <w:r w:rsidRPr="002E1560">
        <w:t>in</w:t>
      </w:r>
      <w:r w:rsidR="0013032F" w:rsidRPr="002E1560">
        <w:t xml:space="preserve"> </w:t>
      </w:r>
      <w:r w:rsidRPr="002E1560">
        <w:t>partnership</w:t>
      </w:r>
      <w:r w:rsidR="0013032F" w:rsidRPr="002E1560">
        <w:t xml:space="preserve"> </w:t>
      </w:r>
      <w:r w:rsidRPr="002E1560">
        <w:t>with</w:t>
      </w:r>
      <w:r w:rsidR="0013032F" w:rsidRPr="002E1560">
        <w:t xml:space="preserve"> </w:t>
      </w:r>
      <w:r w:rsidRPr="002E1560">
        <w:t>industry,</w:t>
      </w:r>
      <w:r w:rsidR="0013032F" w:rsidRPr="002E1560">
        <w:t xml:space="preserve"> </w:t>
      </w:r>
      <w:r w:rsidRPr="002E1560">
        <w:t>it</w:t>
      </w:r>
      <w:r w:rsidR="0013032F" w:rsidRPr="002E1560">
        <w:t xml:space="preserve"> </w:t>
      </w:r>
      <w:r w:rsidRPr="002E1560">
        <w:t>lays</w:t>
      </w:r>
      <w:r w:rsidR="0013032F" w:rsidRPr="002E1560">
        <w:t xml:space="preserve"> </w:t>
      </w:r>
      <w:r w:rsidRPr="002E1560">
        <w:t>out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infrastructure</w:t>
      </w:r>
      <w:r w:rsidR="0013032F" w:rsidRPr="002E1560">
        <w:t xml:space="preserve"> </w:t>
      </w:r>
      <w:r w:rsidRPr="002E1560">
        <w:t>priorities</w:t>
      </w:r>
      <w:r w:rsidR="0013032F" w:rsidRPr="002E1560">
        <w:t xml:space="preserve"> </w:t>
      </w:r>
      <w:r w:rsidRPr="002E1560">
        <w:t>for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effective</w:t>
      </w:r>
      <w:r w:rsidR="0013032F" w:rsidRPr="002E1560">
        <w:t xml:space="preserve"> </w:t>
      </w:r>
      <w:r w:rsidRPr="002E1560">
        <w:t>movement</w:t>
      </w:r>
      <w:r w:rsidR="0013032F" w:rsidRPr="002E1560">
        <w:t xml:space="preserve"> </w:t>
      </w:r>
      <w:r w:rsidRPr="002E1560">
        <w:t>of</w:t>
      </w:r>
      <w:r w:rsidR="0013032F" w:rsidRPr="002E1560">
        <w:t xml:space="preserve"> </w:t>
      </w:r>
      <w:r w:rsidRPr="002E1560">
        <w:t>freight</w:t>
      </w:r>
      <w:r w:rsidR="0013032F" w:rsidRPr="002E1560">
        <w:t xml:space="preserve"> </w:t>
      </w:r>
      <w:r w:rsidRPr="002E1560">
        <w:t>across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region</w:t>
      </w:r>
      <w:r w:rsidR="0013032F" w:rsidRPr="002E1560">
        <w:t xml:space="preserve"> </w:t>
      </w:r>
      <w:r w:rsidRPr="002E1560">
        <w:t>over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next</w:t>
      </w:r>
      <w:r w:rsidR="0013032F" w:rsidRPr="002E1560">
        <w:t xml:space="preserve"> </w:t>
      </w:r>
      <w:r w:rsidRPr="002E1560">
        <w:t>5</w:t>
      </w:r>
      <w:r w:rsidR="0013032F" w:rsidRPr="002E1560">
        <w:t xml:space="preserve"> </w:t>
      </w:r>
      <w:r w:rsidRPr="002E1560">
        <w:t>years.</w:t>
      </w:r>
      <w:r w:rsidR="0013032F" w:rsidRPr="002E1560">
        <w:t xml:space="preserve"> </w:t>
      </w:r>
      <w:r w:rsidRPr="002E1560">
        <w:t>RDA</w:t>
      </w:r>
      <w:r w:rsidR="0013032F" w:rsidRPr="002E1560">
        <w:t xml:space="preserve"> </w:t>
      </w:r>
      <w:r w:rsidRPr="002E1560">
        <w:t>Gippsland</w:t>
      </w:r>
      <w:r w:rsidR="0013032F" w:rsidRPr="002E1560">
        <w:t xml:space="preserve"> </w:t>
      </w:r>
      <w:r w:rsidRPr="002E1560">
        <w:t>presented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updated</w:t>
      </w:r>
      <w:r w:rsidR="0013032F" w:rsidRPr="002E1560">
        <w:t xml:space="preserve"> </w:t>
      </w:r>
      <w:r w:rsidRPr="002E1560">
        <w:t>Gipps</w:t>
      </w:r>
      <w:r w:rsidRPr="002E1560">
        <w:t>land</w:t>
      </w:r>
      <w:r w:rsidR="0013032F" w:rsidRPr="002E1560">
        <w:t xml:space="preserve"> </w:t>
      </w:r>
      <w:r w:rsidRPr="002E1560">
        <w:t>Freight</w:t>
      </w:r>
      <w:r w:rsidR="0013032F" w:rsidRPr="002E1560">
        <w:t xml:space="preserve"> </w:t>
      </w:r>
      <w:r w:rsidRPr="002E1560">
        <w:t>Infrastructure</w:t>
      </w:r>
      <w:r w:rsidR="0013032F" w:rsidRPr="002E1560">
        <w:t xml:space="preserve"> </w:t>
      </w:r>
      <w:r w:rsidRPr="002E1560">
        <w:t>Masterplan</w:t>
      </w:r>
      <w:r w:rsidR="0013032F" w:rsidRPr="002E1560">
        <w:t xml:space="preserve"> </w:t>
      </w:r>
      <w:r w:rsidRPr="002E1560">
        <w:t>to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Minister</w:t>
      </w:r>
      <w:r w:rsidR="0013032F" w:rsidRPr="002E1560">
        <w:t xml:space="preserve"> </w:t>
      </w:r>
      <w:r w:rsidRPr="002E1560">
        <w:t>for</w:t>
      </w:r>
      <w:r w:rsidR="0013032F" w:rsidRPr="002E1560">
        <w:t xml:space="preserve"> </w:t>
      </w:r>
      <w:r w:rsidRPr="002E1560">
        <w:t>Regional</w:t>
      </w:r>
      <w:r w:rsidR="0013032F" w:rsidRPr="002E1560">
        <w:t xml:space="preserve"> </w:t>
      </w:r>
      <w:r w:rsidRPr="002E1560">
        <w:t>Development,</w:t>
      </w:r>
      <w:r w:rsidR="0013032F" w:rsidRPr="002E1560">
        <w:t xml:space="preserve"> </w:t>
      </w:r>
      <w:r w:rsidRPr="002E1560">
        <w:t>Local</w:t>
      </w:r>
      <w:r w:rsidR="0013032F" w:rsidRPr="002E1560">
        <w:t xml:space="preserve"> </w:t>
      </w:r>
      <w:r w:rsidRPr="002E1560">
        <w:t>Government</w:t>
      </w:r>
      <w:r w:rsidR="0013032F" w:rsidRPr="002E1560">
        <w:t xml:space="preserve"> </w:t>
      </w:r>
      <w:r w:rsidRPr="002E1560">
        <w:t>and</w:t>
      </w:r>
      <w:r w:rsidR="0013032F" w:rsidRPr="002E1560">
        <w:t xml:space="preserve"> </w:t>
      </w:r>
      <w:r w:rsidRPr="002E1560">
        <w:t>Territories,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Hon.</w:t>
      </w:r>
      <w:r w:rsidR="0013032F" w:rsidRPr="002E1560">
        <w:t xml:space="preserve"> </w:t>
      </w:r>
      <w:r w:rsidRPr="002E1560">
        <w:t>Kirsty</w:t>
      </w:r>
      <w:r w:rsidR="0013032F" w:rsidRPr="002E1560">
        <w:t xml:space="preserve"> </w:t>
      </w:r>
      <w:r w:rsidRPr="002E1560">
        <w:t>McBain</w:t>
      </w:r>
      <w:r w:rsidR="0013032F" w:rsidRPr="002E1560">
        <w:t xml:space="preserve"> </w:t>
      </w:r>
      <w:r w:rsidRPr="002E1560">
        <w:t>at</w:t>
      </w:r>
      <w:r w:rsidR="0013032F" w:rsidRPr="002E1560">
        <w:t xml:space="preserve"> </w:t>
      </w:r>
      <w:r w:rsidRPr="002E1560">
        <w:t>a</w:t>
      </w:r>
      <w:r w:rsidR="0013032F" w:rsidRPr="002E1560">
        <w:t xml:space="preserve"> </w:t>
      </w:r>
      <w:r w:rsidRPr="002E1560">
        <w:t>Committee</w:t>
      </w:r>
      <w:r w:rsidR="0013032F" w:rsidRPr="002E1560">
        <w:t xml:space="preserve"> </w:t>
      </w:r>
      <w:r w:rsidRPr="002E1560">
        <w:t>for</w:t>
      </w:r>
      <w:r w:rsidR="0013032F" w:rsidRPr="002E1560">
        <w:t xml:space="preserve"> </w:t>
      </w:r>
      <w:r w:rsidRPr="002E1560">
        <w:t>Gippsland</w:t>
      </w:r>
      <w:r w:rsidR="0013032F" w:rsidRPr="002E1560">
        <w:t xml:space="preserve"> </w:t>
      </w:r>
      <w:r w:rsidRPr="002E1560">
        <w:t>industry</w:t>
      </w:r>
      <w:r w:rsidR="0013032F" w:rsidRPr="002E1560">
        <w:t xml:space="preserve"> </w:t>
      </w:r>
      <w:r w:rsidRPr="002E1560">
        <w:t>event.</w:t>
      </w:r>
      <w:r w:rsidR="0013032F" w:rsidRPr="002E1560">
        <w:t xml:space="preserve"> </w:t>
      </w:r>
    </w:p>
    <w:p w14:paraId="5F1550EB" w14:textId="4FA7FCF5" w:rsidR="00757772" w:rsidRPr="002E1560" w:rsidRDefault="00305D3C" w:rsidP="002E1560">
      <w:r w:rsidRPr="002E1560">
        <w:t>Meaningful</w:t>
      </w:r>
      <w:r w:rsidR="0013032F" w:rsidRPr="002E1560">
        <w:t xml:space="preserve"> </w:t>
      </w:r>
      <w:r w:rsidRPr="002E1560">
        <w:t>engagement</w:t>
      </w:r>
      <w:r w:rsidR="0013032F" w:rsidRPr="002E1560">
        <w:t xml:space="preserve"> </w:t>
      </w:r>
      <w:r w:rsidRPr="002E1560">
        <w:t>continued</w:t>
      </w:r>
      <w:r w:rsidR="0013032F" w:rsidRPr="002E1560">
        <w:t xml:space="preserve"> </w:t>
      </w:r>
      <w:r w:rsidRPr="002E1560">
        <w:t>with</w:t>
      </w:r>
      <w:r w:rsidR="0013032F" w:rsidRPr="002E1560">
        <w:t xml:space="preserve"> </w:t>
      </w:r>
      <w:r w:rsidRPr="002E1560">
        <w:t>business</w:t>
      </w:r>
      <w:r w:rsidR="0013032F" w:rsidRPr="002E1560">
        <w:t xml:space="preserve"> </w:t>
      </w:r>
      <w:r w:rsidRPr="002E1560">
        <w:t>and</w:t>
      </w:r>
      <w:r w:rsidR="0013032F" w:rsidRPr="002E1560">
        <w:t xml:space="preserve"> </w:t>
      </w:r>
      <w:r w:rsidRPr="002E1560">
        <w:t>key</w:t>
      </w:r>
      <w:r w:rsidR="0013032F" w:rsidRPr="002E1560">
        <w:t xml:space="preserve"> </w:t>
      </w:r>
      <w:r w:rsidRPr="002E1560">
        <w:t>industry</w:t>
      </w:r>
      <w:r w:rsidR="0013032F" w:rsidRPr="002E1560">
        <w:t xml:space="preserve"> </w:t>
      </w:r>
      <w:r w:rsidRPr="002E1560">
        <w:t>bodies.</w:t>
      </w:r>
      <w:r w:rsidR="0013032F" w:rsidRPr="002E1560">
        <w:t xml:space="preserve"> </w:t>
      </w:r>
      <w:r w:rsidRPr="002E1560">
        <w:t>It</w:t>
      </w:r>
      <w:r w:rsidR="0013032F" w:rsidRPr="002E1560">
        <w:t xml:space="preserve"> </w:t>
      </w:r>
      <w:r w:rsidRPr="002E1560">
        <w:t>ensured</w:t>
      </w:r>
      <w:r w:rsidR="0013032F" w:rsidRPr="002E1560">
        <w:t xml:space="preserve"> </w:t>
      </w:r>
      <w:r w:rsidRPr="002E1560">
        <w:t>that</w:t>
      </w:r>
      <w:r w:rsidR="0013032F" w:rsidRPr="002E1560">
        <w:t xml:space="preserve"> </w:t>
      </w:r>
      <w:r w:rsidRPr="002E1560">
        <w:t>RDA</w:t>
      </w:r>
      <w:r w:rsidR="0013032F" w:rsidRPr="002E1560">
        <w:t xml:space="preserve"> </w:t>
      </w:r>
      <w:r w:rsidRPr="002E1560">
        <w:t>Gippsland</w:t>
      </w:r>
      <w:r w:rsidR="0013032F" w:rsidRPr="002E1560">
        <w:t xml:space="preserve"> </w:t>
      </w:r>
      <w:r w:rsidRPr="002E1560">
        <w:t>remained</w:t>
      </w:r>
      <w:r w:rsidR="0013032F" w:rsidRPr="002E1560">
        <w:t xml:space="preserve"> </w:t>
      </w:r>
      <w:r w:rsidRPr="002E1560">
        <w:t>informed</w:t>
      </w:r>
      <w:r w:rsidR="0013032F" w:rsidRPr="002E1560">
        <w:t xml:space="preserve"> </w:t>
      </w:r>
      <w:r w:rsidRPr="002E1560">
        <w:t>of</w:t>
      </w:r>
      <w:r w:rsidR="0013032F" w:rsidRPr="002E1560">
        <w:t xml:space="preserve"> </w:t>
      </w:r>
      <w:r w:rsidRPr="002E1560">
        <w:t>regional</w:t>
      </w:r>
      <w:r w:rsidR="0013032F" w:rsidRPr="002E1560">
        <w:t xml:space="preserve"> </w:t>
      </w:r>
      <w:r w:rsidRPr="002E1560">
        <w:t>economic</w:t>
      </w:r>
      <w:r w:rsidR="0013032F" w:rsidRPr="002E1560">
        <w:t xml:space="preserve"> </w:t>
      </w:r>
      <w:r w:rsidRPr="002E1560">
        <w:t>activities,</w:t>
      </w:r>
      <w:r w:rsidR="0013032F" w:rsidRPr="002E1560">
        <w:t xml:space="preserve"> </w:t>
      </w:r>
      <w:r w:rsidRPr="002E1560">
        <w:t>industry</w:t>
      </w:r>
      <w:r w:rsidR="0013032F" w:rsidRPr="002E1560">
        <w:t xml:space="preserve"> </w:t>
      </w:r>
      <w:r w:rsidRPr="002E1560">
        <w:t>needs</w:t>
      </w:r>
      <w:r w:rsidR="0013032F" w:rsidRPr="002E1560">
        <w:t xml:space="preserve"> </w:t>
      </w:r>
      <w:r w:rsidRPr="002E1560">
        <w:t>and</w:t>
      </w:r>
      <w:r w:rsidR="0013032F" w:rsidRPr="002E1560">
        <w:t xml:space="preserve"> </w:t>
      </w:r>
      <w:r w:rsidRPr="002E1560">
        <w:t>opportunities.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committee</w:t>
      </w:r>
      <w:r w:rsidR="0013032F" w:rsidRPr="002E1560">
        <w:t xml:space="preserve"> </w:t>
      </w:r>
      <w:r w:rsidRPr="002E1560">
        <w:t>toured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Australian</w:t>
      </w:r>
      <w:r w:rsidR="0013032F" w:rsidRPr="002E1560">
        <w:t xml:space="preserve"> </w:t>
      </w:r>
      <w:r w:rsidRPr="002E1560">
        <w:t>Sustainable</w:t>
      </w:r>
      <w:r w:rsidR="0013032F" w:rsidRPr="002E1560">
        <w:t xml:space="preserve"> </w:t>
      </w:r>
      <w:r w:rsidRPr="002E1560">
        <w:t>Hardwoods</w:t>
      </w:r>
      <w:r w:rsidR="0013032F" w:rsidRPr="002E1560">
        <w:t xml:space="preserve"> </w:t>
      </w:r>
      <w:r w:rsidRPr="002E1560">
        <w:t>facility</w:t>
      </w:r>
      <w:r w:rsidR="0013032F" w:rsidRPr="002E1560">
        <w:t xml:space="preserve"> </w:t>
      </w:r>
      <w:r w:rsidRPr="002E1560">
        <w:t>in</w:t>
      </w:r>
      <w:r w:rsidR="0013032F" w:rsidRPr="002E1560">
        <w:t xml:space="preserve"> </w:t>
      </w:r>
      <w:r w:rsidRPr="002E1560">
        <w:t>Heyfield</w:t>
      </w:r>
      <w:r w:rsidR="0013032F" w:rsidRPr="002E1560">
        <w:t xml:space="preserve"> </w:t>
      </w:r>
      <w:r w:rsidRPr="002E1560">
        <w:t>and</w:t>
      </w:r>
      <w:r w:rsidR="0013032F" w:rsidRPr="002E1560">
        <w:t xml:space="preserve"> </w:t>
      </w:r>
      <w:r w:rsidRPr="002E1560">
        <w:t>welcomed</w:t>
      </w:r>
      <w:r w:rsidR="0013032F" w:rsidRPr="002E1560">
        <w:t xml:space="preserve"> </w:t>
      </w:r>
      <w:r w:rsidRPr="002E1560">
        <w:t>updates</w:t>
      </w:r>
      <w:r w:rsidR="0013032F" w:rsidRPr="002E1560">
        <w:t xml:space="preserve"> </w:t>
      </w:r>
      <w:r w:rsidRPr="002E1560">
        <w:t>from</w:t>
      </w:r>
      <w:r w:rsidR="0013032F" w:rsidRPr="002E1560">
        <w:t xml:space="preserve"> </w:t>
      </w:r>
      <w:r w:rsidRPr="002E1560">
        <w:t>Gippsland’s</w:t>
      </w:r>
      <w:r w:rsidR="0013032F" w:rsidRPr="002E1560">
        <w:t xml:space="preserve"> </w:t>
      </w:r>
      <w:r w:rsidRPr="002E1560">
        <w:t>largest</w:t>
      </w:r>
      <w:r w:rsidR="0013032F" w:rsidRPr="002E1560">
        <w:t xml:space="preserve"> </w:t>
      </w:r>
      <w:r w:rsidRPr="002E1560">
        <w:t>renewable</w:t>
      </w:r>
      <w:r w:rsidR="0013032F" w:rsidRPr="002E1560">
        <w:t xml:space="preserve"> </w:t>
      </w:r>
      <w:r w:rsidRPr="002E1560">
        <w:t>energy</w:t>
      </w:r>
      <w:r w:rsidR="0013032F" w:rsidRPr="002E1560">
        <w:t xml:space="preserve"> </w:t>
      </w:r>
      <w:r w:rsidRPr="002E1560">
        <w:t>providers,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lastRenderedPageBreak/>
        <w:t>Port</w:t>
      </w:r>
      <w:r w:rsidR="0013032F" w:rsidRPr="002E1560">
        <w:t xml:space="preserve"> </w:t>
      </w:r>
      <w:r w:rsidRPr="002E1560">
        <w:t>of</w:t>
      </w:r>
      <w:r w:rsidR="0013032F" w:rsidRPr="002E1560">
        <w:t xml:space="preserve"> </w:t>
      </w:r>
      <w:r w:rsidRPr="002E1560">
        <w:t>Hastings</w:t>
      </w:r>
      <w:r w:rsidR="0013032F" w:rsidRPr="002E1560">
        <w:t xml:space="preserve"> </w:t>
      </w:r>
      <w:r w:rsidRPr="002E1560">
        <w:t>Corporation</w:t>
      </w:r>
      <w:r w:rsidR="0013032F" w:rsidRPr="002E1560">
        <w:t xml:space="preserve"> </w:t>
      </w:r>
      <w:r w:rsidRPr="002E1560">
        <w:t>and</w:t>
      </w:r>
      <w:r w:rsidR="0013032F" w:rsidRPr="002E1560">
        <w:t xml:space="preserve"> </w:t>
      </w:r>
      <w:r w:rsidRPr="002E1560">
        <w:t>Barry</w:t>
      </w:r>
      <w:r w:rsidR="0013032F" w:rsidRPr="002E1560">
        <w:t xml:space="preserve"> </w:t>
      </w:r>
      <w:r w:rsidRPr="002E1560">
        <w:t>Beach</w:t>
      </w:r>
      <w:r w:rsidR="0013032F" w:rsidRPr="002E1560">
        <w:t xml:space="preserve"> </w:t>
      </w:r>
      <w:r w:rsidRPr="002E1560">
        <w:t>regarding</w:t>
      </w:r>
      <w:r w:rsidR="0013032F" w:rsidRPr="002E1560">
        <w:t xml:space="preserve"> </w:t>
      </w:r>
      <w:r w:rsidRPr="002E1560">
        <w:t>offshore</w:t>
      </w:r>
      <w:r w:rsidR="0013032F" w:rsidRPr="002E1560">
        <w:t xml:space="preserve"> </w:t>
      </w:r>
      <w:r w:rsidRPr="002E1560">
        <w:t>wind</w:t>
      </w:r>
      <w:r w:rsidR="0013032F" w:rsidRPr="002E1560">
        <w:t xml:space="preserve"> </w:t>
      </w:r>
      <w:r w:rsidRPr="002E1560">
        <w:t>supply</w:t>
      </w:r>
      <w:r w:rsidR="0013032F" w:rsidRPr="002E1560">
        <w:t xml:space="preserve"> </w:t>
      </w:r>
      <w:r w:rsidRPr="002E1560">
        <w:t>chain</w:t>
      </w:r>
      <w:r w:rsidR="0013032F" w:rsidRPr="002E1560">
        <w:t xml:space="preserve"> </w:t>
      </w:r>
      <w:r w:rsidRPr="002E1560">
        <w:t>opportunities.</w:t>
      </w:r>
      <w:r w:rsidR="0013032F" w:rsidRPr="002E1560">
        <w:t xml:space="preserve"> </w:t>
      </w:r>
    </w:p>
    <w:p w14:paraId="4FCE35F7" w14:textId="4E98F1F6" w:rsidR="00757772" w:rsidRPr="002E1560" w:rsidRDefault="00305D3C" w:rsidP="002E1560">
      <w:r w:rsidRPr="002E1560">
        <w:t>RDA</w:t>
      </w:r>
      <w:r w:rsidR="0013032F" w:rsidRPr="002E1560">
        <w:t xml:space="preserve"> </w:t>
      </w:r>
      <w:r w:rsidRPr="002E1560">
        <w:t>Gippsland</w:t>
      </w:r>
      <w:r w:rsidR="0013032F" w:rsidRPr="002E1560">
        <w:t xml:space="preserve"> </w:t>
      </w:r>
      <w:r w:rsidRPr="002E1560">
        <w:t>also</w:t>
      </w:r>
      <w:r w:rsidR="0013032F" w:rsidRPr="002E1560">
        <w:t xml:space="preserve"> </w:t>
      </w:r>
      <w:r w:rsidRPr="002E1560">
        <w:t>assisted</w:t>
      </w:r>
      <w:r w:rsidR="0013032F" w:rsidRPr="002E1560">
        <w:t xml:space="preserve"> </w:t>
      </w:r>
      <w:r w:rsidRPr="002E1560">
        <w:t>with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development</w:t>
      </w:r>
      <w:r w:rsidR="0013032F" w:rsidRPr="002E1560">
        <w:t xml:space="preserve"> </w:t>
      </w:r>
      <w:r w:rsidRPr="002E1560">
        <w:t>of</w:t>
      </w:r>
      <w:r w:rsidR="0013032F" w:rsidRPr="002E1560">
        <w:t xml:space="preserve"> </w:t>
      </w:r>
      <w:r w:rsidRPr="002E1560">
        <w:t>a</w:t>
      </w:r>
      <w:r w:rsidR="0013032F" w:rsidRPr="002E1560">
        <w:t xml:space="preserve"> </w:t>
      </w:r>
      <w:r w:rsidRPr="002E1560">
        <w:t>submission</w:t>
      </w:r>
      <w:r w:rsidR="0013032F" w:rsidRPr="002E1560">
        <w:t xml:space="preserve"> </w:t>
      </w:r>
      <w:r w:rsidRPr="002E1560">
        <w:t>to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Australian</w:t>
      </w:r>
      <w:r w:rsidR="0013032F" w:rsidRPr="002E1560">
        <w:t xml:space="preserve"> </w:t>
      </w:r>
      <w:r w:rsidRPr="002E1560">
        <w:t>Government</w:t>
      </w:r>
      <w:r w:rsidR="0013032F" w:rsidRPr="002E1560">
        <w:t xml:space="preserve"> </w:t>
      </w:r>
      <w:r w:rsidRPr="002E1560">
        <w:t>in</w:t>
      </w:r>
      <w:r w:rsidR="0013032F" w:rsidRPr="002E1560">
        <w:t xml:space="preserve"> </w:t>
      </w:r>
      <w:r w:rsidRPr="002E1560">
        <w:t>support</w:t>
      </w:r>
      <w:r w:rsidR="0013032F" w:rsidRPr="002E1560">
        <w:t xml:space="preserve"> </w:t>
      </w:r>
      <w:r w:rsidRPr="002E1560">
        <w:t>of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proposed</w:t>
      </w:r>
      <w:r w:rsidR="0013032F" w:rsidRPr="002E1560">
        <w:t xml:space="preserve"> </w:t>
      </w:r>
      <w:r w:rsidRPr="002E1560">
        <w:t>offshore</w:t>
      </w:r>
      <w:r w:rsidR="0013032F" w:rsidRPr="002E1560">
        <w:t xml:space="preserve"> </w:t>
      </w:r>
      <w:r w:rsidRPr="002E1560">
        <w:t>renewable</w:t>
      </w:r>
      <w:r w:rsidR="0013032F" w:rsidRPr="002E1560">
        <w:t xml:space="preserve"> </w:t>
      </w:r>
      <w:r w:rsidRPr="002E1560">
        <w:t>energy</w:t>
      </w:r>
      <w:r w:rsidR="0013032F" w:rsidRPr="002E1560">
        <w:t xml:space="preserve"> </w:t>
      </w:r>
      <w:r w:rsidRPr="002E1560">
        <w:t>infrastructure</w:t>
      </w:r>
      <w:r w:rsidR="0013032F" w:rsidRPr="002E1560">
        <w:t xml:space="preserve"> </w:t>
      </w:r>
      <w:r w:rsidRPr="002E1560">
        <w:t>area</w:t>
      </w:r>
      <w:r w:rsidR="0013032F" w:rsidRPr="002E1560">
        <w:t xml:space="preserve"> </w:t>
      </w:r>
      <w:r w:rsidRPr="002E1560">
        <w:t>for</w:t>
      </w:r>
      <w:r w:rsidR="0013032F" w:rsidRPr="002E1560">
        <w:t xml:space="preserve"> </w:t>
      </w:r>
      <w:r w:rsidRPr="002E1560">
        <w:t>Bass</w:t>
      </w:r>
      <w:r w:rsidR="0013032F" w:rsidRPr="002E1560">
        <w:t xml:space="preserve"> </w:t>
      </w:r>
      <w:r w:rsidRPr="002E1560">
        <w:t>Strait</w:t>
      </w:r>
      <w:r w:rsidR="0013032F" w:rsidRPr="002E1560">
        <w:t xml:space="preserve"> </w:t>
      </w:r>
      <w:r w:rsidRPr="002E1560">
        <w:t>off</w:t>
      </w:r>
      <w:r w:rsidR="0013032F" w:rsidRPr="002E1560">
        <w:t xml:space="preserve"> </w:t>
      </w:r>
      <w:r w:rsidRPr="002E1560">
        <w:t>Gippsland.</w:t>
      </w:r>
    </w:p>
    <w:p w14:paraId="54AC11FC" w14:textId="006F92B1" w:rsidR="00757772" w:rsidRDefault="00305D3C" w:rsidP="002E1560">
      <w:pPr>
        <w:pStyle w:val="Heading2"/>
      </w:pPr>
      <w:bookmarkStart w:id="31" w:name="_Toc149566577"/>
      <w:r>
        <w:t>Grampians</w:t>
      </w:r>
      <w:r w:rsidR="0013032F">
        <w:t xml:space="preserve"> </w:t>
      </w:r>
      <w:r>
        <w:t>case</w:t>
      </w:r>
      <w:r w:rsidR="0013032F">
        <w:t xml:space="preserve"> </w:t>
      </w:r>
      <w:r>
        <w:t>study</w:t>
      </w:r>
      <w:bookmarkEnd w:id="31"/>
    </w:p>
    <w:p w14:paraId="683AD9D2" w14:textId="6DCA78DC" w:rsidR="00757772" w:rsidRPr="002E1560" w:rsidRDefault="00305D3C" w:rsidP="002E1560">
      <w:pPr>
        <w:pStyle w:val="Normalbeforebullets"/>
        <w:rPr>
          <w:b/>
          <w:bCs/>
        </w:rPr>
      </w:pPr>
      <w:r w:rsidRPr="002E1560">
        <w:rPr>
          <w:b/>
          <w:bCs/>
        </w:rPr>
        <w:t>Digital</w:t>
      </w:r>
      <w:r w:rsidR="0013032F" w:rsidRPr="002E1560">
        <w:rPr>
          <w:b/>
          <w:bCs/>
        </w:rPr>
        <w:t xml:space="preserve"> </w:t>
      </w:r>
      <w:r w:rsidRPr="002E1560">
        <w:rPr>
          <w:b/>
          <w:bCs/>
        </w:rPr>
        <w:t>mobile</w:t>
      </w:r>
      <w:r w:rsidR="0013032F" w:rsidRPr="002E1560">
        <w:rPr>
          <w:b/>
          <w:bCs/>
        </w:rPr>
        <w:t xml:space="preserve"> </w:t>
      </w:r>
      <w:r w:rsidRPr="002E1560">
        <w:rPr>
          <w:b/>
          <w:bCs/>
        </w:rPr>
        <w:t>roaming</w:t>
      </w:r>
      <w:r w:rsidR="0013032F" w:rsidRPr="002E1560">
        <w:rPr>
          <w:b/>
          <w:bCs/>
        </w:rPr>
        <w:t xml:space="preserve"> </w:t>
      </w:r>
    </w:p>
    <w:p w14:paraId="34C32EFF" w14:textId="231F5044" w:rsidR="00757772" w:rsidRPr="002E1560" w:rsidRDefault="00305D3C" w:rsidP="002E1560">
      <w:r w:rsidRPr="002E1560">
        <w:t>The</w:t>
      </w:r>
      <w:r w:rsidR="0013032F" w:rsidRPr="002E1560">
        <w:t xml:space="preserve"> </w:t>
      </w:r>
      <w:r w:rsidRPr="002E1560">
        <w:t>RDA</w:t>
      </w:r>
      <w:r w:rsidR="0013032F" w:rsidRPr="002E1560">
        <w:t xml:space="preserve"> </w:t>
      </w:r>
      <w:r w:rsidRPr="002E1560">
        <w:t>Grampians</w:t>
      </w:r>
      <w:r w:rsidR="0013032F" w:rsidRPr="002E1560">
        <w:t xml:space="preserve"> </w:t>
      </w:r>
      <w:r w:rsidRPr="002E1560">
        <w:t>Committee</w:t>
      </w:r>
      <w:r w:rsidR="0013032F" w:rsidRPr="002E1560">
        <w:t xml:space="preserve"> </w:t>
      </w:r>
      <w:r w:rsidRPr="002E1560">
        <w:t>continued</w:t>
      </w:r>
      <w:r w:rsidR="0013032F" w:rsidRPr="002E1560">
        <w:t xml:space="preserve"> </w:t>
      </w:r>
      <w:r w:rsidRPr="002E1560">
        <w:t>to</w:t>
      </w:r>
      <w:r w:rsidR="0013032F" w:rsidRPr="002E1560">
        <w:t xml:space="preserve"> </w:t>
      </w:r>
      <w:r w:rsidRPr="002E1560">
        <w:t>advocate</w:t>
      </w:r>
      <w:r w:rsidR="0013032F" w:rsidRPr="002E1560">
        <w:t xml:space="preserve"> </w:t>
      </w:r>
      <w:r w:rsidRPr="002E1560">
        <w:t>for</w:t>
      </w:r>
      <w:r w:rsidR="0013032F" w:rsidRPr="002E1560">
        <w:t xml:space="preserve"> </w:t>
      </w:r>
      <w:r w:rsidRPr="002E1560">
        <w:t>domestic</w:t>
      </w:r>
      <w:r w:rsidR="0013032F" w:rsidRPr="002E1560">
        <w:t xml:space="preserve"> </w:t>
      </w:r>
      <w:r w:rsidRPr="002E1560">
        <w:t>mobile</w:t>
      </w:r>
      <w:r w:rsidR="0013032F" w:rsidRPr="002E1560">
        <w:t xml:space="preserve"> </w:t>
      </w:r>
      <w:r w:rsidRPr="002E1560">
        <w:t>roaming,</w:t>
      </w:r>
      <w:r w:rsidR="0013032F" w:rsidRPr="002E1560">
        <w:t xml:space="preserve"> </w:t>
      </w:r>
      <w:r w:rsidRPr="002E1560">
        <w:t>particularly</w:t>
      </w:r>
      <w:r w:rsidR="0013032F" w:rsidRPr="002E1560">
        <w:t xml:space="preserve"> </w:t>
      </w:r>
      <w:r w:rsidRPr="002E1560">
        <w:t>in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event</w:t>
      </w:r>
      <w:r w:rsidR="0013032F" w:rsidRPr="002E1560">
        <w:t xml:space="preserve"> </w:t>
      </w:r>
      <w:r w:rsidRPr="002E1560">
        <w:t>of</w:t>
      </w:r>
      <w:r w:rsidR="0013032F" w:rsidRPr="002E1560">
        <w:t xml:space="preserve"> </w:t>
      </w:r>
      <w:r w:rsidRPr="002E1560">
        <w:t>an</w:t>
      </w:r>
      <w:r w:rsidR="0013032F" w:rsidRPr="002E1560">
        <w:t xml:space="preserve"> </w:t>
      </w:r>
      <w:r w:rsidRPr="002E1560">
        <w:t>emergency.</w:t>
      </w:r>
      <w:r w:rsidR="0013032F" w:rsidRPr="002E1560">
        <w:t xml:space="preserve"> </w:t>
      </w:r>
    </w:p>
    <w:p w14:paraId="3EEEC115" w14:textId="46C29284" w:rsidR="00757772" w:rsidRPr="002E1560" w:rsidRDefault="00305D3C" w:rsidP="002E1560">
      <w:r w:rsidRPr="002E1560">
        <w:t>Following</w:t>
      </w:r>
      <w:r w:rsidR="0013032F" w:rsidRPr="002E1560">
        <w:t xml:space="preserve"> </w:t>
      </w:r>
      <w:r w:rsidRPr="002E1560">
        <w:t>a</w:t>
      </w:r>
      <w:r w:rsidR="0013032F" w:rsidRPr="002E1560">
        <w:t xml:space="preserve"> </w:t>
      </w:r>
      <w:r w:rsidRPr="002E1560">
        <w:t>long</w:t>
      </w:r>
      <w:r w:rsidR="0013032F" w:rsidRPr="002E1560">
        <w:t xml:space="preserve"> </w:t>
      </w:r>
      <w:r w:rsidRPr="002E1560">
        <w:t>advocacy</w:t>
      </w:r>
      <w:r w:rsidR="0013032F" w:rsidRPr="002E1560">
        <w:t xml:space="preserve"> </w:t>
      </w:r>
      <w:r w:rsidRPr="002E1560">
        <w:t>campaign</w:t>
      </w:r>
      <w:r w:rsidR="0013032F" w:rsidRPr="002E1560">
        <w:t xml:space="preserve"> </w:t>
      </w:r>
      <w:r w:rsidRPr="002E1560">
        <w:t>that</w:t>
      </w:r>
      <w:r w:rsidR="0013032F" w:rsidRPr="002E1560">
        <w:t xml:space="preserve"> </w:t>
      </w:r>
      <w:r w:rsidRPr="002E1560">
        <w:t>included</w:t>
      </w:r>
      <w:r w:rsidR="0013032F" w:rsidRPr="002E1560">
        <w:t xml:space="preserve"> </w:t>
      </w:r>
      <w:r w:rsidRPr="002E1560">
        <w:t>collaborating</w:t>
      </w:r>
      <w:r w:rsidR="0013032F" w:rsidRPr="002E1560">
        <w:t xml:space="preserve"> </w:t>
      </w:r>
      <w:r w:rsidRPr="002E1560">
        <w:t>with</w:t>
      </w:r>
      <w:r w:rsidR="0013032F" w:rsidRPr="002E1560">
        <w:t xml:space="preserve"> </w:t>
      </w:r>
      <w:r w:rsidRPr="002E1560">
        <w:t>other</w:t>
      </w:r>
      <w:r w:rsidR="0013032F" w:rsidRPr="002E1560">
        <w:t xml:space="preserve"> </w:t>
      </w:r>
      <w:r w:rsidRPr="002E1560">
        <w:t>RDAs</w:t>
      </w:r>
      <w:r w:rsidR="0013032F" w:rsidRPr="002E1560">
        <w:t xml:space="preserve"> </w:t>
      </w:r>
      <w:r w:rsidRPr="002E1560">
        <w:t>across</w:t>
      </w:r>
      <w:r w:rsidR="0013032F" w:rsidRPr="002E1560">
        <w:t xml:space="preserve"> </w:t>
      </w:r>
      <w:r w:rsidRPr="002E1560">
        <w:t>Australia,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ACCC</w:t>
      </w:r>
      <w:r w:rsidR="0013032F" w:rsidRPr="002E1560">
        <w:t xml:space="preserve"> </w:t>
      </w:r>
      <w:r w:rsidRPr="002E1560">
        <w:t>conducted</w:t>
      </w:r>
      <w:r w:rsidR="0013032F" w:rsidRPr="002E1560">
        <w:t xml:space="preserve"> </w:t>
      </w:r>
      <w:r w:rsidRPr="002E1560">
        <w:t>a</w:t>
      </w:r>
      <w:r w:rsidR="0013032F" w:rsidRPr="002E1560">
        <w:t xml:space="preserve"> </w:t>
      </w:r>
      <w:r w:rsidRPr="002E1560">
        <w:t>Regional</w:t>
      </w:r>
      <w:r w:rsidR="0013032F" w:rsidRPr="002E1560">
        <w:t xml:space="preserve"> </w:t>
      </w:r>
      <w:r w:rsidRPr="002E1560">
        <w:t>Mobile</w:t>
      </w:r>
      <w:r w:rsidR="0013032F" w:rsidRPr="002E1560">
        <w:t xml:space="preserve"> </w:t>
      </w:r>
      <w:r w:rsidRPr="002E1560">
        <w:t>Infrastructure</w:t>
      </w:r>
      <w:r w:rsidR="0013032F" w:rsidRPr="002E1560">
        <w:t xml:space="preserve"> </w:t>
      </w:r>
      <w:r w:rsidRPr="002E1560">
        <w:t>Inquiry.</w:t>
      </w:r>
      <w:r w:rsidR="0013032F" w:rsidRPr="002E1560">
        <w:t xml:space="preserve"> </w:t>
      </w:r>
      <w:r w:rsidRPr="002E1560">
        <w:t>In</w:t>
      </w:r>
      <w:r w:rsidR="0013032F" w:rsidRPr="002E1560">
        <w:t xml:space="preserve"> </w:t>
      </w:r>
      <w:r w:rsidRPr="002E1560">
        <w:t>April</w:t>
      </w:r>
      <w:r w:rsidR="0013032F" w:rsidRPr="002E1560">
        <w:t xml:space="preserve"> </w:t>
      </w:r>
      <w:r w:rsidRPr="002E1560">
        <w:t>2023,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ACCC</w:t>
      </w:r>
      <w:r w:rsidR="0013032F" w:rsidRPr="002E1560">
        <w:t xml:space="preserve"> </w:t>
      </w:r>
      <w:r w:rsidRPr="002E1560">
        <w:t>released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draft</w:t>
      </w:r>
      <w:r w:rsidR="0013032F" w:rsidRPr="002E1560">
        <w:t xml:space="preserve"> </w:t>
      </w:r>
      <w:r w:rsidRPr="002E1560">
        <w:t>report</w:t>
      </w:r>
      <w:r w:rsidR="0013032F" w:rsidRPr="002E1560">
        <w:t xml:space="preserve"> </w:t>
      </w:r>
      <w:r w:rsidRPr="002E1560">
        <w:t>that</w:t>
      </w:r>
      <w:r w:rsidR="0013032F" w:rsidRPr="002E1560">
        <w:t xml:space="preserve"> </w:t>
      </w:r>
      <w:r w:rsidRPr="002E1560">
        <w:t>included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admission</w:t>
      </w:r>
      <w:r w:rsidR="0013032F" w:rsidRPr="002E1560">
        <w:t xml:space="preserve"> </w:t>
      </w:r>
      <w:r w:rsidRPr="002E1560">
        <w:t>that</w:t>
      </w:r>
      <w:r w:rsidR="0013032F" w:rsidRPr="002E1560">
        <w:t xml:space="preserve"> </w:t>
      </w:r>
      <w:r w:rsidRPr="002E1560">
        <w:t>‘temporary</w:t>
      </w:r>
      <w:r w:rsidR="0013032F" w:rsidRPr="002E1560">
        <w:t xml:space="preserve"> </w:t>
      </w:r>
      <w:r w:rsidRPr="002E1560">
        <w:t>mobile</w:t>
      </w:r>
      <w:r w:rsidR="0013032F" w:rsidRPr="002E1560">
        <w:t xml:space="preserve"> </w:t>
      </w:r>
      <w:r w:rsidRPr="002E1560">
        <w:t>roaming</w:t>
      </w:r>
      <w:r w:rsidR="0013032F" w:rsidRPr="002E1560">
        <w:t xml:space="preserve"> </w:t>
      </w:r>
      <w:r w:rsidRPr="002E1560">
        <w:t>during</w:t>
      </w:r>
      <w:r w:rsidR="0013032F" w:rsidRPr="002E1560">
        <w:t xml:space="preserve"> </w:t>
      </w:r>
      <w:r w:rsidRPr="002E1560">
        <w:t>natural</w:t>
      </w:r>
      <w:r w:rsidR="0013032F" w:rsidRPr="002E1560">
        <w:t xml:space="preserve"> </w:t>
      </w:r>
      <w:r w:rsidRPr="002E1560">
        <w:t>disasters</w:t>
      </w:r>
      <w:r w:rsidR="0013032F" w:rsidRPr="002E1560">
        <w:t xml:space="preserve"> </w:t>
      </w:r>
      <w:r w:rsidRPr="002E1560">
        <w:t>is</w:t>
      </w:r>
      <w:r w:rsidR="0013032F" w:rsidRPr="002E1560">
        <w:t xml:space="preserve"> </w:t>
      </w:r>
      <w:r w:rsidRPr="002E1560">
        <w:t>technically</w:t>
      </w:r>
      <w:r w:rsidR="0013032F" w:rsidRPr="002E1560">
        <w:t xml:space="preserve"> </w:t>
      </w:r>
      <w:r w:rsidRPr="002E1560">
        <w:t>feasible.’</w:t>
      </w:r>
      <w:r w:rsidR="0013032F" w:rsidRPr="002E1560">
        <w:t xml:space="preserve"> </w:t>
      </w:r>
    </w:p>
    <w:p w14:paraId="6872114D" w14:textId="0356FA8D" w:rsidR="00757772" w:rsidRPr="002E1560" w:rsidRDefault="00305D3C" w:rsidP="002E1560">
      <w:r w:rsidRPr="002E1560">
        <w:t>RDA</w:t>
      </w:r>
      <w:r w:rsidR="0013032F" w:rsidRPr="002E1560">
        <w:t xml:space="preserve"> </w:t>
      </w:r>
      <w:r w:rsidRPr="002E1560">
        <w:t>Grampians</w:t>
      </w:r>
      <w:r w:rsidR="0013032F" w:rsidRPr="002E1560">
        <w:t xml:space="preserve"> </w:t>
      </w:r>
      <w:r w:rsidRPr="002E1560">
        <w:t>will</w:t>
      </w:r>
      <w:r w:rsidR="0013032F" w:rsidRPr="002E1560">
        <w:t xml:space="preserve"> </w:t>
      </w:r>
      <w:r w:rsidRPr="002E1560">
        <w:t>liaise</w:t>
      </w:r>
      <w:r w:rsidR="0013032F" w:rsidRPr="002E1560">
        <w:t xml:space="preserve"> </w:t>
      </w:r>
      <w:r w:rsidRPr="002E1560">
        <w:t>with</w:t>
      </w:r>
      <w:r w:rsidR="0013032F" w:rsidRPr="002E1560">
        <w:t xml:space="preserve"> </w:t>
      </w:r>
      <w:r w:rsidRPr="002E1560">
        <w:t>telecommunication</w:t>
      </w:r>
      <w:r w:rsidR="0013032F" w:rsidRPr="002E1560">
        <w:t xml:space="preserve"> </w:t>
      </w:r>
      <w:r w:rsidRPr="002E1560">
        <w:t>providers</w:t>
      </w:r>
      <w:r w:rsidR="0013032F" w:rsidRPr="002E1560">
        <w:t xml:space="preserve"> </w:t>
      </w:r>
      <w:r w:rsidRPr="002E1560">
        <w:t>to</w:t>
      </w:r>
      <w:r w:rsidR="0013032F" w:rsidRPr="002E1560">
        <w:t xml:space="preserve"> </w:t>
      </w:r>
      <w:r w:rsidRPr="002E1560">
        <w:t>further</w:t>
      </w:r>
      <w:r w:rsidR="0013032F" w:rsidRPr="002E1560">
        <w:t xml:space="preserve"> </w:t>
      </w:r>
      <w:r w:rsidRPr="002E1560">
        <w:t>explore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findings</w:t>
      </w:r>
      <w:r w:rsidR="0013032F" w:rsidRPr="002E1560">
        <w:t xml:space="preserve"> </w:t>
      </w:r>
      <w:r w:rsidRPr="002E1560">
        <w:t>from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inquiry</w:t>
      </w:r>
      <w:r w:rsidR="0013032F" w:rsidRPr="002E1560">
        <w:t xml:space="preserve"> </w:t>
      </w:r>
      <w:r w:rsidRPr="002E1560">
        <w:t>and</w:t>
      </w:r>
      <w:r w:rsidR="0013032F" w:rsidRPr="002E1560">
        <w:t xml:space="preserve"> </w:t>
      </w:r>
      <w:r w:rsidRPr="002E1560">
        <w:t>implement</w:t>
      </w:r>
      <w:r w:rsidR="0013032F" w:rsidRPr="002E1560">
        <w:t xml:space="preserve"> </w:t>
      </w:r>
      <w:r w:rsidRPr="002E1560">
        <w:t>mobile</w:t>
      </w:r>
      <w:r w:rsidR="0013032F" w:rsidRPr="002E1560">
        <w:t xml:space="preserve"> </w:t>
      </w:r>
      <w:r w:rsidRPr="002E1560">
        <w:t>roaming</w:t>
      </w:r>
      <w:r w:rsidR="0013032F" w:rsidRPr="002E1560">
        <w:t xml:space="preserve"> </w:t>
      </w:r>
      <w:r w:rsidRPr="002E1560">
        <w:t>during</w:t>
      </w:r>
      <w:r w:rsidR="0013032F" w:rsidRPr="002E1560">
        <w:t xml:space="preserve"> </w:t>
      </w:r>
      <w:r w:rsidRPr="002E1560">
        <w:t>emergencies,</w:t>
      </w:r>
      <w:r w:rsidR="0013032F" w:rsidRPr="002E1560">
        <w:t xml:space="preserve"> </w:t>
      </w:r>
      <w:r w:rsidRPr="002E1560">
        <w:t>pending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release</w:t>
      </w:r>
      <w:r w:rsidR="0013032F" w:rsidRPr="002E1560">
        <w:t xml:space="preserve"> </w:t>
      </w:r>
      <w:r w:rsidRPr="002E1560">
        <w:t>of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final</w:t>
      </w:r>
      <w:r w:rsidR="0013032F" w:rsidRPr="002E1560">
        <w:t xml:space="preserve"> </w:t>
      </w:r>
      <w:r w:rsidRPr="002E1560">
        <w:t>report.</w:t>
      </w:r>
    </w:p>
    <w:p w14:paraId="7CFDDD61" w14:textId="2A62EDDF" w:rsidR="00757772" w:rsidRDefault="00305D3C" w:rsidP="002E1560">
      <w:pPr>
        <w:pStyle w:val="Heading2"/>
      </w:pPr>
      <w:bookmarkStart w:id="32" w:name="_Toc149566578"/>
      <w:r>
        <w:t>Hume</w:t>
      </w:r>
      <w:r w:rsidR="0013032F">
        <w:t xml:space="preserve"> </w:t>
      </w:r>
      <w:r>
        <w:t>case</w:t>
      </w:r>
      <w:r w:rsidR="0013032F">
        <w:t xml:space="preserve"> </w:t>
      </w:r>
      <w:r>
        <w:t>study</w:t>
      </w:r>
      <w:bookmarkEnd w:id="32"/>
    </w:p>
    <w:p w14:paraId="3222DBBC" w14:textId="77ABBDD0" w:rsidR="00757772" w:rsidRPr="002E1560" w:rsidRDefault="00305D3C" w:rsidP="002E1560">
      <w:pPr>
        <w:pStyle w:val="Normalbeforebullets"/>
        <w:rPr>
          <w:b/>
          <w:bCs/>
        </w:rPr>
      </w:pPr>
      <w:r w:rsidRPr="002E1560">
        <w:rPr>
          <w:b/>
          <w:bCs/>
        </w:rPr>
        <w:t>Hume</w:t>
      </w:r>
      <w:r w:rsidR="0013032F" w:rsidRPr="002E1560">
        <w:rPr>
          <w:b/>
          <w:bCs/>
        </w:rPr>
        <w:t xml:space="preserve"> </w:t>
      </w:r>
      <w:r w:rsidRPr="002E1560">
        <w:rPr>
          <w:b/>
          <w:bCs/>
        </w:rPr>
        <w:t>Economic</w:t>
      </w:r>
      <w:r w:rsidR="0013032F" w:rsidRPr="002E1560">
        <w:rPr>
          <w:b/>
          <w:bCs/>
        </w:rPr>
        <w:t xml:space="preserve"> </w:t>
      </w:r>
      <w:r w:rsidRPr="002E1560">
        <w:rPr>
          <w:b/>
          <w:bCs/>
        </w:rPr>
        <w:t>Development</w:t>
      </w:r>
      <w:r w:rsidR="0013032F" w:rsidRPr="002E1560">
        <w:rPr>
          <w:b/>
          <w:bCs/>
        </w:rPr>
        <w:t xml:space="preserve"> </w:t>
      </w:r>
      <w:r w:rsidRPr="002E1560">
        <w:rPr>
          <w:b/>
          <w:bCs/>
        </w:rPr>
        <w:t>Network</w:t>
      </w:r>
    </w:p>
    <w:p w14:paraId="7E547AC2" w14:textId="76B7AC9D" w:rsidR="00757772" w:rsidRPr="002E1560" w:rsidRDefault="00305D3C" w:rsidP="002E1560">
      <w:r w:rsidRPr="002E1560">
        <w:t>The</w:t>
      </w:r>
      <w:r w:rsidR="0013032F" w:rsidRPr="002E1560">
        <w:t xml:space="preserve"> </w:t>
      </w:r>
      <w:r w:rsidRPr="002E1560">
        <w:t>Hume</w:t>
      </w:r>
      <w:r w:rsidR="0013032F" w:rsidRPr="002E1560">
        <w:t xml:space="preserve"> </w:t>
      </w:r>
      <w:r w:rsidRPr="002E1560">
        <w:t>Economic</w:t>
      </w:r>
      <w:r w:rsidR="0013032F" w:rsidRPr="002E1560">
        <w:t xml:space="preserve"> </w:t>
      </w:r>
      <w:r w:rsidRPr="002E1560">
        <w:t>Development</w:t>
      </w:r>
      <w:r w:rsidR="0013032F" w:rsidRPr="002E1560">
        <w:t xml:space="preserve"> </w:t>
      </w:r>
      <w:r w:rsidRPr="002E1560">
        <w:t>Network</w:t>
      </w:r>
      <w:r w:rsidR="0013032F" w:rsidRPr="002E1560">
        <w:t xml:space="preserve"> </w:t>
      </w:r>
      <w:r w:rsidRPr="002E1560">
        <w:t>(HEDN)</w:t>
      </w:r>
      <w:r w:rsidR="0013032F" w:rsidRPr="002E1560">
        <w:t xml:space="preserve"> </w:t>
      </w:r>
      <w:r w:rsidRPr="002E1560">
        <w:t>comprises</w:t>
      </w:r>
      <w:r w:rsidR="0013032F" w:rsidRPr="002E1560">
        <w:t xml:space="preserve"> </w:t>
      </w:r>
      <w:r w:rsidRPr="002E1560">
        <w:t>members</w:t>
      </w:r>
      <w:r w:rsidR="0013032F" w:rsidRPr="002E1560">
        <w:t xml:space="preserve"> </w:t>
      </w:r>
      <w:r w:rsidRPr="002E1560">
        <w:t>from</w:t>
      </w:r>
      <w:r w:rsidR="0013032F" w:rsidRPr="002E1560">
        <w:t xml:space="preserve"> </w:t>
      </w:r>
      <w:r w:rsidRPr="002E1560">
        <w:t>all</w:t>
      </w:r>
      <w:r w:rsidR="0013032F" w:rsidRPr="002E1560">
        <w:t xml:space="preserve"> </w:t>
      </w:r>
      <w:r w:rsidRPr="002E1560">
        <w:t>12</w:t>
      </w:r>
      <w:r w:rsidR="0013032F" w:rsidRPr="002E1560">
        <w:t xml:space="preserve"> </w:t>
      </w:r>
      <w:r w:rsidRPr="002E1560">
        <w:t>of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region’s</w:t>
      </w:r>
      <w:r w:rsidR="0013032F" w:rsidRPr="002E1560">
        <w:t xml:space="preserve"> </w:t>
      </w:r>
      <w:r w:rsidRPr="002E1560">
        <w:t>local</w:t>
      </w:r>
      <w:r w:rsidR="0013032F" w:rsidRPr="002E1560">
        <w:t xml:space="preserve"> </w:t>
      </w:r>
      <w:r w:rsidRPr="002E1560">
        <w:t>government</w:t>
      </w:r>
      <w:r w:rsidR="0013032F" w:rsidRPr="002E1560">
        <w:t xml:space="preserve"> </w:t>
      </w:r>
      <w:r w:rsidRPr="002E1560">
        <w:t>agencies</w:t>
      </w:r>
      <w:r w:rsidR="0013032F" w:rsidRPr="002E1560">
        <w:t xml:space="preserve"> </w:t>
      </w:r>
      <w:r w:rsidRPr="002E1560">
        <w:t>and</w:t>
      </w:r>
      <w:r w:rsidR="0013032F" w:rsidRPr="002E1560">
        <w:t xml:space="preserve"> </w:t>
      </w:r>
      <w:r w:rsidRPr="002E1560">
        <w:t>newly</w:t>
      </w:r>
      <w:r w:rsidR="0013032F" w:rsidRPr="002E1560">
        <w:t xml:space="preserve"> </w:t>
      </w:r>
      <w:r w:rsidRPr="002E1560">
        <w:t>formed</w:t>
      </w:r>
      <w:r w:rsidR="0013032F" w:rsidRPr="002E1560">
        <w:t xml:space="preserve"> </w:t>
      </w:r>
      <w:r w:rsidRPr="002E1560">
        <w:t>Alpine</w:t>
      </w:r>
      <w:r w:rsidR="0013032F" w:rsidRPr="002E1560">
        <w:t xml:space="preserve"> </w:t>
      </w:r>
      <w:r w:rsidRPr="002E1560">
        <w:t>Resorts</w:t>
      </w:r>
      <w:r w:rsidR="0013032F" w:rsidRPr="002E1560">
        <w:t xml:space="preserve"> </w:t>
      </w:r>
      <w:r w:rsidRPr="002E1560">
        <w:t>Victoria.</w:t>
      </w:r>
      <w:r w:rsidR="0013032F" w:rsidRPr="002E1560">
        <w:t xml:space="preserve"> </w:t>
      </w:r>
      <w:r w:rsidRPr="002E1560">
        <w:t>HEDN</w:t>
      </w:r>
      <w:r w:rsidR="0013032F" w:rsidRPr="002E1560">
        <w:t xml:space="preserve"> </w:t>
      </w:r>
      <w:r w:rsidRPr="002E1560">
        <w:t>is</w:t>
      </w:r>
      <w:r w:rsidR="0013032F" w:rsidRPr="002E1560">
        <w:t xml:space="preserve"> </w:t>
      </w:r>
      <w:r w:rsidRPr="002E1560">
        <w:t>briefed</w:t>
      </w:r>
      <w:r w:rsidR="0013032F" w:rsidRPr="002E1560">
        <w:t xml:space="preserve"> </w:t>
      </w:r>
      <w:r w:rsidRPr="002E1560">
        <w:t>on</w:t>
      </w:r>
      <w:r w:rsidR="0013032F" w:rsidRPr="002E1560">
        <w:t xml:space="preserve"> </w:t>
      </w:r>
      <w:r w:rsidRPr="002E1560">
        <w:t>critical</w:t>
      </w:r>
      <w:r w:rsidR="0013032F" w:rsidRPr="002E1560">
        <w:t xml:space="preserve"> </w:t>
      </w:r>
      <w:r w:rsidRPr="002E1560">
        <w:t>issues</w:t>
      </w:r>
      <w:r w:rsidR="0013032F" w:rsidRPr="002E1560">
        <w:t xml:space="preserve"> </w:t>
      </w:r>
      <w:r w:rsidRPr="002E1560">
        <w:t>that</w:t>
      </w:r>
      <w:r w:rsidR="0013032F" w:rsidRPr="002E1560">
        <w:t xml:space="preserve"> </w:t>
      </w:r>
      <w:r w:rsidRPr="002E1560">
        <w:t>impact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whole</w:t>
      </w:r>
      <w:r w:rsidR="0013032F" w:rsidRPr="002E1560">
        <w:t xml:space="preserve"> </w:t>
      </w:r>
      <w:r w:rsidRPr="002E1560">
        <w:t>of</w:t>
      </w:r>
      <w:r w:rsidR="0013032F" w:rsidRPr="002E1560">
        <w:t xml:space="preserve"> </w:t>
      </w:r>
      <w:r w:rsidRPr="002E1560">
        <w:t>Hume</w:t>
      </w:r>
      <w:r w:rsidR="0013032F" w:rsidRPr="002E1560">
        <w:t xml:space="preserve"> </w:t>
      </w:r>
      <w:r w:rsidRPr="002E1560">
        <w:t>region</w:t>
      </w:r>
      <w:r w:rsidR="0013032F" w:rsidRPr="002E1560">
        <w:t xml:space="preserve"> </w:t>
      </w:r>
      <w:r w:rsidRPr="002E1560">
        <w:t>to</w:t>
      </w:r>
      <w:r w:rsidR="0013032F" w:rsidRPr="002E1560">
        <w:t xml:space="preserve"> </w:t>
      </w:r>
      <w:r w:rsidRPr="002E1560">
        <w:t>broaden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members’</w:t>
      </w:r>
      <w:r w:rsidR="0013032F" w:rsidRPr="002E1560">
        <w:t xml:space="preserve"> </w:t>
      </w:r>
      <w:r w:rsidRPr="002E1560">
        <w:t>knowledge</w:t>
      </w:r>
      <w:r w:rsidR="0013032F" w:rsidRPr="002E1560">
        <w:t xml:space="preserve"> </w:t>
      </w:r>
      <w:r w:rsidRPr="002E1560">
        <w:t>and</w:t>
      </w:r>
      <w:r w:rsidR="0013032F" w:rsidRPr="002E1560">
        <w:t xml:space="preserve"> </w:t>
      </w:r>
      <w:r w:rsidRPr="002E1560">
        <w:t>understanding</w:t>
      </w:r>
      <w:r w:rsidR="0013032F" w:rsidRPr="002E1560">
        <w:t xml:space="preserve"> </w:t>
      </w:r>
      <w:r w:rsidRPr="002E1560">
        <w:t>beyond</w:t>
      </w:r>
      <w:r w:rsidR="0013032F" w:rsidRPr="002E1560">
        <w:t xml:space="preserve"> </w:t>
      </w:r>
      <w:r w:rsidRPr="002E1560">
        <w:t>their</w:t>
      </w:r>
      <w:r w:rsidR="0013032F" w:rsidRPr="002E1560">
        <w:t xml:space="preserve"> </w:t>
      </w:r>
      <w:r w:rsidRPr="002E1560">
        <w:t>own</w:t>
      </w:r>
      <w:r w:rsidR="0013032F" w:rsidRPr="002E1560">
        <w:t xml:space="preserve"> </w:t>
      </w:r>
      <w:r w:rsidRPr="002E1560">
        <w:t>LGA.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briefings</w:t>
      </w:r>
      <w:r w:rsidR="0013032F" w:rsidRPr="002E1560">
        <w:t xml:space="preserve"> </w:t>
      </w:r>
      <w:r w:rsidRPr="002E1560">
        <w:t>also</w:t>
      </w:r>
      <w:r w:rsidR="0013032F" w:rsidRPr="002E1560">
        <w:t xml:space="preserve"> </w:t>
      </w:r>
      <w:r w:rsidRPr="002E1560">
        <w:t>provide</w:t>
      </w:r>
      <w:r w:rsidR="0013032F" w:rsidRPr="002E1560">
        <w:t xml:space="preserve"> </w:t>
      </w:r>
      <w:r w:rsidRPr="002E1560">
        <w:t>a</w:t>
      </w:r>
      <w:r w:rsidR="0013032F" w:rsidRPr="002E1560">
        <w:t xml:space="preserve"> </w:t>
      </w:r>
      <w:r w:rsidRPr="002E1560">
        <w:t>more</w:t>
      </w:r>
      <w:r w:rsidR="0013032F" w:rsidRPr="002E1560">
        <w:t xml:space="preserve"> </w:t>
      </w:r>
      <w:r w:rsidRPr="002E1560">
        <w:t>integrated</w:t>
      </w:r>
      <w:r w:rsidR="0013032F" w:rsidRPr="002E1560">
        <w:t xml:space="preserve"> </w:t>
      </w:r>
      <w:r w:rsidRPr="002E1560">
        <w:t>method</w:t>
      </w:r>
      <w:r w:rsidR="0013032F" w:rsidRPr="002E1560">
        <w:t xml:space="preserve"> </w:t>
      </w:r>
      <w:r w:rsidRPr="002E1560">
        <w:t>to</w:t>
      </w:r>
      <w:r w:rsidR="0013032F" w:rsidRPr="002E1560">
        <w:t xml:space="preserve"> </w:t>
      </w:r>
      <w:r w:rsidRPr="002E1560">
        <w:t>collecting</w:t>
      </w:r>
      <w:r w:rsidR="0013032F" w:rsidRPr="002E1560">
        <w:t xml:space="preserve"> </w:t>
      </w:r>
      <w:r w:rsidRPr="002E1560">
        <w:t>insights</w:t>
      </w:r>
      <w:r w:rsidR="0013032F" w:rsidRPr="002E1560">
        <w:t xml:space="preserve"> </w:t>
      </w:r>
      <w:r w:rsidRPr="002E1560">
        <w:t>and</w:t>
      </w:r>
      <w:r w:rsidR="0013032F" w:rsidRPr="002E1560">
        <w:t xml:space="preserve"> </w:t>
      </w:r>
      <w:r w:rsidRPr="002E1560">
        <w:t>data</w:t>
      </w:r>
      <w:r w:rsidR="0013032F" w:rsidRPr="002E1560">
        <w:t xml:space="preserve"> </w:t>
      </w:r>
      <w:r w:rsidRPr="002E1560">
        <w:t>across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region.</w:t>
      </w:r>
    </w:p>
    <w:p w14:paraId="09F65EEA" w14:textId="2CBAA1E5" w:rsidR="00757772" w:rsidRPr="002E1560" w:rsidRDefault="00305D3C" w:rsidP="002E1560">
      <w:r w:rsidRPr="002E1560">
        <w:t>The</w:t>
      </w:r>
      <w:r w:rsidR="0013032F" w:rsidRPr="002E1560">
        <w:t xml:space="preserve"> </w:t>
      </w:r>
      <w:r w:rsidRPr="002E1560">
        <w:t>program</w:t>
      </w:r>
      <w:r w:rsidR="0013032F" w:rsidRPr="002E1560">
        <w:t xml:space="preserve"> </w:t>
      </w:r>
      <w:r w:rsidRPr="002E1560">
        <w:t>for</w:t>
      </w:r>
      <w:r w:rsidR="0013032F" w:rsidRPr="002E1560">
        <w:t xml:space="preserve"> </w:t>
      </w:r>
      <w:r w:rsidRPr="002E1560">
        <w:t>2022–23</w:t>
      </w:r>
      <w:r w:rsidR="0013032F" w:rsidRPr="002E1560">
        <w:t xml:space="preserve"> </w:t>
      </w:r>
      <w:r w:rsidRPr="002E1560">
        <w:t>focused</w:t>
      </w:r>
      <w:r w:rsidR="0013032F" w:rsidRPr="002E1560">
        <w:t xml:space="preserve"> </w:t>
      </w:r>
      <w:r w:rsidRPr="002E1560">
        <w:t>on</w:t>
      </w:r>
      <w:r w:rsidR="0013032F" w:rsidRPr="002E1560">
        <w:t xml:space="preserve"> </w:t>
      </w:r>
      <w:r w:rsidRPr="002E1560">
        <w:t>skills</w:t>
      </w:r>
      <w:r w:rsidR="0013032F" w:rsidRPr="002E1560">
        <w:t xml:space="preserve"> </w:t>
      </w:r>
      <w:r w:rsidRPr="002E1560">
        <w:t>development</w:t>
      </w:r>
      <w:r w:rsidR="0013032F" w:rsidRPr="002E1560">
        <w:t xml:space="preserve"> </w:t>
      </w:r>
      <w:r w:rsidRPr="002E1560">
        <w:t>and</w:t>
      </w:r>
      <w:r w:rsidR="0013032F" w:rsidRPr="002E1560">
        <w:t xml:space="preserve"> </w:t>
      </w:r>
      <w:r w:rsidRPr="002E1560">
        <w:t>training</w:t>
      </w:r>
      <w:r w:rsidR="0013032F" w:rsidRPr="002E1560">
        <w:t xml:space="preserve"> </w:t>
      </w:r>
      <w:r w:rsidRPr="002E1560">
        <w:t>required</w:t>
      </w:r>
      <w:r w:rsidR="0013032F" w:rsidRPr="002E1560">
        <w:t xml:space="preserve"> </w:t>
      </w:r>
      <w:r w:rsidRPr="002E1560">
        <w:t>to</w:t>
      </w:r>
      <w:r w:rsidR="0013032F" w:rsidRPr="002E1560">
        <w:t xml:space="preserve"> </w:t>
      </w:r>
      <w:r w:rsidRPr="002E1560">
        <w:t>advance</w:t>
      </w:r>
      <w:r w:rsidR="0013032F" w:rsidRPr="002E1560">
        <w:t xml:space="preserve"> </w:t>
      </w:r>
      <w:r w:rsidRPr="002E1560">
        <w:t>local</w:t>
      </w:r>
      <w:r w:rsidR="0013032F" w:rsidRPr="002E1560">
        <w:t xml:space="preserve"> </w:t>
      </w:r>
      <w:r w:rsidRPr="002E1560">
        <w:t>economic</w:t>
      </w:r>
      <w:r w:rsidR="0013032F" w:rsidRPr="002E1560">
        <w:t xml:space="preserve"> </w:t>
      </w:r>
      <w:r w:rsidRPr="002E1560">
        <w:t>viability</w:t>
      </w:r>
      <w:r w:rsidR="0013032F" w:rsidRPr="002E1560">
        <w:t xml:space="preserve"> </w:t>
      </w:r>
      <w:r w:rsidRPr="002E1560">
        <w:t>and</w:t>
      </w:r>
      <w:r w:rsidR="0013032F" w:rsidRPr="002E1560">
        <w:t xml:space="preserve"> </w:t>
      </w:r>
      <w:r w:rsidRPr="002E1560">
        <w:t>sustainability.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sessions</w:t>
      </w:r>
      <w:r w:rsidR="0013032F" w:rsidRPr="002E1560">
        <w:t xml:space="preserve"> </w:t>
      </w:r>
      <w:r w:rsidRPr="002E1560">
        <w:t>were</w:t>
      </w:r>
      <w:r w:rsidR="0013032F" w:rsidRPr="002E1560">
        <w:t xml:space="preserve"> </w:t>
      </w:r>
      <w:r w:rsidRPr="002E1560">
        <w:t>conducted</w:t>
      </w:r>
      <w:r w:rsidR="0013032F" w:rsidRPr="002E1560">
        <w:t xml:space="preserve"> </w:t>
      </w:r>
      <w:r w:rsidRPr="002E1560">
        <w:t>by</w:t>
      </w:r>
      <w:r w:rsidR="0013032F" w:rsidRPr="002E1560">
        <w:t xml:space="preserve"> </w:t>
      </w:r>
      <w:r w:rsidRPr="002E1560">
        <w:t>highly</w:t>
      </w:r>
      <w:r w:rsidR="0013032F" w:rsidRPr="002E1560">
        <w:t xml:space="preserve"> </w:t>
      </w:r>
      <w:r w:rsidRPr="002E1560">
        <w:t>skilled</w:t>
      </w:r>
      <w:r w:rsidR="0013032F" w:rsidRPr="002E1560">
        <w:t xml:space="preserve"> </w:t>
      </w:r>
      <w:r w:rsidRPr="002E1560">
        <w:t>and</w:t>
      </w:r>
      <w:r w:rsidR="0013032F" w:rsidRPr="002E1560">
        <w:t xml:space="preserve"> </w:t>
      </w:r>
      <w:r w:rsidRPr="002E1560">
        <w:t>respected</w:t>
      </w:r>
      <w:r w:rsidR="0013032F" w:rsidRPr="002E1560">
        <w:t xml:space="preserve"> </w:t>
      </w:r>
      <w:r w:rsidRPr="002E1560">
        <w:t>experts</w:t>
      </w:r>
      <w:r w:rsidR="0013032F" w:rsidRPr="002E1560">
        <w:t xml:space="preserve"> </w:t>
      </w:r>
      <w:r w:rsidRPr="002E1560">
        <w:t>in</w:t>
      </w:r>
      <w:r w:rsidR="0013032F" w:rsidRPr="002E1560">
        <w:t xml:space="preserve"> </w:t>
      </w:r>
      <w:r w:rsidRPr="002E1560">
        <w:t>their</w:t>
      </w:r>
      <w:r w:rsidR="0013032F" w:rsidRPr="002E1560">
        <w:t xml:space="preserve"> </w:t>
      </w:r>
      <w:r w:rsidRPr="002E1560">
        <w:t>field.</w:t>
      </w:r>
    </w:p>
    <w:p w14:paraId="4BA3E2FE" w14:textId="7F6602A2" w:rsidR="00757772" w:rsidRPr="002E1560" w:rsidRDefault="00305D3C" w:rsidP="002E1560">
      <w:r w:rsidRPr="002E1560">
        <w:t>HEDN’s</w:t>
      </w:r>
      <w:r w:rsidR="0013032F" w:rsidRPr="002E1560">
        <w:t xml:space="preserve"> </w:t>
      </w:r>
      <w:r w:rsidRPr="002E1560">
        <w:t>role</w:t>
      </w:r>
      <w:r w:rsidR="0013032F" w:rsidRPr="002E1560">
        <w:t xml:space="preserve"> </w:t>
      </w:r>
      <w:r w:rsidRPr="002E1560">
        <w:t>expanded</w:t>
      </w:r>
      <w:r w:rsidR="0013032F" w:rsidRPr="002E1560">
        <w:t xml:space="preserve"> </w:t>
      </w:r>
      <w:r w:rsidRPr="002E1560">
        <w:t>from</w:t>
      </w:r>
      <w:r w:rsidR="0013032F" w:rsidRPr="002E1560">
        <w:t xml:space="preserve"> </w:t>
      </w:r>
      <w:r w:rsidRPr="002E1560">
        <w:t>skills</w:t>
      </w:r>
      <w:r w:rsidR="0013032F" w:rsidRPr="002E1560">
        <w:t xml:space="preserve"> </w:t>
      </w:r>
      <w:r w:rsidRPr="002E1560">
        <w:t>and</w:t>
      </w:r>
      <w:r w:rsidR="0013032F" w:rsidRPr="002E1560">
        <w:t xml:space="preserve"> </w:t>
      </w:r>
      <w:r w:rsidRPr="002E1560">
        <w:t>knowledge</w:t>
      </w:r>
      <w:r w:rsidR="0013032F" w:rsidRPr="002E1560">
        <w:t xml:space="preserve"> </w:t>
      </w:r>
      <w:r w:rsidRPr="002E1560">
        <w:t>capacity</w:t>
      </w:r>
      <w:r w:rsidR="0013032F" w:rsidRPr="002E1560">
        <w:t xml:space="preserve"> </w:t>
      </w:r>
      <w:r w:rsidRPr="002E1560">
        <w:t>development</w:t>
      </w:r>
      <w:r w:rsidR="0013032F" w:rsidRPr="002E1560">
        <w:t xml:space="preserve"> </w:t>
      </w:r>
      <w:r w:rsidRPr="002E1560">
        <w:t>to</w:t>
      </w:r>
      <w:r w:rsidR="0013032F" w:rsidRPr="002E1560">
        <w:t xml:space="preserve"> </w:t>
      </w:r>
      <w:r w:rsidRPr="002E1560">
        <w:t>include</w:t>
      </w:r>
      <w:r w:rsidR="0013032F" w:rsidRPr="002E1560">
        <w:t xml:space="preserve"> </w:t>
      </w:r>
      <w:r w:rsidRPr="002E1560">
        <w:t>reporting</w:t>
      </w:r>
      <w:r w:rsidR="0013032F" w:rsidRPr="002E1560">
        <w:t xml:space="preserve"> </w:t>
      </w:r>
      <w:r w:rsidRPr="002E1560">
        <w:t>functions</w:t>
      </w:r>
      <w:r w:rsidR="0013032F" w:rsidRPr="002E1560">
        <w:t xml:space="preserve"> </w:t>
      </w:r>
      <w:r w:rsidRPr="002E1560">
        <w:t>back</w:t>
      </w:r>
      <w:r w:rsidR="0013032F" w:rsidRPr="002E1560">
        <w:t xml:space="preserve"> </w:t>
      </w:r>
      <w:r w:rsidRPr="002E1560">
        <w:t>to</w:t>
      </w:r>
      <w:r w:rsidR="0013032F" w:rsidRPr="002E1560">
        <w:t xml:space="preserve"> </w:t>
      </w:r>
      <w:r w:rsidRPr="002E1560">
        <w:t>RDA</w:t>
      </w:r>
      <w:r w:rsidR="0013032F" w:rsidRPr="002E1560">
        <w:t xml:space="preserve"> </w:t>
      </w:r>
      <w:r w:rsidRPr="002E1560">
        <w:t>Hume</w:t>
      </w:r>
      <w:r w:rsidR="0013032F" w:rsidRPr="002E1560">
        <w:t xml:space="preserve"> </w:t>
      </w:r>
      <w:r w:rsidRPr="002E1560">
        <w:t>to</w:t>
      </w:r>
      <w:r w:rsidR="0013032F" w:rsidRPr="002E1560">
        <w:t xml:space="preserve"> </w:t>
      </w:r>
      <w:r w:rsidRPr="002E1560">
        <w:t>provide</w:t>
      </w:r>
      <w:r w:rsidR="0013032F" w:rsidRPr="002E1560">
        <w:t xml:space="preserve"> </w:t>
      </w:r>
      <w:r w:rsidRPr="002E1560">
        <w:t>deeper</w:t>
      </w:r>
      <w:r w:rsidR="0013032F" w:rsidRPr="002E1560">
        <w:t xml:space="preserve"> </w:t>
      </w:r>
      <w:r w:rsidRPr="002E1560">
        <w:t>place-based</w:t>
      </w:r>
      <w:r w:rsidR="0013032F" w:rsidRPr="002E1560">
        <w:t xml:space="preserve"> </w:t>
      </w:r>
      <w:r w:rsidRPr="002E1560">
        <w:t>communications</w:t>
      </w:r>
      <w:r w:rsidR="0013032F" w:rsidRPr="002E1560">
        <w:t xml:space="preserve"> </w:t>
      </w:r>
      <w:r w:rsidRPr="002E1560">
        <w:t>and</w:t>
      </w:r>
      <w:r w:rsidR="0013032F" w:rsidRPr="002E1560">
        <w:t xml:space="preserve"> </w:t>
      </w:r>
      <w:r w:rsidRPr="002E1560">
        <w:t>feedback</w:t>
      </w:r>
      <w:r w:rsidR="0013032F" w:rsidRPr="002E1560">
        <w:t xml:space="preserve"> </w:t>
      </w:r>
      <w:r w:rsidRPr="002E1560">
        <w:t>to</w:t>
      </w:r>
      <w:r w:rsidR="0013032F" w:rsidRPr="002E1560">
        <w:t xml:space="preserve"> </w:t>
      </w:r>
      <w:r w:rsidRPr="002E1560">
        <w:t>all</w:t>
      </w:r>
      <w:r w:rsidR="0013032F" w:rsidRPr="002E1560">
        <w:t xml:space="preserve"> </w:t>
      </w:r>
      <w:r w:rsidRPr="002E1560">
        <w:t>3</w:t>
      </w:r>
      <w:r w:rsidR="0013032F" w:rsidRPr="002E1560">
        <w:t xml:space="preserve"> </w:t>
      </w:r>
      <w:r w:rsidRPr="002E1560">
        <w:t>levels</w:t>
      </w:r>
      <w:r w:rsidR="0013032F" w:rsidRPr="002E1560">
        <w:t xml:space="preserve"> </w:t>
      </w:r>
      <w:r w:rsidRPr="002E1560">
        <w:t>of</w:t>
      </w:r>
      <w:r w:rsidR="0013032F" w:rsidRPr="002E1560">
        <w:t xml:space="preserve"> </w:t>
      </w:r>
      <w:r w:rsidRPr="002E1560">
        <w:t>government.</w:t>
      </w:r>
    </w:p>
    <w:p w14:paraId="08A7D72C" w14:textId="0880EB1F" w:rsidR="00757772" w:rsidRDefault="00305D3C" w:rsidP="002E1560">
      <w:pPr>
        <w:pStyle w:val="Heading2"/>
      </w:pPr>
      <w:bookmarkStart w:id="33" w:name="_Toc149566579"/>
      <w:r>
        <w:lastRenderedPageBreak/>
        <w:t>Loddon</w:t>
      </w:r>
      <w:r w:rsidR="0013032F">
        <w:t xml:space="preserve"> </w:t>
      </w:r>
      <w:r>
        <w:t>Mallee</w:t>
      </w:r>
      <w:r w:rsidR="0013032F">
        <w:t xml:space="preserve"> </w:t>
      </w:r>
      <w:r>
        <w:t>case</w:t>
      </w:r>
      <w:r w:rsidR="0013032F">
        <w:t xml:space="preserve"> </w:t>
      </w:r>
      <w:r>
        <w:t>study</w:t>
      </w:r>
      <w:bookmarkEnd w:id="33"/>
    </w:p>
    <w:p w14:paraId="29F65BBF" w14:textId="0129D234" w:rsidR="00757772" w:rsidRPr="002E1560" w:rsidRDefault="00305D3C" w:rsidP="002E1560">
      <w:pPr>
        <w:pStyle w:val="Normalbeforebullets"/>
        <w:rPr>
          <w:b/>
          <w:bCs/>
        </w:rPr>
      </w:pPr>
      <w:r w:rsidRPr="002E1560">
        <w:rPr>
          <w:b/>
          <w:bCs/>
        </w:rPr>
        <w:t>Growing</w:t>
      </w:r>
      <w:r w:rsidR="0013032F" w:rsidRPr="002E1560">
        <w:rPr>
          <w:b/>
          <w:bCs/>
        </w:rPr>
        <w:t xml:space="preserve"> </w:t>
      </w:r>
      <w:r w:rsidRPr="002E1560">
        <w:rPr>
          <w:b/>
          <w:bCs/>
        </w:rPr>
        <w:t>Industry</w:t>
      </w:r>
      <w:r w:rsidR="0013032F" w:rsidRPr="002E1560">
        <w:rPr>
          <w:b/>
          <w:bCs/>
        </w:rPr>
        <w:t xml:space="preserve"> </w:t>
      </w:r>
      <w:r w:rsidRPr="002E1560">
        <w:rPr>
          <w:b/>
          <w:bCs/>
        </w:rPr>
        <w:t>4.0</w:t>
      </w:r>
      <w:r w:rsidR="0013032F" w:rsidRPr="002E1560">
        <w:rPr>
          <w:b/>
          <w:bCs/>
        </w:rPr>
        <w:t xml:space="preserve"> </w:t>
      </w:r>
      <w:r w:rsidRPr="002E1560">
        <w:rPr>
          <w:b/>
          <w:bCs/>
        </w:rPr>
        <w:t>investment</w:t>
      </w:r>
    </w:p>
    <w:p w14:paraId="6B2A8108" w14:textId="2E62BF94" w:rsidR="00757772" w:rsidRPr="002E1560" w:rsidRDefault="00305D3C" w:rsidP="002E1560">
      <w:r w:rsidRPr="002E1560">
        <w:t>The</w:t>
      </w:r>
      <w:r w:rsidR="0013032F" w:rsidRPr="002E1560">
        <w:t xml:space="preserve"> </w:t>
      </w:r>
      <w:r w:rsidRPr="002E1560">
        <w:t>new</w:t>
      </w:r>
      <w:r w:rsidR="0013032F" w:rsidRPr="002E1560">
        <w:t xml:space="preserve"> </w:t>
      </w:r>
      <w:r w:rsidRPr="002E1560">
        <w:t>industrial</w:t>
      </w:r>
      <w:r w:rsidR="0013032F" w:rsidRPr="002E1560">
        <w:t xml:space="preserve"> </w:t>
      </w:r>
      <w:r w:rsidRPr="002E1560">
        <w:t>revolution</w:t>
      </w:r>
      <w:r w:rsidR="0013032F" w:rsidRPr="002E1560">
        <w:t xml:space="preserve"> </w:t>
      </w:r>
      <w:r w:rsidRPr="002E1560">
        <w:t>is</w:t>
      </w:r>
      <w:r w:rsidR="0013032F" w:rsidRPr="002E1560">
        <w:t xml:space="preserve"> </w:t>
      </w:r>
      <w:r w:rsidRPr="002E1560">
        <w:t>being</w:t>
      </w:r>
      <w:r w:rsidR="0013032F" w:rsidRPr="002E1560">
        <w:t xml:space="preserve"> </w:t>
      </w:r>
      <w:r w:rsidRPr="002E1560">
        <w:t>led</w:t>
      </w:r>
      <w:r w:rsidR="0013032F" w:rsidRPr="002E1560">
        <w:t xml:space="preserve"> </w:t>
      </w:r>
      <w:r w:rsidRPr="002E1560">
        <w:t>by</w:t>
      </w:r>
      <w:r w:rsidR="0013032F" w:rsidRPr="002E1560">
        <w:t xml:space="preserve"> </w:t>
      </w:r>
      <w:r w:rsidRPr="002E1560">
        <w:t>artificial</w:t>
      </w:r>
      <w:r w:rsidR="0013032F" w:rsidRPr="002E1560">
        <w:t xml:space="preserve"> </w:t>
      </w:r>
      <w:r w:rsidRPr="002E1560">
        <w:t>intelligence,</w:t>
      </w:r>
      <w:r w:rsidR="0013032F" w:rsidRPr="002E1560">
        <w:t xml:space="preserve"> </w:t>
      </w:r>
      <w:r w:rsidRPr="002E1560">
        <w:t>autonomous</w:t>
      </w:r>
      <w:r w:rsidR="0013032F" w:rsidRPr="002E1560">
        <w:t xml:space="preserve"> </w:t>
      </w:r>
      <w:r w:rsidRPr="002E1560">
        <w:t>robots,</w:t>
      </w:r>
      <w:r w:rsidR="0013032F" w:rsidRPr="002E1560">
        <w:t xml:space="preserve"> </w:t>
      </w:r>
      <w:r w:rsidRPr="002E1560">
        <w:t>big</w:t>
      </w:r>
      <w:r w:rsidR="0013032F" w:rsidRPr="002E1560">
        <w:t xml:space="preserve"> </w:t>
      </w:r>
      <w:r w:rsidRPr="002E1560">
        <w:t>data,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Internet</w:t>
      </w:r>
      <w:r w:rsidR="0013032F" w:rsidRPr="002E1560">
        <w:t xml:space="preserve"> </w:t>
      </w:r>
      <w:r w:rsidRPr="002E1560">
        <w:t>of</w:t>
      </w:r>
      <w:r w:rsidR="0013032F" w:rsidRPr="002E1560">
        <w:t xml:space="preserve"> </w:t>
      </w:r>
      <w:r w:rsidRPr="002E1560">
        <w:t>Things</w:t>
      </w:r>
      <w:r w:rsidR="0013032F" w:rsidRPr="002E1560">
        <w:t xml:space="preserve"> </w:t>
      </w:r>
      <w:r w:rsidRPr="002E1560">
        <w:t>and</w:t>
      </w:r>
      <w:r w:rsidR="0013032F" w:rsidRPr="002E1560">
        <w:t xml:space="preserve"> </w:t>
      </w:r>
      <w:r w:rsidRPr="002E1560">
        <w:t>augmented</w:t>
      </w:r>
      <w:r w:rsidR="0013032F" w:rsidRPr="002E1560">
        <w:t xml:space="preserve"> </w:t>
      </w:r>
      <w:r w:rsidRPr="002E1560">
        <w:t>reality</w:t>
      </w:r>
      <w:r w:rsidR="0013032F" w:rsidRPr="002E1560">
        <w:t xml:space="preserve"> </w:t>
      </w:r>
      <w:r w:rsidRPr="002E1560">
        <w:t>as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forefront</w:t>
      </w:r>
      <w:r w:rsidR="0013032F" w:rsidRPr="002E1560">
        <w:t xml:space="preserve"> </w:t>
      </w:r>
      <w:r w:rsidRPr="002E1560">
        <w:t>of</w:t>
      </w:r>
      <w:r w:rsidR="0013032F" w:rsidRPr="002E1560">
        <w:t xml:space="preserve"> </w:t>
      </w:r>
      <w:r w:rsidRPr="002E1560">
        <w:t>Industry</w:t>
      </w:r>
      <w:r w:rsidR="0013032F" w:rsidRPr="002E1560">
        <w:t xml:space="preserve"> </w:t>
      </w:r>
      <w:r w:rsidRPr="002E1560">
        <w:t>4.0.</w:t>
      </w:r>
    </w:p>
    <w:p w14:paraId="58A4F728" w14:textId="041AAE98" w:rsidR="00757772" w:rsidRPr="002E1560" w:rsidRDefault="00305D3C" w:rsidP="002E1560">
      <w:r w:rsidRPr="002E1560">
        <w:t>With</w:t>
      </w:r>
      <w:r w:rsidR="0013032F" w:rsidRPr="002E1560">
        <w:t xml:space="preserve"> </w:t>
      </w:r>
      <w:r w:rsidRPr="002E1560">
        <w:t>Industry</w:t>
      </w:r>
      <w:r w:rsidR="0013032F" w:rsidRPr="002E1560">
        <w:t xml:space="preserve"> </w:t>
      </w:r>
      <w:r w:rsidRPr="002E1560">
        <w:t>4.0</w:t>
      </w:r>
      <w:r w:rsidR="0013032F" w:rsidRPr="002E1560">
        <w:t xml:space="preserve"> </w:t>
      </w:r>
      <w:r w:rsidRPr="002E1560">
        <w:t>jobs</w:t>
      </w:r>
      <w:r w:rsidR="0013032F" w:rsidRPr="002E1560">
        <w:t xml:space="preserve"> </w:t>
      </w:r>
      <w:r w:rsidRPr="002E1560">
        <w:t>increasing</w:t>
      </w:r>
      <w:r w:rsidR="0013032F" w:rsidRPr="002E1560">
        <w:t xml:space="preserve"> </w:t>
      </w:r>
      <w:r w:rsidRPr="002E1560">
        <w:t>by</w:t>
      </w:r>
      <w:r w:rsidR="0013032F" w:rsidRPr="002E1560">
        <w:t xml:space="preserve"> </w:t>
      </w:r>
      <w:r w:rsidRPr="002E1560">
        <w:t>67%</w:t>
      </w:r>
      <w:r w:rsidR="0013032F" w:rsidRPr="002E1560">
        <w:t xml:space="preserve"> </w:t>
      </w:r>
      <w:r w:rsidRPr="002E1560">
        <w:t>across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Loddon</w:t>
      </w:r>
      <w:r w:rsidR="0013032F" w:rsidRPr="002E1560">
        <w:t xml:space="preserve"> </w:t>
      </w:r>
      <w:r w:rsidRPr="002E1560">
        <w:t>Mallee</w:t>
      </w:r>
      <w:r w:rsidR="0013032F" w:rsidRPr="002E1560">
        <w:t xml:space="preserve"> </w:t>
      </w:r>
      <w:r w:rsidRPr="002E1560">
        <w:t>region</w:t>
      </w:r>
      <w:r w:rsidR="0013032F" w:rsidRPr="002E1560">
        <w:t xml:space="preserve"> </w:t>
      </w:r>
      <w:r w:rsidRPr="002E1560">
        <w:t>in</w:t>
      </w:r>
      <w:r w:rsidR="0013032F" w:rsidRPr="002E1560">
        <w:t xml:space="preserve"> </w:t>
      </w:r>
      <w:r w:rsidRPr="002E1560">
        <w:t>one</w:t>
      </w:r>
      <w:r w:rsidR="0013032F" w:rsidRPr="002E1560">
        <w:t xml:space="preserve"> </w:t>
      </w:r>
      <w:r w:rsidRPr="002E1560">
        <w:t>year,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RDA</w:t>
      </w:r>
      <w:r w:rsidR="0013032F" w:rsidRPr="002E1560">
        <w:t xml:space="preserve"> </w:t>
      </w:r>
      <w:r w:rsidRPr="002E1560">
        <w:t>Loddon</w:t>
      </w:r>
      <w:r w:rsidR="0013032F" w:rsidRPr="002E1560">
        <w:t xml:space="preserve"> </w:t>
      </w:r>
      <w:r w:rsidRPr="002E1560">
        <w:t>Mallee</w:t>
      </w:r>
      <w:r w:rsidR="0013032F" w:rsidRPr="002E1560">
        <w:t xml:space="preserve"> </w:t>
      </w:r>
      <w:r w:rsidRPr="002E1560">
        <w:t>Committee</w:t>
      </w:r>
      <w:r w:rsidR="0013032F" w:rsidRPr="002E1560">
        <w:t xml:space="preserve"> </w:t>
      </w:r>
      <w:r w:rsidRPr="002E1560">
        <w:t>has</w:t>
      </w:r>
      <w:r w:rsidR="0013032F" w:rsidRPr="002E1560">
        <w:t xml:space="preserve"> </w:t>
      </w:r>
      <w:r w:rsidRPr="002E1560">
        <w:t>taken</w:t>
      </w:r>
      <w:r w:rsidR="0013032F" w:rsidRPr="002E1560">
        <w:t xml:space="preserve"> </w:t>
      </w:r>
      <w:r w:rsidRPr="002E1560">
        <w:t>an</w:t>
      </w:r>
      <w:r w:rsidR="0013032F" w:rsidRPr="002E1560">
        <w:t xml:space="preserve"> </w:t>
      </w:r>
      <w:r w:rsidRPr="002E1560">
        <w:t>interest</w:t>
      </w:r>
      <w:r w:rsidR="0013032F" w:rsidRPr="002E1560">
        <w:t xml:space="preserve"> </w:t>
      </w:r>
      <w:r w:rsidRPr="002E1560">
        <w:t>in</w:t>
      </w:r>
      <w:r w:rsidR="0013032F" w:rsidRPr="002E1560">
        <w:t xml:space="preserve"> </w:t>
      </w:r>
      <w:r w:rsidRPr="002E1560">
        <w:t>what</w:t>
      </w:r>
      <w:r w:rsidR="0013032F" w:rsidRPr="002E1560">
        <w:t xml:space="preserve"> </w:t>
      </w:r>
      <w:r w:rsidRPr="002E1560">
        <w:t>it</w:t>
      </w:r>
      <w:r w:rsidR="0013032F" w:rsidRPr="002E1560">
        <w:t xml:space="preserve"> </w:t>
      </w:r>
      <w:r w:rsidRPr="002E1560">
        <w:t>can</w:t>
      </w:r>
      <w:r w:rsidR="0013032F" w:rsidRPr="002E1560">
        <w:t xml:space="preserve"> </w:t>
      </w:r>
      <w:r w:rsidRPr="002E1560">
        <w:t>do</w:t>
      </w:r>
      <w:r w:rsidR="0013032F" w:rsidRPr="002E1560">
        <w:t xml:space="preserve"> </w:t>
      </w:r>
      <w:r w:rsidRPr="002E1560">
        <w:t>to</w:t>
      </w:r>
      <w:r w:rsidR="0013032F" w:rsidRPr="002E1560">
        <w:t xml:space="preserve"> </w:t>
      </w:r>
      <w:r w:rsidRPr="002E1560">
        <w:t>support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growth</w:t>
      </w:r>
      <w:r w:rsidR="0013032F" w:rsidRPr="002E1560">
        <w:t xml:space="preserve"> </w:t>
      </w:r>
      <w:r w:rsidRPr="002E1560">
        <w:t>of</w:t>
      </w:r>
      <w:r w:rsidR="0013032F" w:rsidRPr="002E1560">
        <w:t xml:space="preserve"> </w:t>
      </w:r>
      <w:r w:rsidRPr="002E1560">
        <w:t>this</w:t>
      </w:r>
      <w:r w:rsidR="0013032F" w:rsidRPr="002E1560">
        <w:t xml:space="preserve"> </w:t>
      </w:r>
      <w:r w:rsidRPr="002E1560">
        <w:t>sector,</w:t>
      </w:r>
      <w:r w:rsidR="0013032F" w:rsidRPr="002E1560">
        <w:t xml:space="preserve"> </w:t>
      </w:r>
      <w:r w:rsidRPr="002E1560">
        <w:t>partnering</w:t>
      </w:r>
      <w:r w:rsidR="0013032F" w:rsidRPr="002E1560">
        <w:t xml:space="preserve"> </w:t>
      </w:r>
      <w:r w:rsidRPr="002E1560">
        <w:t>with</w:t>
      </w:r>
      <w:r w:rsidR="0013032F" w:rsidRPr="002E1560">
        <w:t xml:space="preserve"> </w:t>
      </w:r>
      <w:r w:rsidRPr="002E1560">
        <w:t>consultant</w:t>
      </w:r>
      <w:r w:rsidR="0013032F" w:rsidRPr="002E1560">
        <w:t xml:space="preserve"> </w:t>
      </w:r>
      <w:r w:rsidRPr="002E1560">
        <w:t>group</w:t>
      </w:r>
      <w:r w:rsidR="0013032F" w:rsidRPr="002E1560">
        <w:t xml:space="preserve"> </w:t>
      </w:r>
      <w:r w:rsidRPr="002E1560">
        <w:t>Delos</w:t>
      </w:r>
      <w:r w:rsidR="0013032F" w:rsidRPr="002E1560">
        <w:t xml:space="preserve"> </w:t>
      </w:r>
      <w:r w:rsidRPr="002E1560">
        <w:t>Delta</w:t>
      </w:r>
      <w:r w:rsidR="0013032F" w:rsidRPr="002E1560">
        <w:t xml:space="preserve"> </w:t>
      </w:r>
      <w:r w:rsidRPr="002E1560">
        <w:t>to</w:t>
      </w:r>
      <w:r w:rsidR="0013032F" w:rsidRPr="002E1560">
        <w:t xml:space="preserve"> </w:t>
      </w:r>
      <w:r w:rsidRPr="002E1560">
        <w:t>understand</w:t>
      </w:r>
      <w:r w:rsidR="0013032F" w:rsidRPr="002E1560">
        <w:t xml:space="preserve"> </w:t>
      </w:r>
      <w:r w:rsidRPr="002E1560">
        <w:t>where</w:t>
      </w:r>
      <w:r w:rsidR="0013032F" w:rsidRPr="002E1560">
        <w:t xml:space="preserve"> </w:t>
      </w:r>
      <w:r w:rsidRPr="002E1560">
        <w:t>its</w:t>
      </w:r>
      <w:r w:rsidR="0013032F" w:rsidRPr="002E1560">
        <w:t xml:space="preserve"> </w:t>
      </w:r>
      <w:r w:rsidRPr="002E1560">
        <w:t>competitive</w:t>
      </w:r>
      <w:r w:rsidR="0013032F" w:rsidRPr="002E1560">
        <w:t xml:space="preserve"> </w:t>
      </w:r>
      <w:r w:rsidRPr="002E1560">
        <w:t>strengths</w:t>
      </w:r>
      <w:r w:rsidR="0013032F" w:rsidRPr="002E1560">
        <w:t xml:space="preserve"> </w:t>
      </w:r>
      <w:r w:rsidRPr="002E1560">
        <w:t>lie</w:t>
      </w:r>
      <w:r w:rsidR="0013032F" w:rsidRPr="002E1560">
        <w:t xml:space="preserve"> </w:t>
      </w:r>
      <w:r w:rsidRPr="002E1560">
        <w:t>and</w:t>
      </w:r>
      <w:r w:rsidR="0013032F" w:rsidRPr="002E1560">
        <w:t xml:space="preserve"> </w:t>
      </w:r>
      <w:r w:rsidRPr="002E1560">
        <w:t>what</w:t>
      </w:r>
      <w:r w:rsidR="0013032F" w:rsidRPr="002E1560">
        <w:t xml:space="preserve"> </w:t>
      </w:r>
      <w:r w:rsidRPr="002E1560">
        <w:t>can</w:t>
      </w:r>
      <w:r w:rsidR="0013032F" w:rsidRPr="002E1560">
        <w:t xml:space="preserve"> </w:t>
      </w:r>
      <w:r w:rsidRPr="002E1560">
        <w:t>be</w:t>
      </w:r>
      <w:r w:rsidR="0013032F" w:rsidRPr="002E1560">
        <w:t xml:space="preserve"> </w:t>
      </w:r>
      <w:r w:rsidRPr="002E1560">
        <w:t>done</w:t>
      </w:r>
      <w:r w:rsidR="0013032F" w:rsidRPr="002E1560">
        <w:t xml:space="preserve"> </w:t>
      </w:r>
      <w:r w:rsidRPr="002E1560">
        <w:t>to</w:t>
      </w:r>
      <w:r w:rsidR="0013032F" w:rsidRPr="002E1560">
        <w:t xml:space="preserve"> </w:t>
      </w:r>
      <w:r w:rsidRPr="002E1560">
        <w:t>establish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right</w:t>
      </w:r>
      <w:r w:rsidR="0013032F" w:rsidRPr="002E1560">
        <w:t xml:space="preserve"> </w:t>
      </w:r>
      <w:r w:rsidRPr="002E1560">
        <w:t>environment</w:t>
      </w:r>
      <w:r w:rsidR="0013032F" w:rsidRPr="002E1560">
        <w:t xml:space="preserve"> </w:t>
      </w:r>
      <w:r w:rsidRPr="002E1560">
        <w:t>for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growth</w:t>
      </w:r>
      <w:r w:rsidR="0013032F" w:rsidRPr="002E1560">
        <w:t xml:space="preserve"> </w:t>
      </w:r>
      <w:r w:rsidRPr="002E1560">
        <w:t>of</w:t>
      </w:r>
      <w:r w:rsidR="0013032F" w:rsidRPr="002E1560">
        <w:t xml:space="preserve"> </w:t>
      </w:r>
      <w:r w:rsidRPr="002E1560">
        <w:t>this</w:t>
      </w:r>
      <w:r w:rsidR="0013032F" w:rsidRPr="002E1560">
        <w:t xml:space="preserve"> </w:t>
      </w:r>
      <w:r w:rsidRPr="002E1560">
        <w:t>sector.</w:t>
      </w:r>
    </w:p>
    <w:p w14:paraId="4BAA9F0F" w14:textId="44CB5A54" w:rsidR="00757772" w:rsidRPr="002E1560" w:rsidRDefault="00305D3C" w:rsidP="002E1560">
      <w:r w:rsidRPr="002E1560">
        <w:t>The</w:t>
      </w:r>
      <w:r w:rsidR="0013032F" w:rsidRPr="002E1560">
        <w:t xml:space="preserve"> </w:t>
      </w:r>
      <w:r w:rsidRPr="002E1560">
        <w:t>first</w:t>
      </w:r>
      <w:r w:rsidR="0013032F" w:rsidRPr="002E1560">
        <w:t xml:space="preserve"> </w:t>
      </w:r>
      <w:r w:rsidRPr="002E1560">
        <w:t>output</w:t>
      </w:r>
      <w:r w:rsidR="0013032F" w:rsidRPr="002E1560">
        <w:t xml:space="preserve"> </w:t>
      </w:r>
      <w:r w:rsidRPr="002E1560">
        <w:t>from</w:t>
      </w:r>
      <w:r w:rsidR="0013032F" w:rsidRPr="002E1560">
        <w:t xml:space="preserve"> </w:t>
      </w:r>
      <w:r w:rsidRPr="002E1560">
        <w:t>this</w:t>
      </w:r>
      <w:r w:rsidR="0013032F" w:rsidRPr="002E1560">
        <w:t xml:space="preserve"> </w:t>
      </w:r>
      <w:r w:rsidRPr="002E1560">
        <w:t>work</w:t>
      </w:r>
      <w:r w:rsidR="0013032F" w:rsidRPr="002E1560">
        <w:t xml:space="preserve"> </w:t>
      </w:r>
      <w:r w:rsidRPr="002E1560">
        <w:t>was</w:t>
      </w:r>
      <w:r w:rsidR="0013032F" w:rsidRPr="002E1560">
        <w:t xml:space="preserve"> </w:t>
      </w:r>
      <w:r w:rsidRPr="002E1560">
        <w:t>a</w:t>
      </w:r>
      <w:r w:rsidR="0013032F" w:rsidRPr="002E1560">
        <w:t xml:space="preserve"> </w:t>
      </w:r>
      <w:r w:rsidRPr="002E1560">
        <w:t>maturity</w:t>
      </w:r>
      <w:r w:rsidR="0013032F" w:rsidRPr="002E1560">
        <w:t xml:space="preserve"> </w:t>
      </w:r>
      <w:r w:rsidRPr="002E1560">
        <w:t>assessment</w:t>
      </w:r>
      <w:r w:rsidR="0013032F" w:rsidRPr="002E1560">
        <w:t xml:space="preserve"> </w:t>
      </w:r>
      <w:r w:rsidRPr="002E1560">
        <w:t>for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region,</w:t>
      </w:r>
      <w:r w:rsidR="0013032F" w:rsidRPr="002E1560">
        <w:t xml:space="preserve"> </w:t>
      </w:r>
      <w:r w:rsidRPr="002E1560">
        <w:t>a</w:t>
      </w:r>
      <w:r w:rsidR="0013032F" w:rsidRPr="002E1560">
        <w:t xml:space="preserve"> </w:t>
      </w:r>
      <w:r w:rsidRPr="002E1560">
        <w:t>report</w:t>
      </w:r>
      <w:r w:rsidR="0013032F" w:rsidRPr="002E1560">
        <w:t xml:space="preserve"> </w:t>
      </w:r>
      <w:r w:rsidRPr="002E1560">
        <w:t>that</w:t>
      </w:r>
      <w:r w:rsidR="0013032F" w:rsidRPr="002E1560">
        <w:t xml:space="preserve"> </w:t>
      </w:r>
      <w:r w:rsidRPr="002E1560">
        <w:t>has</w:t>
      </w:r>
      <w:r w:rsidR="0013032F" w:rsidRPr="002E1560">
        <w:t xml:space="preserve"> </w:t>
      </w:r>
      <w:r w:rsidRPr="002E1560">
        <w:t>identified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region’s</w:t>
      </w:r>
      <w:r w:rsidR="0013032F" w:rsidRPr="002E1560">
        <w:t xml:space="preserve"> </w:t>
      </w:r>
      <w:r w:rsidRPr="002E1560">
        <w:t>competitive</w:t>
      </w:r>
      <w:r w:rsidR="0013032F" w:rsidRPr="002E1560">
        <w:t xml:space="preserve"> </w:t>
      </w:r>
      <w:r w:rsidRPr="002E1560">
        <w:t>advantages</w:t>
      </w:r>
      <w:r w:rsidR="0013032F" w:rsidRPr="002E1560">
        <w:t xml:space="preserve"> </w:t>
      </w:r>
      <w:r w:rsidRPr="002E1560">
        <w:t>in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uptake</w:t>
      </w:r>
      <w:r w:rsidR="0013032F" w:rsidRPr="002E1560">
        <w:t xml:space="preserve"> </w:t>
      </w:r>
      <w:r w:rsidRPr="002E1560">
        <w:t>of</w:t>
      </w:r>
      <w:r w:rsidR="0013032F" w:rsidRPr="002E1560">
        <w:t xml:space="preserve"> </w:t>
      </w:r>
      <w:r w:rsidRPr="002E1560">
        <w:t>Industry</w:t>
      </w:r>
      <w:r w:rsidR="0013032F" w:rsidRPr="002E1560">
        <w:t xml:space="preserve"> </w:t>
      </w:r>
      <w:r w:rsidRPr="002E1560">
        <w:t>4.0</w:t>
      </w:r>
      <w:r w:rsidR="0013032F" w:rsidRPr="002E1560">
        <w:t xml:space="preserve"> </w:t>
      </w:r>
      <w:r w:rsidRPr="002E1560">
        <w:t>technologies,</w:t>
      </w:r>
      <w:r w:rsidR="0013032F" w:rsidRPr="002E1560">
        <w:t xml:space="preserve"> </w:t>
      </w:r>
      <w:r w:rsidRPr="002E1560">
        <w:t>especially</w:t>
      </w:r>
      <w:r w:rsidR="0013032F" w:rsidRPr="002E1560">
        <w:t xml:space="preserve"> </w:t>
      </w:r>
      <w:r w:rsidRPr="002E1560">
        <w:t>in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healthcare,</w:t>
      </w:r>
      <w:r w:rsidR="0013032F" w:rsidRPr="002E1560">
        <w:t xml:space="preserve"> </w:t>
      </w:r>
      <w:r w:rsidRPr="002E1560">
        <w:t>agricultural</w:t>
      </w:r>
      <w:r w:rsidR="0013032F" w:rsidRPr="002E1560">
        <w:t xml:space="preserve"> </w:t>
      </w:r>
      <w:r w:rsidRPr="002E1560">
        <w:t>and</w:t>
      </w:r>
      <w:r w:rsidR="0013032F" w:rsidRPr="002E1560">
        <w:t xml:space="preserve"> </w:t>
      </w:r>
      <w:r w:rsidRPr="002E1560">
        <w:t>advanced</w:t>
      </w:r>
      <w:r w:rsidR="0013032F" w:rsidRPr="002E1560">
        <w:t xml:space="preserve"> </w:t>
      </w:r>
      <w:r w:rsidRPr="002E1560">
        <w:t>manufacturing</w:t>
      </w:r>
      <w:r w:rsidR="0013032F" w:rsidRPr="002E1560">
        <w:t xml:space="preserve"> </w:t>
      </w:r>
      <w:r w:rsidRPr="002E1560">
        <w:t>sectors.</w:t>
      </w:r>
    </w:p>
    <w:p w14:paraId="6BA4E102" w14:textId="0A3F34AF" w:rsidR="00757772" w:rsidRPr="002E1560" w:rsidRDefault="00305D3C" w:rsidP="002E1560">
      <w:r w:rsidRPr="002E1560">
        <w:t>RDA</w:t>
      </w:r>
      <w:r w:rsidR="0013032F" w:rsidRPr="002E1560">
        <w:t xml:space="preserve"> </w:t>
      </w:r>
      <w:r w:rsidRPr="002E1560">
        <w:t>Loddon</w:t>
      </w:r>
      <w:r w:rsidR="0013032F" w:rsidRPr="002E1560">
        <w:t xml:space="preserve"> </w:t>
      </w:r>
      <w:r w:rsidRPr="002E1560">
        <w:t>Mallee’s</w:t>
      </w:r>
      <w:r w:rsidR="0013032F" w:rsidRPr="002E1560">
        <w:t xml:space="preserve"> </w:t>
      </w:r>
      <w:r w:rsidRPr="002E1560">
        <w:t>work</w:t>
      </w:r>
      <w:r w:rsidR="0013032F" w:rsidRPr="002E1560">
        <w:t xml:space="preserve"> </w:t>
      </w:r>
      <w:r w:rsidRPr="002E1560">
        <w:t>has</w:t>
      </w:r>
      <w:r w:rsidR="0013032F" w:rsidRPr="002E1560">
        <w:t xml:space="preserve"> </w:t>
      </w:r>
      <w:r w:rsidRPr="002E1560">
        <w:t>also</w:t>
      </w:r>
      <w:r w:rsidR="0013032F" w:rsidRPr="002E1560">
        <w:t xml:space="preserve"> </w:t>
      </w:r>
      <w:r w:rsidRPr="002E1560">
        <w:t>resulted</w:t>
      </w:r>
      <w:r w:rsidR="0013032F" w:rsidRPr="002E1560">
        <w:t xml:space="preserve"> </w:t>
      </w:r>
      <w:r w:rsidRPr="002E1560">
        <w:t>in</w:t>
      </w:r>
      <w:r w:rsidR="0013032F" w:rsidRPr="002E1560">
        <w:t xml:space="preserve"> </w:t>
      </w:r>
      <w:r w:rsidRPr="002E1560">
        <w:t>an</w:t>
      </w:r>
      <w:r w:rsidR="0013032F" w:rsidRPr="002E1560">
        <w:t xml:space="preserve"> </w:t>
      </w:r>
      <w:r w:rsidRPr="002E1560">
        <w:t>investment</w:t>
      </w:r>
      <w:r w:rsidR="0013032F" w:rsidRPr="002E1560">
        <w:t xml:space="preserve"> </w:t>
      </w:r>
      <w:r w:rsidRPr="002E1560">
        <w:t>prospectus</w:t>
      </w:r>
      <w:r w:rsidR="0013032F" w:rsidRPr="002E1560">
        <w:t xml:space="preserve"> </w:t>
      </w:r>
      <w:r w:rsidRPr="002E1560">
        <w:t>designed</w:t>
      </w:r>
      <w:r w:rsidR="0013032F" w:rsidRPr="002E1560">
        <w:t xml:space="preserve"> </w:t>
      </w:r>
      <w:r w:rsidRPr="002E1560">
        <w:t>to</w:t>
      </w:r>
      <w:r w:rsidR="0013032F" w:rsidRPr="002E1560">
        <w:t xml:space="preserve"> </w:t>
      </w:r>
      <w:r w:rsidRPr="002E1560">
        <w:t>attract</w:t>
      </w:r>
      <w:r w:rsidR="0013032F" w:rsidRPr="002E1560">
        <w:t xml:space="preserve"> </w:t>
      </w:r>
      <w:r w:rsidRPr="002E1560">
        <w:t>potential</w:t>
      </w:r>
      <w:r w:rsidR="0013032F" w:rsidRPr="002E1560">
        <w:t xml:space="preserve"> </w:t>
      </w:r>
      <w:r w:rsidRPr="002E1560">
        <w:t>businesses</w:t>
      </w:r>
      <w:r w:rsidR="0013032F" w:rsidRPr="002E1560">
        <w:t xml:space="preserve"> </w:t>
      </w:r>
      <w:r w:rsidRPr="002E1560">
        <w:t>to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region</w:t>
      </w:r>
      <w:r w:rsidR="0013032F" w:rsidRPr="002E1560">
        <w:t xml:space="preserve"> </w:t>
      </w:r>
      <w:r w:rsidRPr="002E1560">
        <w:t>and</w:t>
      </w:r>
      <w:r w:rsidR="0013032F" w:rsidRPr="002E1560">
        <w:t xml:space="preserve"> </w:t>
      </w:r>
      <w:r w:rsidRPr="002E1560">
        <w:t>an</w:t>
      </w:r>
      <w:r w:rsidR="0013032F" w:rsidRPr="002E1560">
        <w:t xml:space="preserve"> </w:t>
      </w:r>
      <w:r w:rsidRPr="002E1560">
        <w:t>action</w:t>
      </w:r>
      <w:r w:rsidR="0013032F" w:rsidRPr="002E1560">
        <w:t xml:space="preserve"> </w:t>
      </w:r>
      <w:r w:rsidRPr="002E1560">
        <w:t>plan</w:t>
      </w:r>
      <w:r w:rsidR="0013032F" w:rsidRPr="002E1560">
        <w:t xml:space="preserve"> </w:t>
      </w:r>
      <w:r w:rsidRPr="002E1560">
        <w:t>to</w:t>
      </w:r>
      <w:r w:rsidR="0013032F" w:rsidRPr="002E1560">
        <w:t xml:space="preserve"> </w:t>
      </w:r>
      <w:r w:rsidRPr="002E1560">
        <w:t>help</w:t>
      </w:r>
      <w:r w:rsidR="0013032F" w:rsidRPr="002E1560">
        <w:t xml:space="preserve"> </w:t>
      </w:r>
      <w:r w:rsidRPr="002E1560">
        <w:t>improve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attractiveness</w:t>
      </w:r>
      <w:r w:rsidR="0013032F" w:rsidRPr="002E1560">
        <w:t xml:space="preserve"> </w:t>
      </w:r>
      <w:r w:rsidRPr="002E1560">
        <w:t>of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region</w:t>
      </w:r>
      <w:r w:rsidR="0013032F" w:rsidRPr="002E1560">
        <w:t xml:space="preserve"> </w:t>
      </w:r>
      <w:r w:rsidRPr="002E1560">
        <w:t>to</w:t>
      </w:r>
      <w:r w:rsidR="0013032F" w:rsidRPr="002E1560">
        <w:t xml:space="preserve"> </w:t>
      </w:r>
      <w:r w:rsidRPr="002E1560">
        <w:t>high</w:t>
      </w:r>
      <w:r w:rsidR="0013032F" w:rsidRPr="002E1560">
        <w:t xml:space="preserve"> </w:t>
      </w:r>
      <w:r w:rsidRPr="002E1560">
        <w:t>tech</w:t>
      </w:r>
      <w:r w:rsidR="0013032F" w:rsidRPr="002E1560">
        <w:t xml:space="preserve"> </w:t>
      </w:r>
      <w:r w:rsidRPr="002E1560">
        <w:t>businesses.</w:t>
      </w:r>
    </w:p>
    <w:p w14:paraId="0172342B" w14:textId="4BBC1C81" w:rsidR="00757772" w:rsidRDefault="00305D3C" w:rsidP="002E1560">
      <w:pPr>
        <w:pStyle w:val="Heading2"/>
      </w:pPr>
      <w:bookmarkStart w:id="34" w:name="_Toc149566580"/>
      <w:r>
        <w:t>Melbourne</w:t>
      </w:r>
      <w:r w:rsidR="0013032F">
        <w:t xml:space="preserve"> </w:t>
      </w:r>
      <w:r>
        <w:t>case</w:t>
      </w:r>
      <w:r w:rsidR="0013032F">
        <w:t xml:space="preserve"> </w:t>
      </w:r>
      <w:r>
        <w:t>study</w:t>
      </w:r>
      <w:bookmarkEnd w:id="34"/>
    </w:p>
    <w:p w14:paraId="1547F5B1" w14:textId="2F32EEC4" w:rsidR="00757772" w:rsidRPr="002E1560" w:rsidRDefault="00305D3C" w:rsidP="002E1560">
      <w:pPr>
        <w:pStyle w:val="Normalbeforebullets"/>
        <w:rPr>
          <w:b/>
          <w:bCs/>
        </w:rPr>
      </w:pPr>
      <w:r w:rsidRPr="002E1560">
        <w:rPr>
          <w:b/>
          <w:bCs/>
        </w:rPr>
        <w:t>2023</w:t>
      </w:r>
      <w:r w:rsidR="0013032F" w:rsidRPr="002E1560">
        <w:rPr>
          <w:b/>
          <w:bCs/>
        </w:rPr>
        <w:t xml:space="preserve"> </w:t>
      </w:r>
      <w:r w:rsidRPr="002E1560">
        <w:rPr>
          <w:b/>
          <w:bCs/>
        </w:rPr>
        <w:t>Avalon</w:t>
      </w:r>
      <w:r w:rsidR="0013032F" w:rsidRPr="002E1560">
        <w:rPr>
          <w:b/>
          <w:bCs/>
        </w:rPr>
        <w:t xml:space="preserve"> </w:t>
      </w:r>
      <w:proofErr w:type="spellStart"/>
      <w:r w:rsidRPr="002E1560">
        <w:rPr>
          <w:b/>
          <w:bCs/>
        </w:rPr>
        <w:t>Airshow</w:t>
      </w:r>
      <w:proofErr w:type="spellEnd"/>
      <w:r w:rsidR="0013032F" w:rsidRPr="002E1560">
        <w:rPr>
          <w:b/>
          <w:bCs/>
        </w:rPr>
        <w:t xml:space="preserve"> </w:t>
      </w:r>
      <w:r w:rsidRPr="002E1560">
        <w:rPr>
          <w:b/>
          <w:bCs/>
        </w:rPr>
        <w:t>advanced</w:t>
      </w:r>
      <w:r w:rsidR="0013032F" w:rsidRPr="002E1560">
        <w:rPr>
          <w:b/>
          <w:bCs/>
        </w:rPr>
        <w:t xml:space="preserve"> </w:t>
      </w:r>
      <w:r w:rsidRPr="002E1560">
        <w:rPr>
          <w:b/>
          <w:bCs/>
        </w:rPr>
        <w:t>manufacturing</w:t>
      </w:r>
      <w:r w:rsidR="0013032F" w:rsidRPr="002E1560">
        <w:rPr>
          <w:b/>
          <w:bCs/>
        </w:rPr>
        <w:t xml:space="preserve"> </w:t>
      </w:r>
      <w:r w:rsidRPr="002E1560">
        <w:rPr>
          <w:b/>
          <w:bCs/>
        </w:rPr>
        <w:t>event</w:t>
      </w:r>
    </w:p>
    <w:p w14:paraId="04A95741" w14:textId="2DA13427" w:rsidR="00757772" w:rsidRPr="002E1560" w:rsidRDefault="00305D3C" w:rsidP="002E1560">
      <w:r w:rsidRPr="002E1560">
        <w:t>The</w:t>
      </w:r>
      <w:r w:rsidR="0013032F" w:rsidRPr="002E1560">
        <w:t xml:space="preserve"> </w:t>
      </w:r>
      <w:r w:rsidRPr="002E1560">
        <w:t>RDA</w:t>
      </w:r>
      <w:r w:rsidR="0013032F" w:rsidRPr="002E1560">
        <w:t xml:space="preserve"> </w:t>
      </w:r>
      <w:r w:rsidRPr="002E1560">
        <w:t>Melbourne</w:t>
      </w:r>
      <w:r w:rsidR="0013032F" w:rsidRPr="002E1560">
        <w:t xml:space="preserve"> </w:t>
      </w:r>
      <w:r w:rsidRPr="002E1560">
        <w:t>Committee</w:t>
      </w:r>
      <w:r w:rsidR="0013032F" w:rsidRPr="002E1560">
        <w:t xml:space="preserve"> </w:t>
      </w:r>
      <w:r w:rsidRPr="002E1560">
        <w:t>noted</w:t>
      </w:r>
      <w:r w:rsidR="0013032F" w:rsidRPr="002E1560">
        <w:t xml:space="preserve"> </w:t>
      </w:r>
      <w:r w:rsidRPr="002E1560">
        <w:t>that</w:t>
      </w:r>
      <w:r w:rsidR="0013032F" w:rsidRPr="002E1560">
        <w:t xml:space="preserve"> </w:t>
      </w:r>
      <w:r w:rsidRPr="002E1560">
        <w:t>a</w:t>
      </w:r>
      <w:r w:rsidR="0013032F" w:rsidRPr="002E1560">
        <w:t xml:space="preserve"> </w:t>
      </w:r>
      <w:r w:rsidRPr="002E1560">
        <w:t>number</w:t>
      </w:r>
      <w:r w:rsidR="0013032F" w:rsidRPr="002E1560">
        <w:t xml:space="preserve"> </w:t>
      </w:r>
      <w:r w:rsidRPr="002E1560">
        <w:t>of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Victorian</w:t>
      </w:r>
      <w:r w:rsidR="0013032F" w:rsidRPr="002E1560">
        <w:t xml:space="preserve"> </w:t>
      </w:r>
      <w:r w:rsidRPr="002E1560">
        <w:t>regional</w:t>
      </w:r>
      <w:r w:rsidR="0013032F" w:rsidRPr="002E1560">
        <w:t xml:space="preserve"> </w:t>
      </w:r>
      <w:r w:rsidRPr="002E1560">
        <w:t>economic</w:t>
      </w:r>
      <w:r w:rsidR="0013032F" w:rsidRPr="002E1560">
        <w:t xml:space="preserve"> </w:t>
      </w:r>
      <w:r w:rsidRPr="002E1560">
        <w:t>development</w:t>
      </w:r>
      <w:r w:rsidR="0013032F" w:rsidRPr="002E1560">
        <w:t xml:space="preserve"> </w:t>
      </w:r>
      <w:r w:rsidRPr="002E1560">
        <w:t>strategies</w:t>
      </w:r>
      <w:r w:rsidR="0013032F" w:rsidRPr="002E1560">
        <w:t xml:space="preserve"> </w:t>
      </w:r>
      <w:r w:rsidRPr="002E1560">
        <w:t>(REDS)</w:t>
      </w:r>
      <w:r w:rsidR="0013032F" w:rsidRPr="002E1560">
        <w:t xml:space="preserve"> </w:t>
      </w:r>
      <w:r w:rsidRPr="002E1560">
        <w:t>related</w:t>
      </w:r>
      <w:r w:rsidR="0013032F" w:rsidRPr="002E1560">
        <w:t xml:space="preserve"> </w:t>
      </w:r>
      <w:r w:rsidRPr="002E1560">
        <w:t>to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promotion</w:t>
      </w:r>
      <w:r w:rsidR="0013032F" w:rsidRPr="002E1560">
        <w:t xml:space="preserve"> </w:t>
      </w:r>
      <w:r w:rsidRPr="002E1560">
        <w:t>of</w:t>
      </w:r>
      <w:r w:rsidR="0013032F" w:rsidRPr="002E1560">
        <w:t xml:space="preserve"> </w:t>
      </w:r>
      <w:r w:rsidRPr="002E1560">
        <w:t>advanced</w:t>
      </w:r>
      <w:r w:rsidR="0013032F" w:rsidRPr="002E1560">
        <w:t xml:space="preserve"> </w:t>
      </w:r>
      <w:r w:rsidRPr="002E1560">
        <w:t>manufacturing,</w:t>
      </w:r>
      <w:r w:rsidR="0013032F" w:rsidRPr="002E1560">
        <w:t xml:space="preserve"> </w:t>
      </w:r>
      <w:r w:rsidRPr="002E1560">
        <w:t>Industry</w:t>
      </w:r>
      <w:r w:rsidR="0013032F" w:rsidRPr="002E1560">
        <w:t xml:space="preserve"> </w:t>
      </w:r>
      <w:r w:rsidRPr="002E1560">
        <w:t>4.0</w:t>
      </w:r>
      <w:r w:rsidR="0013032F" w:rsidRPr="002E1560">
        <w:t xml:space="preserve"> </w:t>
      </w:r>
      <w:r w:rsidRPr="002E1560">
        <w:t>and</w:t>
      </w:r>
      <w:r w:rsidR="0013032F" w:rsidRPr="002E1560">
        <w:t xml:space="preserve"> </w:t>
      </w:r>
      <w:r w:rsidRPr="002E1560">
        <w:t>innovation</w:t>
      </w:r>
      <w:r w:rsidR="0013032F" w:rsidRPr="002E1560">
        <w:t xml:space="preserve"> </w:t>
      </w:r>
      <w:r w:rsidRPr="002E1560">
        <w:t>in</w:t>
      </w:r>
      <w:r w:rsidR="0013032F" w:rsidRPr="002E1560">
        <w:t xml:space="preserve"> </w:t>
      </w:r>
      <w:r w:rsidRPr="002E1560">
        <w:t>their</w:t>
      </w:r>
      <w:r w:rsidR="0013032F" w:rsidRPr="002E1560">
        <w:t xml:space="preserve"> </w:t>
      </w:r>
      <w:r w:rsidRPr="002E1560">
        <w:t>respective</w:t>
      </w:r>
      <w:r w:rsidR="0013032F" w:rsidRPr="002E1560">
        <w:t xml:space="preserve"> </w:t>
      </w:r>
      <w:r w:rsidRPr="002E1560">
        <w:t>regions.</w:t>
      </w:r>
    </w:p>
    <w:p w14:paraId="6F851052" w14:textId="6A59CCBB" w:rsidR="00757772" w:rsidRPr="002E1560" w:rsidRDefault="00305D3C" w:rsidP="002E1560">
      <w:r w:rsidRPr="002E1560">
        <w:t>Drawing</w:t>
      </w:r>
      <w:r w:rsidR="0013032F" w:rsidRPr="002E1560">
        <w:t xml:space="preserve"> </w:t>
      </w:r>
      <w:r w:rsidRPr="002E1560">
        <w:t>on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knowledge</w:t>
      </w:r>
      <w:r w:rsidR="0013032F" w:rsidRPr="002E1560">
        <w:t xml:space="preserve"> </w:t>
      </w:r>
      <w:r w:rsidRPr="002E1560">
        <w:t>and</w:t>
      </w:r>
      <w:r w:rsidR="0013032F" w:rsidRPr="002E1560">
        <w:t xml:space="preserve"> </w:t>
      </w:r>
      <w:r w:rsidRPr="002E1560">
        <w:t>networks</w:t>
      </w:r>
      <w:r w:rsidR="0013032F" w:rsidRPr="002E1560">
        <w:t xml:space="preserve"> </w:t>
      </w:r>
      <w:r w:rsidRPr="002E1560">
        <w:t>of</w:t>
      </w:r>
      <w:r w:rsidR="0013032F" w:rsidRPr="002E1560">
        <w:t xml:space="preserve"> </w:t>
      </w:r>
      <w:r w:rsidRPr="002E1560">
        <w:t>RDA</w:t>
      </w:r>
      <w:r w:rsidR="0013032F" w:rsidRPr="002E1560">
        <w:t xml:space="preserve"> </w:t>
      </w:r>
      <w:r w:rsidRPr="002E1560">
        <w:t>Melbourne</w:t>
      </w:r>
      <w:r w:rsidR="0013032F" w:rsidRPr="002E1560">
        <w:t xml:space="preserve"> </w:t>
      </w:r>
      <w:r w:rsidRPr="002E1560">
        <w:t>Committee</w:t>
      </w:r>
      <w:r w:rsidR="0013032F" w:rsidRPr="002E1560">
        <w:t xml:space="preserve"> </w:t>
      </w:r>
      <w:r w:rsidRPr="002E1560">
        <w:t>members,</w:t>
      </w:r>
      <w:r w:rsidR="0013032F" w:rsidRPr="002E1560">
        <w:t xml:space="preserve"> </w:t>
      </w:r>
      <w:r w:rsidRPr="002E1560">
        <w:t>an</w:t>
      </w:r>
      <w:r w:rsidR="0013032F" w:rsidRPr="002E1560">
        <w:t xml:space="preserve"> </w:t>
      </w:r>
      <w:r w:rsidRPr="002E1560">
        <w:t>event</w:t>
      </w:r>
      <w:r w:rsidR="0013032F" w:rsidRPr="002E1560">
        <w:t xml:space="preserve"> </w:t>
      </w:r>
      <w:r w:rsidRPr="002E1560">
        <w:t>showcasing</w:t>
      </w:r>
      <w:r w:rsidR="0013032F" w:rsidRPr="002E1560">
        <w:t xml:space="preserve"> </w:t>
      </w:r>
      <w:r w:rsidRPr="002E1560">
        <w:t>advanced</w:t>
      </w:r>
      <w:r w:rsidR="0013032F" w:rsidRPr="002E1560">
        <w:t xml:space="preserve"> </w:t>
      </w:r>
      <w:r w:rsidRPr="002E1560">
        <w:t>manufacturing</w:t>
      </w:r>
      <w:r w:rsidR="0013032F" w:rsidRPr="002E1560">
        <w:t xml:space="preserve"> </w:t>
      </w:r>
      <w:r w:rsidRPr="002E1560">
        <w:t>was</w:t>
      </w:r>
      <w:r w:rsidR="0013032F" w:rsidRPr="002E1560">
        <w:t xml:space="preserve"> </w:t>
      </w:r>
      <w:r w:rsidRPr="002E1560">
        <w:t>put</w:t>
      </w:r>
      <w:r w:rsidR="0013032F" w:rsidRPr="002E1560">
        <w:t xml:space="preserve"> </w:t>
      </w:r>
      <w:r w:rsidRPr="002E1560">
        <w:t>together</w:t>
      </w:r>
      <w:r w:rsidR="0013032F" w:rsidRPr="002E1560">
        <w:t xml:space="preserve"> </w:t>
      </w:r>
      <w:r w:rsidRPr="002E1560">
        <w:t>by</w:t>
      </w:r>
      <w:r w:rsidR="0013032F" w:rsidRPr="002E1560">
        <w:t xml:space="preserve"> </w:t>
      </w:r>
      <w:r w:rsidRPr="002E1560">
        <w:t>RDA</w:t>
      </w:r>
      <w:r w:rsidR="0013032F" w:rsidRPr="002E1560">
        <w:t xml:space="preserve"> </w:t>
      </w:r>
      <w:r w:rsidRPr="002E1560">
        <w:t>Melbourne</w:t>
      </w:r>
      <w:r w:rsidR="0013032F" w:rsidRPr="002E1560">
        <w:t xml:space="preserve"> </w:t>
      </w:r>
      <w:r w:rsidRPr="002E1560">
        <w:t>and</w:t>
      </w:r>
      <w:r w:rsidR="0013032F" w:rsidRPr="002E1560">
        <w:t xml:space="preserve"> </w:t>
      </w:r>
      <w:r w:rsidRPr="002E1560">
        <w:t>held</w:t>
      </w:r>
      <w:r w:rsidR="0013032F" w:rsidRPr="002E1560">
        <w:t xml:space="preserve"> </w:t>
      </w:r>
      <w:r w:rsidRPr="002E1560">
        <w:t>at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Avalon</w:t>
      </w:r>
      <w:r w:rsidR="0013032F" w:rsidRPr="002E1560">
        <w:t xml:space="preserve"> </w:t>
      </w:r>
      <w:proofErr w:type="spellStart"/>
      <w:r w:rsidRPr="002E1560">
        <w:t>Airshow</w:t>
      </w:r>
      <w:proofErr w:type="spellEnd"/>
      <w:r w:rsidR="0013032F" w:rsidRPr="002E1560">
        <w:t xml:space="preserve"> </w:t>
      </w:r>
      <w:r w:rsidRPr="002E1560">
        <w:t>in</w:t>
      </w:r>
      <w:r w:rsidR="0013032F" w:rsidRPr="002E1560">
        <w:t xml:space="preserve"> </w:t>
      </w:r>
      <w:r w:rsidRPr="002E1560">
        <w:t>February</w:t>
      </w:r>
      <w:r w:rsidR="0013032F" w:rsidRPr="002E1560">
        <w:t xml:space="preserve"> </w:t>
      </w:r>
      <w:r w:rsidRPr="002E1560">
        <w:t>2023.</w:t>
      </w:r>
      <w:r w:rsidR="0013032F" w:rsidRPr="002E1560">
        <w:t xml:space="preserve"> </w:t>
      </w:r>
      <w:r w:rsidRPr="002E1560">
        <w:t>Victorian</w:t>
      </w:r>
      <w:r w:rsidR="0013032F" w:rsidRPr="002E1560">
        <w:t xml:space="preserve"> </w:t>
      </w:r>
      <w:r w:rsidRPr="002E1560">
        <w:t>regional</w:t>
      </w:r>
      <w:r w:rsidR="0013032F" w:rsidRPr="002E1560">
        <w:t xml:space="preserve"> </w:t>
      </w:r>
      <w:r w:rsidRPr="002E1560">
        <w:t>RDAs</w:t>
      </w:r>
      <w:r w:rsidR="0013032F" w:rsidRPr="002E1560">
        <w:t xml:space="preserve"> </w:t>
      </w:r>
      <w:r w:rsidRPr="002E1560">
        <w:t>and</w:t>
      </w:r>
      <w:r w:rsidR="0013032F" w:rsidRPr="002E1560">
        <w:t xml:space="preserve"> </w:t>
      </w:r>
      <w:r w:rsidRPr="002E1560">
        <w:t>their</w:t>
      </w:r>
      <w:r w:rsidR="0013032F" w:rsidRPr="002E1560">
        <w:t xml:space="preserve"> </w:t>
      </w:r>
      <w:r w:rsidRPr="002E1560">
        <w:t>stakeholders</w:t>
      </w:r>
      <w:r w:rsidR="0013032F" w:rsidRPr="002E1560">
        <w:t xml:space="preserve"> </w:t>
      </w:r>
      <w:r w:rsidRPr="002E1560">
        <w:t>were</w:t>
      </w:r>
      <w:r w:rsidR="0013032F" w:rsidRPr="002E1560">
        <w:t xml:space="preserve"> </w:t>
      </w:r>
      <w:r w:rsidRPr="002E1560">
        <w:t>invited</w:t>
      </w:r>
      <w:r w:rsidR="0013032F" w:rsidRPr="002E1560">
        <w:t xml:space="preserve"> </w:t>
      </w:r>
      <w:r w:rsidRPr="002E1560">
        <w:t>with</w:t>
      </w:r>
      <w:r w:rsidR="0013032F" w:rsidRPr="002E1560">
        <w:t xml:space="preserve"> </w:t>
      </w:r>
      <w:r w:rsidRPr="002E1560">
        <w:t>70</w:t>
      </w:r>
      <w:r w:rsidR="0013032F" w:rsidRPr="002E1560">
        <w:t xml:space="preserve"> </w:t>
      </w:r>
      <w:r w:rsidRPr="002E1560">
        <w:t>participants</w:t>
      </w:r>
      <w:r w:rsidR="0013032F" w:rsidRPr="002E1560">
        <w:t xml:space="preserve"> </w:t>
      </w:r>
      <w:r w:rsidRPr="002E1560">
        <w:t>attending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event.</w:t>
      </w:r>
    </w:p>
    <w:p w14:paraId="5ED008B8" w14:textId="12101ED8" w:rsidR="00757772" w:rsidRDefault="00305D3C" w:rsidP="002E1560">
      <w:pPr>
        <w:pStyle w:val="Normalbeforebullets"/>
      </w:pPr>
      <w:r>
        <w:t>Attendees</w:t>
      </w:r>
      <w:r w:rsidR="0013032F">
        <w:t xml:space="preserve"> </w:t>
      </w:r>
      <w:r>
        <w:t>heard</w:t>
      </w:r>
      <w:r w:rsidR="0013032F">
        <w:t xml:space="preserve"> </w:t>
      </w:r>
      <w:r>
        <w:t>presentations</w:t>
      </w:r>
      <w:r w:rsidR="0013032F">
        <w:t xml:space="preserve"> </w:t>
      </w:r>
      <w:r>
        <w:t>from</w:t>
      </w:r>
      <w:r w:rsidR="0013032F">
        <w:t xml:space="preserve"> </w:t>
      </w:r>
      <w:r>
        <w:t>a</w:t>
      </w:r>
      <w:r w:rsidR="0013032F">
        <w:t xml:space="preserve"> </w:t>
      </w:r>
      <w:r>
        <w:t>range</w:t>
      </w:r>
      <w:r w:rsidR="0013032F">
        <w:t xml:space="preserve"> </w:t>
      </w:r>
      <w:r>
        <w:t>of</w:t>
      </w:r>
      <w:r w:rsidR="0013032F">
        <w:t xml:space="preserve"> </w:t>
      </w:r>
      <w:r>
        <w:t>stakeholders,</w:t>
      </w:r>
      <w:r w:rsidR="0013032F">
        <w:t xml:space="preserve"> </w:t>
      </w:r>
      <w:r>
        <w:t>including:</w:t>
      </w:r>
    </w:p>
    <w:p w14:paraId="6DEB64DD" w14:textId="1BBD4126" w:rsidR="00757772" w:rsidRDefault="00305D3C" w:rsidP="002E1560">
      <w:pPr>
        <w:pStyle w:val="Bullet"/>
      </w:pPr>
      <w:r>
        <w:t>Swinburne</w:t>
      </w:r>
      <w:r w:rsidR="0013032F">
        <w:t xml:space="preserve"> </w:t>
      </w:r>
      <w:r>
        <w:t>University’s</w:t>
      </w:r>
      <w:r w:rsidR="0013032F">
        <w:t xml:space="preserve"> </w:t>
      </w:r>
      <w:r>
        <w:t>Industry</w:t>
      </w:r>
      <w:r w:rsidR="0013032F">
        <w:t xml:space="preserve"> </w:t>
      </w:r>
      <w:r>
        <w:t>4.0</w:t>
      </w:r>
      <w:r w:rsidR="0013032F">
        <w:t xml:space="preserve"> </w:t>
      </w:r>
      <w:r>
        <w:t>program</w:t>
      </w:r>
    </w:p>
    <w:p w14:paraId="7A89734F" w14:textId="0F7BF015" w:rsidR="00757772" w:rsidRDefault="00305D3C" w:rsidP="002E1560">
      <w:pPr>
        <w:pStyle w:val="Bullet"/>
      </w:pPr>
      <w:r>
        <w:t>Gangi</w:t>
      </w:r>
      <w:r w:rsidR="0013032F">
        <w:t xml:space="preserve"> </w:t>
      </w:r>
      <w:r>
        <w:t>Germicidal</w:t>
      </w:r>
      <w:r w:rsidR="0013032F">
        <w:t xml:space="preserve"> </w:t>
      </w:r>
      <w:r>
        <w:t>Systems</w:t>
      </w:r>
      <w:r w:rsidR="0013032F">
        <w:t xml:space="preserve"> </w:t>
      </w:r>
      <w:r>
        <w:t>–</w:t>
      </w:r>
      <w:r w:rsidR="0013032F">
        <w:t xml:space="preserve"> </w:t>
      </w:r>
      <w:r>
        <w:t>a</w:t>
      </w:r>
      <w:r w:rsidR="0013032F">
        <w:t xml:space="preserve"> </w:t>
      </w:r>
      <w:r>
        <w:t>company</w:t>
      </w:r>
      <w:r w:rsidR="0013032F">
        <w:t xml:space="preserve"> </w:t>
      </w:r>
      <w:r>
        <w:t>which</w:t>
      </w:r>
      <w:r w:rsidR="0013032F">
        <w:t xml:space="preserve"> </w:t>
      </w:r>
      <w:r>
        <w:t>had</w:t>
      </w:r>
      <w:r w:rsidR="0013032F">
        <w:t xml:space="preserve"> </w:t>
      </w:r>
      <w:r>
        <w:t>undertaken</w:t>
      </w:r>
      <w:r w:rsidR="0013032F">
        <w:t xml:space="preserve"> </w:t>
      </w:r>
      <w:r>
        <w:t>the</w:t>
      </w:r>
      <w:r w:rsidR="0013032F">
        <w:t xml:space="preserve"> </w:t>
      </w:r>
      <w:r>
        <w:t>program</w:t>
      </w:r>
    </w:p>
    <w:p w14:paraId="061995D0" w14:textId="68CE3302" w:rsidR="00757772" w:rsidRDefault="00305D3C" w:rsidP="002E1560">
      <w:pPr>
        <w:pStyle w:val="Bullet"/>
      </w:pPr>
      <w:r>
        <w:t>Integra</w:t>
      </w:r>
      <w:r w:rsidR="0013032F">
        <w:t xml:space="preserve"> </w:t>
      </w:r>
      <w:r>
        <w:t>Systems</w:t>
      </w:r>
      <w:r w:rsidR="0013032F">
        <w:t xml:space="preserve"> </w:t>
      </w:r>
      <w:r>
        <w:t>–</w:t>
      </w:r>
      <w:r w:rsidR="0013032F">
        <w:t xml:space="preserve"> </w:t>
      </w:r>
      <w:r>
        <w:t>a</w:t>
      </w:r>
      <w:r w:rsidR="0013032F">
        <w:t xml:space="preserve"> </w:t>
      </w:r>
      <w:r>
        <w:t>company</w:t>
      </w:r>
      <w:r w:rsidR="0013032F">
        <w:t xml:space="preserve"> </w:t>
      </w:r>
      <w:r>
        <w:t>which</w:t>
      </w:r>
      <w:r w:rsidR="0013032F">
        <w:t xml:space="preserve"> </w:t>
      </w:r>
      <w:r>
        <w:t>has</w:t>
      </w:r>
      <w:r w:rsidR="0013032F">
        <w:t xml:space="preserve"> </w:t>
      </w:r>
      <w:r>
        <w:t>adopted</w:t>
      </w:r>
      <w:r w:rsidR="0013032F">
        <w:t xml:space="preserve"> </w:t>
      </w:r>
      <w:r>
        <w:t>Industry</w:t>
      </w:r>
      <w:r w:rsidR="0013032F">
        <w:t xml:space="preserve"> </w:t>
      </w:r>
      <w:r>
        <w:t>4.0</w:t>
      </w:r>
      <w:r w:rsidR="0013032F">
        <w:t xml:space="preserve"> </w:t>
      </w:r>
      <w:r>
        <w:t>in</w:t>
      </w:r>
      <w:r w:rsidR="0013032F">
        <w:t xml:space="preserve"> </w:t>
      </w:r>
      <w:r>
        <w:t>Melbourne’s</w:t>
      </w:r>
      <w:r w:rsidR="0013032F">
        <w:t xml:space="preserve"> </w:t>
      </w:r>
      <w:r>
        <w:t>north</w:t>
      </w:r>
      <w:r w:rsidR="0013032F">
        <w:t xml:space="preserve"> </w:t>
      </w:r>
    </w:p>
    <w:p w14:paraId="1E9506A2" w14:textId="158ACCC3" w:rsidR="00757772" w:rsidRDefault="00305D3C" w:rsidP="002E1560">
      <w:pPr>
        <w:pStyle w:val="Bullet"/>
      </w:pPr>
      <w:r>
        <w:rPr>
          <w:spacing w:val="-3"/>
        </w:rPr>
        <w:t>Textron</w:t>
      </w:r>
      <w:r w:rsidR="0013032F">
        <w:rPr>
          <w:spacing w:val="-3"/>
        </w:rPr>
        <w:t xml:space="preserve"> </w:t>
      </w:r>
      <w:r>
        <w:rPr>
          <w:spacing w:val="-3"/>
        </w:rPr>
        <w:t>Systems</w:t>
      </w:r>
      <w:r w:rsidR="0013032F">
        <w:rPr>
          <w:spacing w:val="-3"/>
        </w:rPr>
        <w:t xml:space="preserve"> </w:t>
      </w:r>
      <w:r>
        <w:rPr>
          <w:spacing w:val="-3"/>
        </w:rPr>
        <w:t>–</w:t>
      </w:r>
      <w:r w:rsidR="0013032F">
        <w:rPr>
          <w:spacing w:val="-3"/>
        </w:rPr>
        <w:t xml:space="preserve"> </w:t>
      </w:r>
      <w:r>
        <w:rPr>
          <w:spacing w:val="-3"/>
        </w:rPr>
        <w:t>which</w:t>
      </w:r>
      <w:r w:rsidR="0013032F">
        <w:rPr>
          <w:spacing w:val="-3"/>
        </w:rPr>
        <w:t xml:space="preserve"> </w:t>
      </w:r>
      <w:r>
        <w:rPr>
          <w:spacing w:val="-3"/>
        </w:rPr>
        <w:t>discussed</w:t>
      </w:r>
      <w:r w:rsidR="0013032F">
        <w:rPr>
          <w:spacing w:val="-3"/>
        </w:rPr>
        <w:t xml:space="preserve"> </w:t>
      </w:r>
      <w:r>
        <w:rPr>
          <w:spacing w:val="-3"/>
        </w:rPr>
        <w:t>the</w:t>
      </w:r>
      <w:r w:rsidR="0013032F">
        <w:rPr>
          <w:spacing w:val="-3"/>
        </w:rPr>
        <w:t xml:space="preserve"> </w:t>
      </w:r>
      <w:r>
        <w:rPr>
          <w:spacing w:val="-3"/>
        </w:rPr>
        <w:t>drone</w:t>
      </w:r>
      <w:r w:rsidR="0013032F">
        <w:rPr>
          <w:spacing w:val="-3"/>
        </w:rPr>
        <w:t xml:space="preserve"> </w:t>
      </w:r>
      <w:r>
        <w:rPr>
          <w:spacing w:val="-3"/>
        </w:rPr>
        <w:t>economy</w:t>
      </w:r>
      <w:r w:rsidR="0013032F">
        <w:rPr>
          <w:spacing w:val="-3"/>
        </w:rPr>
        <w:t xml:space="preserve"> </w:t>
      </w:r>
    </w:p>
    <w:p w14:paraId="562C45EC" w14:textId="4F9DFC55" w:rsidR="00757772" w:rsidRDefault="00305D3C" w:rsidP="002E1560">
      <w:pPr>
        <w:pStyle w:val="Bulletlast"/>
      </w:pPr>
      <w:r>
        <w:t>NORTH</w:t>
      </w:r>
      <w:r w:rsidR="0013032F">
        <w:t xml:space="preserve"> </w:t>
      </w:r>
      <w:r>
        <w:t>Link</w:t>
      </w:r>
      <w:r w:rsidR="0013032F">
        <w:t xml:space="preserve"> </w:t>
      </w:r>
      <w:r>
        <w:t>–</w:t>
      </w:r>
      <w:r w:rsidR="0013032F">
        <w:t xml:space="preserve"> </w:t>
      </w:r>
      <w:r>
        <w:t>which</w:t>
      </w:r>
      <w:r w:rsidR="0013032F">
        <w:t xml:space="preserve"> </w:t>
      </w:r>
      <w:r>
        <w:t>runs</w:t>
      </w:r>
      <w:r w:rsidR="0013032F">
        <w:t xml:space="preserve"> </w:t>
      </w:r>
      <w:r>
        <w:t>the</w:t>
      </w:r>
      <w:r w:rsidR="0013032F">
        <w:t xml:space="preserve"> </w:t>
      </w:r>
      <w:r>
        <w:t>Melbourne’s</w:t>
      </w:r>
      <w:r w:rsidR="0013032F">
        <w:t xml:space="preserve"> </w:t>
      </w:r>
      <w:r>
        <w:t>North</w:t>
      </w:r>
      <w:r w:rsidR="0013032F">
        <w:t xml:space="preserve"> </w:t>
      </w:r>
      <w:r>
        <w:rPr>
          <w:spacing w:val="-3"/>
        </w:rPr>
        <w:t>Advanced</w:t>
      </w:r>
      <w:r w:rsidR="0013032F">
        <w:rPr>
          <w:spacing w:val="-3"/>
        </w:rPr>
        <w:t xml:space="preserve"> </w:t>
      </w:r>
      <w:r>
        <w:rPr>
          <w:spacing w:val="-3"/>
        </w:rPr>
        <w:t>Manufacturing</w:t>
      </w:r>
      <w:r w:rsidR="0013032F">
        <w:rPr>
          <w:spacing w:val="-3"/>
        </w:rPr>
        <w:t xml:space="preserve"> </w:t>
      </w:r>
      <w:r>
        <w:rPr>
          <w:spacing w:val="-3"/>
        </w:rPr>
        <w:t>Group</w:t>
      </w:r>
      <w:r w:rsidR="0013032F">
        <w:rPr>
          <w:spacing w:val="-3"/>
        </w:rPr>
        <w:t xml:space="preserve"> </w:t>
      </w:r>
      <w:r>
        <w:rPr>
          <w:spacing w:val="-3"/>
        </w:rPr>
        <w:t>–</w:t>
      </w:r>
      <w:r w:rsidR="0013032F">
        <w:rPr>
          <w:spacing w:val="-3"/>
        </w:rPr>
        <w:t xml:space="preserve"> </w:t>
      </w:r>
      <w:r>
        <w:rPr>
          <w:spacing w:val="-3"/>
        </w:rPr>
        <w:t>a</w:t>
      </w:r>
      <w:r w:rsidR="0013032F">
        <w:rPr>
          <w:spacing w:val="-3"/>
        </w:rPr>
        <w:t xml:space="preserve"> </w:t>
      </w:r>
      <w:r>
        <w:rPr>
          <w:spacing w:val="-3"/>
        </w:rPr>
        <w:t>project</w:t>
      </w:r>
      <w:r w:rsidR="0013032F">
        <w:rPr>
          <w:spacing w:val="-3"/>
        </w:rPr>
        <w:t xml:space="preserve"> </w:t>
      </w:r>
      <w:r>
        <w:rPr>
          <w:spacing w:val="-3"/>
        </w:rPr>
        <w:t>sponsored</w:t>
      </w:r>
      <w:r w:rsidR="0013032F">
        <w:rPr>
          <w:spacing w:val="-3"/>
        </w:rPr>
        <w:t xml:space="preserve"> </w:t>
      </w:r>
      <w:r>
        <w:t>by</w:t>
      </w:r>
      <w:r w:rsidR="0013032F">
        <w:t xml:space="preserve"> </w:t>
      </w:r>
      <w:r>
        <w:t>RDA</w:t>
      </w:r>
      <w:r w:rsidR="0013032F">
        <w:t xml:space="preserve"> </w:t>
      </w:r>
      <w:r>
        <w:t>Melbourne</w:t>
      </w:r>
      <w:r w:rsidR="0013032F">
        <w:t xml:space="preserve"> </w:t>
      </w:r>
      <w:r>
        <w:t>and</w:t>
      </w:r>
      <w:r w:rsidR="0013032F">
        <w:t xml:space="preserve"> </w:t>
      </w:r>
      <w:r>
        <w:t>DJSIR.</w:t>
      </w:r>
    </w:p>
    <w:p w14:paraId="79979DA3" w14:textId="57773E09" w:rsidR="00757772" w:rsidRDefault="00305D3C" w:rsidP="002E1560">
      <w:pPr>
        <w:pStyle w:val="Heading1"/>
      </w:pPr>
      <w:bookmarkStart w:id="35" w:name="_Toc149566581"/>
      <w:r>
        <w:lastRenderedPageBreak/>
        <w:t>Cross</w:t>
      </w:r>
      <w:r w:rsidR="0013032F">
        <w:t xml:space="preserve"> </w:t>
      </w:r>
      <w:r>
        <w:t>Border</w:t>
      </w:r>
      <w:r w:rsidR="0013032F">
        <w:t xml:space="preserve"> </w:t>
      </w:r>
      <w:r>
        <w:t>Commissioner:</w:t>
      </w:r>
      <w:r w:rsidR="0013032F">
        <w:t xml:space="preserve"> </w:t>
      </w:r>
      <w:r>
        <w:t>Asking</w:t>
      </w:r>
      <w:r w:rsidR="0013032F">
        <w:t xml:space="preserve"> </w:t>
      </w:r>
      <w:r>
        <w:t>the</w:t>
      </w:r>
      <w:r w:rsidR="0013032F">
        <w:t xml:space="preserve"> </w:t>
      </w:r>
      <w:r>
        <w:t>border</w:t>
      </w:r>
      <w:r w:rsidR="0013032F">
        <w:t xml:space="preserve"> </w:t>
      </w:r>
      <w:r>
        <w:t>question</w:t>
      </w:r>
      <w:bookmarkEnd w:id="35"/>
    </w:p>
    <w:p w14:paraId="48876555" w14:textId="1493C387" w:rsidR="00757772" w:rsidRDefault="00305D3C" w:rsidP="002E1560">
      <w:r>
        <w:t>Throughout</w:t>
      </w:r>
      <w:r w:rsidR="0013032F">
        <w:t xml:space="preserve"> </w:t>
      </w:r>
      <w:r>
        <w:t>2022–23,</w:t>
      </w:r>
      <w:r w:rsidR="0013032F">
        <w:t xml:space="preserve"> </w:t>
      </w:r>
      <w:r>
        <w:t>Victoria’s</w:t>
      </w:r>
      <w:r w:rsidR="0013032F">
        <w:t xml:space="preserve"> </w:t>
      </w:r>
      <w:r>
        <w:t>Cross</w:t>
      </w:r>
      <w:r w:rsidR="0013032F">
        <w:t xml:space="preserve"> </w:t>
      </w:r>
      <w:r>
        <w:t>Border</w:t>
      </w:r>
      <w:r w:rsidR="0013032F">
        <w:t xml:space="preserve"> </w:t>
      </w:r>
      <w:r>
        <w:t>Commissioner</w:t>
      </w:r>
      <w:r w:rsidR="0013032F">
        <w:t xml:space="preserve"> </w:t>
      </w:r>
      <w:r>
        <w:t>continued</w:t>
      </w:r>
      <w:r w:rsidR="0013032F">
        <w:t xml:space="preserve"> </w:t>
      </w:r>
      <w:r>
        <w:t>to</w:t>
      </w:r>
      <w:r w:rsidR="0013032F">
        <w:t xml:space="preserve"> </w:t>
      </w:r>
      <w:r>
        <w:t>support</w:t>
      </w:r>
      <w:r w:rsidR="0013032F">
        <w:t xml:space="preserve"> </w:t>
      </w:r>
      <w:r>
        <w:t>border</w:t>
      </w:r>
      <w:r w:rsidR="0013032F">
        <w:t xml:space="preserve"> </w:t>
      </w:r>
      <w:r>
        <w:t>communities</w:t>
      </w:r>
      <w:r w:rsidR="0013032F">
        <w:t xml:space="preserve"> </w:t>
      </w:r>
      <w:r>
        <w:t>by</w:t>
      </w:r>
      <w:r w:rsidR="0013032F">
        <w:t xml:space="preserve"> </w:t>
      </w:r>
      <w:r>
        <w:t>advocating</w:t>
      </w:r>
      <w:r w:rsidR="0013032F">
        <w:t xml:space="preserve"> </w:t>
      </w:r>
      <w:r>
        <w:t>across</w:t>
      </w:r>
      <w:r w:rsidR="0013032F">
        <w:t xml:space="preserve"> </w:t>
      </w:r>
      <w:r>
        <w:t>government</w:t>
      </w:r>
      <w:r w:rsidR="0013032F">
        <w:t xml:space="preserve"> </w:t>
      </w:r>
      <w:r>
        <w:t>on</w:t>
      </w:r>
      <w:r w:rsidR="0013032F">
        <w:t xml:space="preserve"> </w:t>
      </w:r>
      <w:r>
        <w:t>their</w:t>
      </w:r>
      <w:r w:rsidR="0013032F">
        <w:t xml:space="preserve"> </w:t>
      </w:r>
      <w:r>
        <w:t>behalf.</w:t>
      </w:r>
    </w:p>
    <w:p w14:paraId="0D47561C" w14:textId="28116EF6" w:rsidR="00757772" w:rsidRDefault="00305D3C" w:rsidP="002E1560">
      <w:pPr>
        <w:pStyle w:val="Normalbeforebullets"/>
      </w:pPr>
      <w:r>
        <w:t>During</w:t>
      </w:r>
      <w:r w:rsidR="0013032F">
        <w:t xml:space="preserve"> </w:t>
      </w:r>
      <w:r>
        <w:t>the</w:t>
      </w:r>
      <w:r w:rsidR="0013032F">
        <w:t xml:space="preserve"> </w:t>
      </w:r>
      <w:r>
        <w:t>year,</w:t>
      </w:r>
      <w:r w:rsidR="0013032F">
        <w:t xml:space="preserve"> </w:t>
      </w:r>
      <w:r>
        <w:t>the</w:t>
      </w:r>
      <w:r w:rsidR="0013032F">
        <w:t xml:space="preserve"> </w:t>
      </w:r>
      <w:r>
        <w:t>Cross</w:t>
      </w:r>
      <w:r w:rsidR="0013032F">
        <w:t xml:space="preserve"> </w:t>
      </w:r>
      <w:r>
        <w:t>Border</w:t>
      </w:r>
      <w:r w:rsidR="0013032F">
        <w:t xml:space="preserve"> </w:t>
      </w:r>
      <w:r>
        <w:t>Commissioner</w:t>
      </w:r>
      <w:r w:rsidR="0013032F">
        <w:t xml:space="preserve"> </w:t>
      </w:r>
      <w:r>
        <w:t>worked</w:t>
      </w:r>
      <w:r w:rsidR="0013032F">
        <w:t xml:space="preserve"> </w:t>
      </w:r>
      <w:r>
        <w:t>on</w:t>
      </w:r>
      <w:r w:rsidR="0013032F">
        <w:t xml:space="preserve"> </w:t>
      </w:r>
      <w:r>
        <w:t>a</w:t>
      </w:r>
      <w:r w:rsidR="0013032F">
        <w:t xml:space="preserve"> </w:t>
      </w:r>
      <w:r>
        <w:t>range</w:t>
      </w:r>
      <w:r w:rsidR="0013032F">
        <w:t xml:space="preserve"> </w:t>
      </w:r>
      <w:r>
        <w:t>of</w:t>
      </w:r>
      <w:r w:rsidR="0013032F">
        <w:t xml:space="preserve"> </w:t>
      </w:r>
      <w:r>
        <w:t>issues</w:t>
      </w:r>
      <w:r w:rsidR="0013032F">
        <w:t xml:space="preserve"> </w:t>
      </w:r>
      <w:r>
        <w:t>affecting</w:t>
      </w:r>
      <w:r w:rsidR="0013032F">
        <w:t xml:space="preserve"> </w:t>
      </w:r>
      <w:r>
        <w:t>border</w:t>
      </w:r>
      <w:r w:rsidR="0013032F">
        <w:t xml:space="preserve"> </w:t>
      </w:r>
      <w:r>
        <w:t>communities,</w:t>
      </w:r>
      <w:r w:rsidR="0013032F">
        <w:t xml:space="preserve"> </w:t>
      </w:r>
      <w:r>
        <w:t>including:</w:t>
      </w:r>
    </w:p>
    <w:p w14:paraId="04BF16B0" w14:textId="2D1FB170" w:rsidR="00757772" w:rsidRDefault="00305D3C" w:rsidP="002E1560">
      <w:pPr>
        <w:pStyle w:val="Bullet"/>
      </w:pPr>
      <w:r>
        <w:t>successfully</w:t>
      </w:r>
      <w:r w:rsidR="0013032F">
        <w:t xml:space="preserve"> </w:t>
      </w:r>
      <w:r>
        <w:t>advocating</w:t>
      </w:r>
      <w:r w:rsidR="0013032F">
        <w:t xml:space="preserve"> </w:t>
      </w:r>
      <w:r>
        <w:t>for</w:t>
      </w:r>
      <w:r w:rsidR="0013032F">
        <w:t xml:space="preserve"> </w:t>
      </w:r>
      <w:r>
        <w:t>coverage</w:t>
      </w:r>
      <w:r w:rsidR="0013032F">
        <w:t xml:space="preserve"> </w:t>
      </w:r>
      <w:r>
        <w:t>of</w:t>
      </w:r>
      <w:r w:rsidR="0013032F">
        <w:t xml:space="preserve"> </w:t>
      </w:r>
      <w:r>
        <w:t>Victoria’s</w:t>
      </w:r>
      <w:r w:rsidR="0013032F">
        <w:t xml:space="preserve"> </w:t>
      </w:r>
      <w:r>
        <w:t>free</w:t>
      </w:r>
      <w:r w:rsidR="0013032F">
        <w:t xml:space="preserve"> </w:t>
      </w:r>
      <w:r>
        <w:t>nursing</w:t>
      </w:r>
      <w:r w:rsidR="0013032F">
        <w:t xml:space="preserve"> </w:t>
      </w:r>
      <w:r>
        <w:t>scholarship</w:t>
      </w:r>
      <w:r w:rsidR="0013032F">
        <w:t xml:space="preserve"> </w:t>
      </w:r>
      <w:r>
        <w:t>program</w:t>
      </w:r>
      <w:r w:rsidR="0013032F">
        <w:t xml:space="preserve"> </w:t>
      </w:r>
      <w:r>
        <w:t>to</w:t>
      </w:r>
      <w:r w:rsidR="0013032F">
        <w:t xml:space="preserve"> </w:t>
      </w:r>
      <w:r>
        <w:t>cover</w:t>
      </w:r>
      <w:r w:rsidR="0013032F">
        <w:t xml:space="preserve"> </w:t>
      </w:r>
      <w:r>
        <w:t>border</w:t>
      </w:r>
      <w:r w:rsidR="0013032F">
        <w:t xml:space="preserve"> </w:t>
      </w:r>
      <w:r>
        <w:t>residents</w:t>
      </w:r>
      <w:r w:rsidR="0013032F">
        <w:t xml:space="preserve"> </w:t>
      </w:r>
      <w:r>
        <w:t>accessing</w:t>
      </w:r>
      <w:r w:rsidR="0013032F">
        <w:t xml:space="preserve"> </w:t>
      </w:r>
      <w:r>
        <w:t>study</w:t>
      </w:r>
      <w:r w:rsidR="0013032F">
        <w:t xml:space="preserve"> </w:t>
      </w:r>
      <w:r>
        <w:t>in</w:t>
      </w:r>
      <w:r w:rsidR="0013032F">
        <w:t xml:space="preserve"> </w:t>
      </w:r>
      <w:r>
        <w:t>Mount</w:t>
      </w:r>
      <w:r w:rsidR="0013032F">
        <w:t xml:space="preserve"> </w:t>
      </w:r>
      <w:r>
        <w:t>Gambier,</w:t>
      </w:r>
      <w:r w:rsidR="0013032F">
        <w:t xml:space="preserve"> </w:t>
      </w:r>
      <w:r>
        <w:t>Bega</w:t>
      </w:r>
      <w:r w:rsidR="0013032F">
        <w:t xml:space="preserve"> </w:t>
      </w:r>
      <w:r>
        <w:t>and</w:t>
      </w:r>
      <w:r w:rsidR="0013032F">
        <w:t xml:space="preserve"> </w:t>
      </w:r>
      <w:r>
        <w:t>Albury</w:t>
      </w:r>
    </w:p>
    <w:p w14:paraId="31D61F5A" w14:textId="14FE7E51" w:rsidR="00757772" w:rsidRDefault="00305D3C" w:rsidP="002E1560">
      <w:pPr>
        <w:pStyle w:val="Bullet"/>
      </w:pPr>
      <w:r>
        <w:t>assisting</w:t>
      </w:r>
      <w:r w:rsidR="0013032F">
        <w:t xml:space="preserve"> </w:t>
      </w:r>
      <w:r>
        <w:t>government</w:t>
      </w:r>
      <w:r w:rsidR="0013032F">
        <w:t xml:space="preserve"> </w:t>
      </w:r>
      <w:r>
        <w:t>to</w:t>
      </w:r>
      <w:r w:rsidR="0013032F">
        <w:t xml:space="preserve"> </w:t>
      </w:r>
      <w:r>
        <w:t>extend</w:t>
      </w:r>
      <w:r w:rsidR="0013032F">
        <w:t xml:space="preserve"> </w:t>
      </w:r>
      <w:r>
        <w:t>application</w:t>
      </w:r>
      <w:r w:rsidR="0013032F">
        <w:t xml:space="preserve"> </w:t>
      </w:r>
      <w:r>
        <w:t>of</w:t>
      </w:r>
      <w:r w:rsidR="0013032F">
        <w:t xml:space="preserve"> </w:t>
      </w:r>
      <w:r>
        <w:t>the</w:t>
      </w:r>
      <w:r w:rsidR="0013032F">
        <w:t xml:space="preserve"> </w:t>
      </w:r>
      <w:r>
        <w:t>regional</w:t>
      </w:r>
      <w:r w:rsidR="0013032F">
        <w:t xml:space="preserve"> </w:t>
      </w:r>
      <w:r>
        <w:t>public</w:t>
      </w:r>
      <w:r w:rsidR="0013032F">
        <w:t xml:space="preserve"> </w:t>
      </w:r>
      <w:r>
        <w:t>transport</w:t>
      </w:r>
      <w:r w:rsidR="0013032F">
        <w:t xml:space="preserve"> </w:t>
      </w:r>
      <w:r>
        <w:t>fare</w:t>
      </w:r>
      <w:r w:rsidR="0013032F">
        <w:t xml:space="preserve"> </w:t>
      </w:r>
      <w:r>
        <w:t>cap</w:t>
      </w:r>
      <w:r w:rsidR="0013032F">
        <w:t xml:space="preserve"> </w:t>
      </w:r>
      <w:r>
        <w:t>across</w:t>
      </w:r>
      <w:r w:rsidR="0013032F">
        <w:t xml:space="preserve"> </w:t>
      </w:r>
      <w:r>
        <w:t>border</w:t>
      </w:r>
      <w:r w:rsidR="0013032F">
        <w:t xml:space="preserve"> </w:t>
      </w:r>
      <w:r>
        <w:t>areas</w:t>
      </w:r>
    </w:p>
    <w:p w14:paraId="7E7D891F" w14:textId="5EACF7E5" w:rsidR="00757772" w:rsidRDefault="00305D3C" w:rsidP="002E1560">
      <w:pPr>
        <w:pStyle w:val="Bullet"/>
      </w:pPr>
      <w:r>
        <w:t>partnering</w:t>
      </w:r>
      <w:r w:rsidR="0013032F">
        <w:t xml:space="preserve"> </w:t>
      </w:r>
      <w:r>
        <w:t>with</w:t>
      </w:r>
      <w:r w:rsidR="0013032F">
        <w:t xml:space="preserve"> </w:t>
      </w:r>
      <w:r>
        <w:t>industry</w:t>
      </w:r>
      <w:r w:rsidR="0013032F">
        <w:t xml:space="preserve"> </w:t>
      </w:r>
      <w:r>
        <w:t>stakeholders</w:t>
      </w:r>
      <w:r w:rsidR="0013032F">
        <w:t xml:space="preserve"> </w:t>
      </w:r>
      <w:r>
        <w:t>to</w:t>
      </w:r>
      <w:r w:rsidR="0013032F">
        <w:t xml:space="preserve"> </w:t>
      </w:r>
      <w:r>
        <w:t>successfully</w:t>
      </w:r>
      <w:r w:rsidR="0013032F">
        <w:t xml:space="preserve"> </w:t>
      </w:r>
      <w:r>
        <w:t>a</w:t>
      </w:r>
      <w:r>
        <w:t>dvocate</w:t>
      </w:r>
      <w:r w:rsidR="0013032F">
        <w:t xml:space="preserve"> </w:t>
      </w:r>
      <w:r>
        <w:t>for</w:t>
      </w:r>
      <w:r w:rsidR="0013032F">
        <w:t xml:space="preserve"> </w:t>
      </w:r>
      <w:r>
        <w:t>extending</w:t>
      </w:r>
      <w:r w:rsidR="0013032F">
        <w:t xml:space="preserve"> </w:t>
      </w:r>
      <w:r>
        <w:t>the</w:t>
      </w:r>
      <w:r w:rsidR="0013032F">
        <w:t xml:space="preserve"> </w:t>
      </w:r>
      <w:r>
        <w:t>apprentice</w:t>
      </w:r>
      <w:r w:rsidR="0013032F">
        <w:t xml:space="preserve"> </w:t>
      </w:r>
      <w:r>
        <w:t>registration</w:t>
      </w:r>
      <w:r w:rsidR="0013032F">
        <w:t xml:space="preserve"> </w:t>
      </w:r>
      <w:r>
        <w:t>discount</w:t>
      </w:r>
      <w:r w:rsidR="0013032F">
        <w:t xml:space="preserve"> </w:t>
      </w:r>
      <w:r>
        <w:t>to</w:t>
      </w:r>
      <w:r w:rsidR="0013032F">
        <w:t xml:space="preserve"> </w:t>
      </w:r>
      <w:r>
        <w:t>cover</w:t>
      </w:r>
      <w:r w:rsidR="0013032F">
        <w:t xml:space="preserve"> </w:t>
      </w:r>
      <w:r>
        <w:t>border</w:t>
      </w:r>
      <w:r w:rsidR="0013032F">
        <w:t xml:space="preserve"> </w:t>
      </w:r>
      <w:r>
        <w:t>apprentices</w:t>
      </w:r>
    </w:p>
    <w:p w14:paraId="31026AC4" w14:textId="6B212E07" w:rsidR="00757772" w:rsidRDefault="00305D3C" w:rsidP="002E1560">
      <w:pPr>
        <w:pStyle w:val="Bullet"/>
      </w:pPr>
      <w:r>
        <w:t>assisting</w:t>
      </w:r>
      <w:r w:rsidR="0013032F">
        <w:t xml:space="preserve"> </w:t>
      </w:r>
      <w:r>
        <w:t>government</w:t>
      </w:r>
      <w:r w:rsidR="0013032F">
        <w:t xml:space="preserve"> </w:t>
      </w:r>
      <w:r>
        <w:t>departments</w:t>
      </w:r>
      <w:r w:rsidR="0013032F">
        <w:t xml:space="preserve"> </w:t>
      </w:r>
      <w:r>
        <w:t>and</w:t>
      </w:r>
      <w:r w:rsidR="0013032F">
        <w:t xml:space="preserve"> </w:t>
      </w:r>
      <w:r>
        <w:t>agencies</w:t>
      </w:r>
      <w:r w:rsidR="0013032F">
        <w:t xml:space="preserve"> </w:t>
      </w:r>
      <w:r>
        <w:t>to</w:t>
      </w:r>
      <w:r w:rsidR="0013032F">
        <w:t xml:space="preserve"> </w:t>
      </w:r>
      <w:r>
        <w:t>‘Ask</w:t>
      </w:r>
      <w:r w:rsidR="0013032F">
        <w:t xml:space="preserve"> </w:t>
      </w:r>
      <w:r>
        <w:t>the</w:t>
      </w:r>
      <w:r w:rsidR="0013032F">
        <w:t xml:space="preserve"> </w:t>
      </w:r>
      <w:r>
        <w:t>Border</w:t>
      </w:r>
      <w:r w:rsidR="0013032F">
        <w:t xml:space="preserve"> </w:t>
      </w:r>
      <w:r>
        <w:t>Question’</w:t>
      </w:r>
      <w:r w:rsidR="0013032F">
        <w:t xml:space="preserve"> </w:t>
      </w:r>
      <w:r>
        <w:t>by</w:t>
      </w:r>
      <w:r w:rsidR="0013032F">
        <w:t xml:space="preserve"> </w:t>
      </w:r>
      <w:r>
        <w:t>analysing</w:t>
      </w:r>
      <w:r w:rsidR="0013032F">
        <w:t xml:space="preserve"> </w:t>
      </w:r>
      <w:r>
        <w:t>impacts</w:t>
      </w:r>
      <w:r w:rsidR="0013032F">
        <w:t xml:space="preserve"> </w:t>
      </w:r>
      <w:r>
        <w:t>of</w:t>
      </w:r>
      <w:r w:rsidR="0013032F">
        <w:t xml:space="preserve"> </w:t>
      </w:r>
      <w:r>
        <w:t>government</w:t>
      </w:r>
      <w:r w:rsidR="0013032F">
        <w:t xml:space="preserve"> </w:t>
      </w:r>
      <w:r>
        <w:t>decisions</w:t>
      </w:r>
      <w:r w:rsidR="0013032F">
        <w:t xml:space="preserve"> </w:t>
      </w:r>
      <w:r>
        <w:t>on</w:t>
      </w:r>
      <w:r w:rsidR="0013032F">
        <w:t xml:space="preserve"> </w:t>
      </w:r>
      <w:r>
        <w:t>border</w:t>
      </w:r>
      <w:r w:rsidR="0013032F">
        <w:t xml:space="preserve"> </w:t>
      </w:r>
      <w:r>
        <w:t>communities</w:t>
      </w:r>
      <w:r w:rsidR="0013032F">
        <w:t xml:space="preserve"> </w:t>
      </w:r>
      <w:r>
        <w:t>to</w:t>
      </w:r>
      <w:r w:rsidR="0013032F">
        <w:t xml:space="preserve"> </w:t>
      </w:r>
      <w:r>
        <w:t>avoid</w:t>
      </w:r>
      <w:r w:rsidR="0013032F">
        <w:t xml:space="preserve"> </w:t>
      </w:r>
      <w:r>
        <w:t>or</w:t>
      </w:r>
      <w:r w:rsidR="0013032F">
        <w:t xml:space="preserve"> </w:t>
      </w:r>
      <w:r>
        <w:t>reduce</w:t>
      </w:r>
      <w:r w:rsidR="0013032F">
        <w:t xml:space="preserve"> </w:t>
      </w:r>
      <w:r>
        <w:t>border</w:t>
      </w:r>
      <w:r w:rsidR="0013032F">
        <w:t xml:space="preserve"> </w:t>
      </w:r>
      <w:r>
        <w:t>anomalies</w:t>
      </w:r>
    </w:p>
    <w:p w14:paraId="44C6A876" w14:textId="73A5BC07" w:rsidR="00757772" w:rsidRDefault="00305D3C" w:rsidP="002E1560">
      <w:pPr>
        <w:pStyle w:val="Bullet"/>
      </w:pPr>
      <w:r>
        <w:t>placing</w:t>
      </w:r>
      <w:r w:rsidR="0013032F">
        <w:t xml:space="preserve"> </w:t>
      </w:r>
      <w:r>
        <w:t>particular</w:t>
      </w:r>
      <w:r w:rsidR="0013032F">
        <w:t xml:space="preserve"> </w:t>
      </w:r>
      <w:r>
        <w:t>emphasis</w:t>
      </w:r>
      <w:r w:rsidR="0013032F">
        <w:t xml:space="preserve"> </w:t>
      </w:r>
      <w:r>
        <w:t>on</w:t>
      </w:r>
      <w:r w:rsidR="0013032F">
        <w:t xml:space="preserve"> </w:t>
      </w:r>
      <w:r>
        <w:t>several</w:t>
      </w:r>
      <w:r w:rsidR="0013032F">
        <w:t xml:space="preserve"> </w:t>
      </w:r>
      <w:r>
        <w:t>significant</w:t>
      </w:r>
      <w:r w:rsidR="0013032F">
        <w:t xml:space="preserve"> </w:t>
      </w:r>
      <w:r>
        <w:t>cross-border</w:t>
      </w:r>
      <w:r w:rsidR="0013032F">
        <w:t xml:space="preserve"> </w:t>
      </w:r>
      <w:r>
        <w:t>priorities.</w:t>
      </w:r>
      <w:r w:rsidR="0013032F">
        <w:t xml:space="preserve"> </w:t>
      </w:r>
      <w:r>
        <w:t>This</w:t>
      </w:r>
      <w:r w:rsidR="0013032F">
        <w:t xml:space="preserve"> </w:t>
      </w:r>
      <w:r>
        <w:t>included</w:t>
      </w:r>
      <w:r w:rsidR="0013032F">
        <w:t xml:space="preserve"> </w:t>
      </w:r>
      <w:r>
        <w:t>road</w:t>
      </w:r>
      <w:r w:rsidR="0013032F">
        <w:t xml:space="preserve"> </w:t>
      </w:r>
      <w:r>
        <w:t>rule</w:t>
      </w:r>
      <w:r w:rsidR="0013032F">
        <w:t xml:space="preserve"> </w:t>
      </w:r>
      <w:r>
        <w:t>information</w:t>
      </w:r>
      <w:r w:rsidR="0013032F">
        <w:t xml:space="preserve"> </w:t>
      </w:r>
      <w:r>
        <w:t>for</w:t>
      </w:r>
      <w:r w:rsidR="0013032F">
        <w:t xml:space="preserve"> </w:t>
      </w:r>
      <w:r>
        <w:t>young</w:t>
      </w:r>
      <w:r w:rsidR="0013032F">
        <w:t xml:space="preserve"> </w:t>
      </w:r>
      <w:r>
        <w:t>drivers,</w:t>
      </w:r>
      <w:r w:rsidR="0013032F">
        <w:t xml:space="preserve"> </w:t>
      </w:r>
      <w:r>
        <w:t>vocational</w:t>
      </w:r>
      <w:r w:rsidR="0013032F">
        <w:t xml:space="preserve"> </w:t>
      </w:r>
      <w:r>
        <w:t>education</w:t>
      </w:r>
      <w:r w:rsidR="0013032F">
        <w:t xml:space="preserve"> </w:t>
      </w:r>
      <w:r>
        <w:t>and</w:t>
      </w:r>
      <w:r w:rsidR="0013032F">
        <w:t xml:space="preserve"> </w:t>
      </w:r>
      <w:r>
        <w:t>training</w:t>
      </w:r>
      <w:r w:rsidR="0013032F">
        <w:t xml:space="preserve"> </w:t>
      </w:r>
      <w:r>
        <w:t>access,</w:t>
      </w:r>
      <w:r w:rsidR="0013032F">
        <w:t xml:space="preserve"> </w:t>
      </w:r>
      <w:r>
        <w:t>improving</w:t>
      </w:r>
      <w:r w:rsidR="0013032F">
        <w:t xml:space="preserve"> </w:t>
      </w:r>
      <w:r>
        <w:t>access</w:t>
      </w:r>
      <w:r w:rsidR="0013032F">
        <w:t xml:space="preserve"> </w:t>
      </w:r>
      <w:r>
        <w:t>for</w:t>
      </w:r>
      <w:r w:rsidR="0013032F">
        <w:t xml:space="preserve"> </w:t>
      </w:r>
      <w:r>
        <w:t>our</w:t>
      </w:r>
      <w:r w:rsidR="0013032F">
        <w:t xml:space="preserve"> </w:t>
      </w:r>
      <w:r>
        <w:t>border</w:t>
      </w:r>
      <w:r w:rsidR="0013032F">
        <w:t xml:space="preserve"> </w:t>
      </w:r>
      <w:r>
        <w:t>communities</w:t>
      </w:r>
      <w:r w:rsidR="0013032F">
        <w:t xml:space="preserve"> </w:t>
      </w:r>
      <w:r>
        <w:t>to</w:t>
      </w:r>
      <w:r w:rsidR="0013032F">
        <w:t xml:space="preserve"> </w:t>
      </w:r>
      <w:r>
        <w:t>state-based</w:t>
      </w:r>
      <w:r w:rsidR="0013032F">
        <w:t xml:space="preserve"> </w:t>
      </w:r>
      <w:r>
        <w:t>grant</w:t>
      </w:r>
      <w:r w:rsidR="0013032F">
        <w:t xml:space="preserve"> </w:t>
      </w:r>
      <w:r>
        <w:t>programs</w:t>
      </w:r>
      <w:r w:rsidR="0013032F">
        <w:t xml:space="preserve"> </w:t>
      </w:r>
      <w:r>
        <w:t>and</w:t>
      </w:r>
      <w:r w:rsidR="0013032F">
        <w:t xml:space="preserve"> </w:t>
      </w:r>
      <w:r>
        <w:t>encouraging</w:t>
      </w:r>
      <w:r w:rsidR="0013032F">
        <w:t xml:space="preserve"> </w:t>
      </w:r>
      <w:r>
        <w:t>government</w:t>
      </w:r>
      <w:r w:rsidR="0013032F">
        <w:t xml:space="preserve"> </w:t>
      </w:r>
      <w:r>
        <w:t>agencies</w:t>
      </w:r>
      <w:r w:rsidR="0013032F">
        <w:t xml:space="preserve"> </w:t>
      </w:r>
      <w:r>
        <w:t>to</w:t>
      </w:r>
      <w:r w:rsidR="0013032F">
        <w:t xml:space="preserve"> </w:t>
      </w:r>
      <w:r>
        <w:t>consider</w:t>
      </w:r>
      <w:r w:rsidR="0013032F">
        <w:t xml:space="preserve"> </w:t>
      </w:r>
      <w:r>
        <w:t>impacts</w:t>
      </w:r>
      <w:r w:rsidR="0013032F">
        <w:t xml:space="preserve"> </w:t>
      </w:r>
      <w:r>
        <w:t>on</w:t>
      </w:r>
      <w:r w:rsidR="0013032F">
        <w:t xml:space="preserve"> </w:t>
      </w:r>
      <w:r>
        <w:t>cross</w:t>
      </w:r>
      <w:r w:rsidR="0013032F">
        <w:t xml:space="preserve"> </w:t>
      </w:r>
      <w:r>
        <w:t>border</w:t>
      </w:r>
      <w:r w:rsidR="0013032F">
        <w:t xml:space="preserve"> </w:t>
      </w:r>
      <w:r>
        <w:t>communities</w:t>
      </w:r>
      <w:r w:rsidR="0013032F">
        <w:t xml:space="preserve"> </w:t>
      </w:r>
      <w:r>
        <w:t>while</w:t>
      </w:r>
      <w:r w:rsidR="0013032F">
        <w:t xml:space="preserve"> </w:t>
      </w:r>
      <w:r>
        <w:t>designing</w:t>
      </w:r>
      <w:r w:rsidR="0013032F">
        <w:t xml:space="preserve"> </w:t>
      </w:r>
      <w:r>
        <w:t>legislation</w:t>
      </w:r>
      <w:r w:rsidR="0013032F">
        <w:t xml:space="preserve"> </w:t>
      </w:r>
      <w:r>
        <w:t>and/or</w:t>
      </w:r>
      <w:r w:rsidR="0013032F">
        <w:t xml:space="preserve"> </w:t>
      </w:r>
      <w:r>
        <w:t>government</w:t>
      </w:r>
      <w:r w:rsidR="0013032F">
        <w:t xml:space="preserve"> </w:t>
      </w:r>
      <w:r>
        <w:t>policies</w:t>
      </w:r>
      <w:r w:rsidR="0013032F">
        <w:t xml:space="preserve"> </w:t>
      </w:r>
      <w:r>
        <w:t>and</w:t>
      </w:r>
      <w:r w:rsidR="0013032F">
        <w:t xml:space="preserve"> </w:t>
      </w:r>
      <w:r>
        <w:t>programs</w:t>
      </w:r>
    </w:p>
    <w:p w14:paraId="143986BE" w14:textId="1157A56B" w:rsidR="00757772" w:rsidRDefault="00305D3C" w:rsidP="002E1560">
      <w:pPr>
        <w:pStyle w:val="Bullet"/>
      </w:pPr>
      <w:r>
        <w:t>visiting</w:t>
      </w:r>
      <w:r w:rsidR="0013032F">
        <w:t xml:space="preserve"> </w:t>
      </w:r>
      <w:r>
        <w:t>isolated</w:t>
      </w:r>
      <w:r w:rsidR="0013032F">
        <w:t xml:space="preserve"> </w:t>
      </w:r>
      <w:r>
        <w:t>border</w:t>
      </w:r>
      <w:r w:rsidR="0013032F">
        <w:t xml:space="preserve"> </w:t>
      </w:r>
      <w:r>
        <w:t>communities</w:t>
      </w:r>
      <w:r w:rsidR="0013032F">
        <w:t xml:space="preserve"> </w:t>
      </w:r>
      <w:r>
        <w:t>and</w:t>
      </w:r>
      <w:r w:rsidR="0013032F">
        <w:t xml:space="preserve"> </w:t>
      </w:r>
      <w:r>
        <w:t>working</w:t>
      </w:r>
      <w:r w:rsidR="0013032F">
        <w:t xml:space="preserve"> </w:t>
      </w:r>
      <w:r>
        <w:rPr>
          <w:spacing w:val="-3"/>
        </w:rPr>
        <w:t>with</w:t>
      </w:r>
      <w:r w:rsidR="0013032F">
        <w:rPr>
          <w:spacing w:val="-3"/>
        </w:rPr>
        <w:t xml:space="preserve"> </w:t>
      </w:r>
      <w:r>
        <w:rPr>
          <w:spacing w:val="-3"/>
        </w:rPr>
        <w:t>government</w:t>
      </w:r>
      <w:r w:rsidR="0013032F">
        <w:rPr>
          <w:spacing w:val="-3"/>
        </w:rPr>
        <w:t xml:space="preserve"> </w:t>
      </w:r>
      <w:r>
        <w:rPr>
          <w:spacing w:val="-3"/>
        </w:rPr>
        <w:t>departments</w:t>
      </w:r>
      <w:r w:rsidR="0013032F">
        <w:rPr>
          <w:spacing w:val="-3"/>
        </w:rPr>
        <w:t xml:space="preserve"> </w:t>
      </w:r>
      <w:r>
        <w:rPr>
          <w:spacing w:val="-3"/>
        </w:rPr>
        <w:t>and</w:t>
      </w:r>
      <w:r w:rsidR="0013032F">
        <w:rPr>
          <w:spacing w:val="-3"/>
        </w:rPr>
        <w:t xml:space="preserve"> </w:t>
      </w:r>
      <w:r>
        <w:rPr>
          <w:spacing w:val="-3"/>
        </w:rPr>
        <w:t>agencies</w:t>
      </w:r>
      <w:r w:rsidR="0013032F">
        <w:rPr>
          <w:spacing w:val="-3"/>
        </w:rPr>
        <w:t xml:space="preserve"> </w:t>
      </w:r>
      <w:r>
        <w:rPr>
          <w:spacing w:val="-3"/>
        </w:rPr>
        <w:t>to</w:t>
      </w:r>
      <w:r w:rsidR="0013032F">
        <w:rPr>
          <w:spacing w:val="-3"/>
        </w:rPr>
        <w:t xml:space="preserve"> </w:t>
      </w:r>
      <w:r>
        <w:rPr>
          <w:spacing w:val="-3"/>
        </w:rPr>
        <w:t>ensure</w:t>
      </w:r>
      <w:r w:rsidR="0013032F">
        <w:rPr>
          <w:spacing w:val="-3"/>
        </w:rPr>
        <w:t xml:space="preserve"> </w:t>
      </w:r>
      <w:r>
        <w:rPr>
          <w:spacing w:val="-3"/>
        </w:rPr>
        <w:t>that</w:t>
      </w:r>
      <w:r w:rsidR="0013032F">
        <w:rPr>
          <w:spacing w:val="-3"/>
        </w:rPr>
        <w:t xml:space="preserve"> </w:t>
      </w:r>
      <w:r>
        <w:rPr>
          <w:spacing w:val="-3"/>
        </w:rPr>
        <w:t>government</w:t>
      </w:r>
      <w:r w:rsidR="0013032F">
        <w:rPr>
          <w:spacing w:val="-3"/>
        </w:rPr>
        <w:t xml:space="preserve"> </w:t>
      </w:r>
      <w:r>
        <w:rPr>
          <w:spacing w:val="-3"/>
        </w:rPr>
        <w:t>programs</w:t>
      </w:r>
      <w:r w:rsidR="0013032F">
        <w:rPr>
          <w:spacing w:val="-3"/>
        </w:rPr>
        <w:t xml:space="preserve"> </w:t>
      </w:r>
      <w:r>
        <w:rPr>
          <w:spacing w:val="-3"/>
        </w:rPr>
        <w:t>had</w:t>
      </w:r>
      <w:r w:rsidR="0013032F">
        <w:rPr>
          <w:spacing w:val="-3"/>
        </w:rPr>
        <w:t xml:space="preserve"> </w:t>
      </w:r>
      <w:r>
        <w:rPr>
          <w:spacing w:val="-3"/>
        </w:rPr>
        <w:t>explicit</w:t>
      </w:r>
      <w:r w:rsidR="0013032F">
        <w:rPr>
          <w:spacing w:val="-3"/>
        </w:rPr>
        <w:t xml:space="preserve"> </w:t>
      </w:r>
      <w:r>
        <w:rPr>
          <w:spacing w:val="-3"/>
        </w:rPr>
        <w:t>provision</w:t>
      </w:r>
      <w:r w:rsidR="0013032F">
        <w:rPr>
          <w:spacing w:val="-3"/>
        </w:rPr>
        <w:t xml:space="preserve"> </w:t>
      </w:r>
      <w:r>
        <w:rPr>
          <w:spacing w:val="-3"/>
        </w:rPr>
        <w:t>for</w:t>
      </w:r>
      <w:r w:rsidR="0013032F">
        <w:rPr>
          <w:spacing w:val="-3"/>
        </w:rPr>
        <w:t xml:space="preserve"> </w:t>
      </w:r>
      <w:r>
        <w:t>these</w:t>
      </w:r>
      <w:r w:rsidR="0013032F">
        <w:t xml:space="preserve"> </w:t>
      </w:r>
      <w:r>
        <w:t>communities</w:t>
      </w:r>
    </w:p>
    <w:p w14:paraId="7DF2F29F" w14:textId="6A5D4BB3" w:rsidR="00757772" w:rsidRDefault="00305D3C" w:rsidP="002E1560">
      <w:pPr>
        <w:pStyle w:val="Bullet"/>
      </w:pPr>
      <w:r>
        <w:t>working</w:t>
      </w:r>
      <w:r w:rsidR="0013032F">
        <w:t xml:space="preserve"> </w:t>
      </w:r>
      <w:r>
        <w:t>with</w:t>
      </w:r>
      <w:r w:rsidR="0013032F">
        <w:t xml:space="preserve"> </w:t>
      </w:r>
      <w:r>
        <w:t>the</w:t>
      </w:r>
      <w:r w:rsidR="0013032F">
        <w:t xml:space="preserve"> </w:t>
      </w:r>
      <w:r>
        <w:t>New</w:t>
      </w:r>
      <w:r w:rsidR="0013032F">
        <w:t xml:space="preserve"> </w:t>
      </w:r>
      <w:r>
        <w:t>South</w:t>
      </w:r>
      <w:r w:rsidR="0013032F">
        <w:t xml:space="preserve"> </w:t>
      </w:r>
      <w:r>
        <w:t>Wales</w:t>
      </w:r>
      <w:r w:rsidR="0013032F">
        <w:t xml:space="preserve"> </w:t>
      </w:r>
      <w:r>
        <w:t>Cross</w:t>
      </w:r>
      <w:r w:rsidR="0013032F">
        <w:t xml:space="preserve"> </w:t>
      </w:r>
      <w:r>
        <w:t>Border</w:t>
      </w:r>
      <w:r w:rsidR="0013032F">
        <w:t xml:space="preserve"> </w:t>
      </w:r>
      <w:r>
        <w:t>Commissioner</w:t>
      </w:r>
      <w:r w:rsidR="0013032F">
        <w:t xml:space="preserve"> </w:t>
      </w:r>
      <w:r>
        <w:t>to</w:t>
      </w:r>
      <w:r w:rsidR="0013032F">
        <w:t xml:space="preserve"> </w:t>
      </w:r>
      <w:r>
        <w:t>progress</w:t>
      </w:r>
      <w:r w:rsidR="0013032F">
        <w:t xml:space="preserve"> </w:t>
      </w:r>
      <w:r>
        <w:t>joint</w:t>
      </w:r>
      <w:r w:rsidR="0013032F">
        <w:t xml:space="preserve"> </w:t>
      </w:r>
      <w:r>
        <w:t>work</w:t>
      </w:r>
      <w:r w:rsidR="0013032F">
        <w:t xml:space="preserve"> </w:t>
      </w:r>
      <w:r>
        <w:t>under</w:t>
      </w:r>
      <w:r w:rsidR="0013032F">
        <w:t xml:space="preserve"> </w:t>
      </w:r>
      <w:r>
        <w:t>the</w:t>
      </w:r>
      <w:r w:rsidR="0013032F">
        <w:t xml:space="preserve"> </w:t>
      </w:r>
      <w:r>
        <w:t>Memorandum</w:t>
      </w:r>
      <w:r w:rsidR="0013032F">
        <w:t xml:space="preserve"> </w:t>
      </w:r>
      <w:r>
        <w:t>of</w:t>
      </w:r>
      <w:r w:rsidR="0013032F">
        <w:t xml:space="preserve"> </w:t>
      </w:r>
      <w:r>
        <w:t>Understanding</w:t>
      </w:r>
      <w:r w:rsidR="0013032F">
        <w:t xml:space="preserve"> </w:t>
      </w:r>
      <w:r>
        <w:t>for</w:t>
      </w:r>
      <w:r w:rsidR="0013032F">
        <w:t xml:space="preserve"> </w:t>
      </w:r>
      <w:r>
        <w:t>Cross</w:t>
      </w:r>
      <w:r w:rsidR="0013032F">
        <w:t xml:space="preserve"> </w:t>
      </w:r>
      <w:r>
        <w:t>Border</w:t>
      </w:r>
      <w:r w:rsidR="0013032F">
        <w:t xml:space="preserve"> </w:t>
      </w:r>
      <w:r>
        <w:t>Collaboration</w:t>
      </w:r>
      <w:r w:rsidR="0013032F">
        <w:t xml:space="preserve"> </w:t>
      </w:r>
      <w:r>
        <w:t>between</w:t>
      </w:r>
      <w:r w:rsidR="0013032F">
        <w:t xml:space="preserve"> </w:t>
      </w:r>
      <w:r>
        <w:t>Victoria</w:t>
      </w:r>
      <w:r w:rsidR="0013032F">
        <w:t xml:space="preserve"> </w:t>
      </w:r>
      <w:r>
        <w:t>and</w:t>
      </w:r>
      <w:r w:rsidR="0013032F">
        <w:t xml:space="preserve"> </w:t>
      </w:r>
      <w:r>
        <w:t>New</w:t>
      </w:r>
      <w:r w:rsidR="0013032F">
        <w:t xml:space="preserve"> </w:t>
      </w:r>
      <w:r>
        <w:t>South</w:t>
      </w:r>
      <w:r w:rsidR="0013032F">
        <w:t xml:space="preserve"> </w:t>
      </w:r>
      <w:r>
        <w:t>Wales</w:t>
      </w:r>
    </w:p>
    <w:p w14:paraId="6C52C887" w14:textId="7B7F7F8D" w:rsidR="00757772" w:rsidRDefault="00305D3C" w:rsidP="002E1560">
      <w:pPr>
        <w:pStyle w:val="Bulletlast"/>
      </w:pPr>
      <w:r>
        <w:t>liaising</w:t>
      </w:r>
      <w:r w:rsidR="0013032F">
        <w:t xml:space="preserve"> </w:t>
      </w:r>
      <w:r>
        <w:t>with</w:t>
      </w:r>
      <w:r w:rsidR="0013032F">
        <w:t xml:space="preserve"> </w:t>
      </w:r>
      <w:r>
        <w:t>South</w:t>
      </w:r>
      <w:r w:rsidR="0013032F">
        <w:t xml:space="preserve"> </w:t>
      </w:r>
      <w:r>
        <w:t>Australia’s</w:t>
      </w:r>
      <w:r w:rsidR="0013032F">
        <w:t xml:space="preserve"> </w:t>
      </w:r>
      <w:r>
        <w:t>new</w:t>
      </w:r>
      <w:r w:rsidR="0013032F">
        <w:t xml:space="preserve"> </w:t>
      </w:r>
      <w:r>
        <w:t>Cross</w:t>
      </w:r>
      <w:r w:rsidR="0013032F">
        <w:t xml:space="preserve"> </w:t>
      </w:r>
      <w:r>
        <w:t>Border</w:t>
      </w:r>
      <w:r w:rsidR="0013032F">
        <w:t xml:space="preserve"> </w:t>
      </w:r>
      <w:r>
        <w:t>Commissioner,</w:t>
      </w:r>
      <w:r w:rsidR="0013032F">
        <w:t xml:space="preserve"> </w:t>
      </w:r>
      <w:r>
        <w:t>who</w:t>
      </w:r>
      <w:r w:rsidR="0013032F">
        <w:t xml:space="preserve"> </w:t>
      </w:r>
      <w:r>
        <w:t>commenced</w:t>
      </w:r>
      <w:r w:rsidR="0013032F">
        <w:t xml:space="preserve"> </w:t>
      </w:r>
      <w:r>
        <w:t>in</w:t>
      </w:r>
      <w:r w:rsidR="0013032F">
        <w:t xml:space="preserve"> </w:t>
      </w:r>
      <w:r>
        <w:t>April</w:t>
      </w:r>
      <w:r w:rsidR="0013032F">
        <w:t xml:space="preserve"> </w:t>
      </w:r>
      <w:r>
        <w:t>2023,</w:t>
      </w:r>
      <w:r w:rsidR="0013032F">
        <w:t xml:space="preserve"> </w:t>
      </w:r>
      <w:r>
        <w:t>to</w:t>
      </w:r>
      <w:r w:rsidR="0013032F">
        <w:t xml:space="preserve"> </w:t>
      </w:r>
      <w:r>
        <w:t>facilitate</w:t>
      </w:r>
      <w:r w:rsidR="0013032F">
        <w:t xml:space="preserve"> </w:t>
      </w:r>
      <w:r>
        <w:t>efforts</w:t>
      </w:r>
      <w:r w:rsidR="0013032F">
        <w:t xml:space="preserve"> </w:t>
      </w:r>
      <w:r>
        <w:t>addressing</w:t>
      </w:r>
      <w:r w:rsidR="0013032F">
        <w:t xml:space="preserve"> </w:t>
      </w:r>
      <w:r>
        <w:t>anomalies</w:t>
      </w:r>
      <w:r w:rsidR="0013032F">
        <w:t xml:space="preserve"> </w:t>
      </w:r>
      <w:r>
        <w:t>on</w:t>
      </w:r>
      <w:r w:rsidR="0013032F">
        <w:t xml:space="preserve"> </w:t>
      </w:r>
      <w:r>
        <w:t>that</w:t>
      </w:r>
      <w:r w:rsidR="0013032F">
        <w:t xml:space="preserve"> </w:t>
      </w:r>
      <w:r>
        <w:t>border.</w:t>
      </w:r>
    </w:p>
    <w:p w14:paraId="3EE3CC2B" w14:textId="13F55C9B" w:rsidR="00757772" w:rsidRDefault="00305D3C" w:rsidP="002E1560">
      <w:r>
        <w:t>The</w:t>
      </w:r>
      <w:r w:rsidR="0013032F">
        <w:t xml:space="preserve"> </w:t>
      </w:r>
      <w:r>
        <w:t>Commissioner</w:t>
      </w:r>
      <w:r w:rsidR="0013032F">
        <w:t xml:space="preserve"> </w:t>
      </w:r>
      <w:r>
        <w:t>hosted</w:t>
      </w:r>
      <w:r w:rsidR="0013032F">
        <w:t xml:space="preserve"> </w:t>
      </w:r>
      <w:r>
        <w:t>several</w:t>
      </w:r>
      <w:r w:rsidR="0013032F">
        <w:t xml:space="preserve"> </w:t>
      </w:r>
      <w:r>
        <w:t>forums</w:t>
      </w:r>
      <w:r w:rsidR="0013032F">
        <w:t xml:space="preserve"> </w:t>
      </w:r>
      <w:r>
        <w:t>including</w:t>
      </w:r>
      <w:r w:rsidR="0013032F">
        <w:t xml:space="preserve"> </w:t>
      </w:r>
      <w:r>
        <w:t>events</w:t>
      </w:r>
      <w:r w:rsidR="0013032F">
        <w:t xml:space="preserve"> </w:t>
      </w:r>
      <w:r>
        <w:t>in</w:t>
      </w:r>
      <w:r w:rsidR="0013032F">
        <w:t xml:space="preserve"> </w:t>
      </w:r>
      <w:r>
        <w:t>Mildura</w:t>
      </w:r>
      <w:r w:rsidR="0013032F">
        <w:t xml:space="preserve"> </w:t>
      </w:r>
      <w:r>
        <w:t>for</w:t>
      </w:r>
      <w:r w:rsidR="0013032F">
        <w:t xml:space="preserve"> </w:t>
      </w:r>
      <w:r>
        <w:t>social</w:t>
      </w:r>
      <w:r w:rsidR="0013032F">
        <w:t xml:space="preserve"> </w:t>
      </w:r>
      <w:r>
        <w:t>services</w:t>
      </w:r>
      <w:r w:rsidR="0013032F">
        <w:t xml:space="preserve"> </w:t>
      </w:r>
      <w:r>
        <w:t>agencies</w:t>
      </w:r>
      <w:r w:rsidR="0013032F">
        <w:t xml:space="preserve"> </w:t>
      </w:r>
      <w:r>
        <w:t>from</w:t>
      </w:r>
      <w:r w:rsidR="0013032F">
        <w:t xml:space="preserve"> </w:t>
      </w:r>
      <w:r>
        <w:t>the</w:t>
      </w:r>
      <w:r w:rsidR="0013032F">
        <w:t xml:space="preserve"> </w:t>
      </w:r>
      <w:r>
        <w:t>border</w:t>
      </w:r>
      <w:r w:rsidR="0013032F">
        <w:t xml:space="preserve"> </w:t>
      </w:r>
      <w:r>
        <w:t>areas</w:t>
      </w:r>
      <w:r w:rsidR="0013032F">
        <w:t xml:space="preserve"> </w:t>
      </w:r>
      <w:r>
        <w:t>of</w:t>
      </w:r>
      <w:r w:rsidR="0013032F">
        <w:t xml:space="preserve"> </w:t>
      </w:r>
      <w:r>
        <w:t>Victoria,</w:t>
      </w:r>
      <w:r w:rsidR="0013032F">
        <w:t xml:space="preserve"> </w:t>
      </w:r>
      <w:r>
        <w:t>NSW</w:t>
      </w:r>
      <w:r w:rsidR="0013032F">
        <w:t xml:space="preserve"> </w:t>
      </w:r>
      <w:r>
        <w:t>and</w:t>
      </w:r>
      <w:r w:rsidR="0013032F">
        <w:t xml:space="preserve"> </w:t>
      </w:r>
      <w:r>
        <w:t>South</w:t>
      </w:r>
      <w:r w:rsidR="0013032F">
        <w:t xml:space="preserve"> </w:t>
      </w:r>
      <w:r>
        <w:t>Australia,</w:t>
      </w:r>
      <w:r w:rsidR="0013032F">
        <w:t xml:space="preserve"> </w:t>
      </w:r>
      <w:r>
        <w:t>as</w:t>
      </w:r>
      <w:r w:rsidR="0013032F">
        <w:t xml:space="preserve"> </w:t>
      </w:r>
      <w:r>
        <w:t>well</w:t>
      </w:r>
      <w:r w:rsidR="0013032F">
        <w:t xml:space="preserve"> </w:t>
      </w:r>
      <w:r>
        <w:t>as</w:t>
      </w:r>
      <w:r w:rsidR="0013032F">
        <w:t xml:space="preserve"> </w:t>
      </w:r>
      <w:r>
        <w:t>joint</w:t>
      </w:r>
      <w:r w:rsidR="0013032F">
        <w:t xml:space="preserve"> </w:t>
      </w:r>
      <w:r>
        <w:t>meetings</w:t>
      </w:r>
      <w:r w:rsidR="0013032F">
        <w:t xml:space="preserve"> </w:t>
      </w:r>
      <w:r>
        <w:t>of</w:t>
      </w:r>
      <w:r w:rsidR="0013032F">
        <w:t xml:space="preserve"> </w:t>
      </w:r>
      <w:r>
        <w:t>local</w:t>
      </w:r>
      <w:r w:rsidR="0013032F">
        <w:t xml:space="preserve"> </w:t>
      </w:r>
      <w:r>
        <w:t>government</w:t>
      </w:r>
      <w:r w:rsidR="0013032F">
        <w:t xml:space="preserve"> </w:t>
      </w:r>
      <w:r>
        <w:t>leaders</w:t>
      </w:r>
      <w:r w:rsidR="0013032F">
        <w:t xml:space="preserve"> </w:t>
      </w:r>
      <w:r>
        <w:t>from</w:t>
      </w:r>
      <w:r w:rsidR="0013032F">
        <w:t xml:space="preserve"> </w:t>
      </w:r>
      <w:r>
        <w:t>western</w:t>
      </w:r>
      <w:r w:rsidR="0013032F">
        <w:t xml:space="preserve"> </w:t>
      </w:r>
      <w:r>
        <w:t>Victoria</w:t>
      </w:r>
      <w:r w:rsidR="0013032F">
        <w:t xml:space="preserve"> </w:t>
      </w:r>
      <w:r>
        <w:t>and</w:t>
      </w:r>
      <w:r w:rsidR="0013032F">
        <w:t xml:space="preserve"> </w:t>
      </w:r>
      <w:r>
        <w:t>southeast</w:t>
      </w:r>
      <w:r w:rsidR="0013032F">
        <w:t xml:space="preserve"> </w:t>
      </w:r>
      <w:r>
        <w:t>South</w:t>
      </w:r>
      <w:r w:rsidR="0013032F">
        <w:t xml:space="preserve"> </w:t>
      </w:r>
      <w:r>
        <w:t>Australia.</w:t>
      </w:r>
    </w:p>
    <w:p w14:paraId="0FD3F5E3" w14:textId="2EE78405" w:rsidR="00757772" w:rsidRDefault="00305D3C" w:rsidP="002E1560">
      <w:pPr>
        <w:rPr>
          <w:rFonts w:ascii="VIC Light" w:hAnsi="VIC Light" w:cs="VIC Light"/>
          <w:color w:val="5D1869"/>
          <w:sz w:val="16"/>
          <w:szCs w:val="16"/>
        </w:rPr>
      </w:pPr>
      <w:r>
        <w:t>The</w:t>
      </w:r>
      <w:r w:rsidR="0013032F">
        <w:t xml:space="preserve"> </w:t>
      </w:r>
      <w:r>
        <w:t>Cross</w:t>
      </w:r>
      <w:r w:rsidR="0013032F">
        <w:t xml:space="preserve"> </w:t>
      </w:r>
      <w:r>
        <w:t>Border</w:t>
      </w:r>
      <w:r w:rsidR="0013032F">
        <w:t xml:space="preserve"> </w:t>
      </w:r>
      <w:r>
        <w:t>Commissioner</w:t>
      </w:r>
      <w:r w:rsidR="0013032F">
        <w:t xml:space="preserve"> </w:t>
      </w:r>
      <w:r>
        <w:t>continued</w:t>
      </w:r>
      <w:r w:rsidR="0013032F">
        <w:t xml:space="preserve"> </w:t>
      </w:r>
      <w:r>
        <w:t>to</w:t>
      </w:r>
      <w:r w:rsidR="0013032F">
        <w:t xml:space="preserve"> </w:t>
      </w:r>
      <w:r>
        <w:t>participate</w:t>
      </w:r>
      <w:r w:rsidR="0013032F">
        <w:t xml:space="preserve"> </w:t>
      </w:r>
      <w:r>
        <w:t>in</w:t>
      </w:r>
      <w:r w:rsidR="0013032F">
        <w:t xml:space="preserve"> </w:t>
      </w:r>
      <w:r>
        <w:t>Victoria’s</w:t>
      </w:r>
      <w:r w:rsidR="0013032F">
        <w:t xml:space="preserve"> </w:t>
      </w:r>
      <w:r>
        <w:t>emergency</w:t>
      </w:r>
      <w:r w:rsidR="0013032F">
        <w:t xml:space="preserve"> </w:t>
      </w:r>
      <w:r>
        <w:t>management</w:t>
      </w:r>
      <w:r w:rsidR="0013032F">
        <w:t xml:space="preserve"> </w:t>
      </w:r>
      <w:r>
        <w:t>structures</w:t>
      </w:r>
      <w:r w:rsidR="0013032F">
        <w:t xml:space="preserve"> </w:t>
      </w:r>
      <w:r>
        <w:t>pursuant</w:t>
      </w:r>
      <w:r w:rsidR="0013032F">
        <w:t xml:space="preserve"> </w:t>
      </w:r>
      <w:r>
        <w:t>to</w:t>
      </w:r>
      <w:r w:rsidR="0013032F">
        <w:t xml:space="preserve"> </w:t>
      </w:r>
      <w:r>
        <w:t>Recommendation</w:t>
      </w:r>
      <w:r w:rsidR="0013032F">
        <w:t xml:space="preserve"> </w:t>
      </w:r>
      <w:r>
        <w:t>16</w:t>
      </w:r>
      <w:r w:rsidR="0013032F">
        <w:t xml:space="preserve"> </w:t>
      </w:r>
      <w:r>
        <w:t>of</w:t>
      </w:r>
      <w:r w:rsidR="0013032F">
        <w:t xml:space="preserve"> </w:t>
      </w:r>
      <w:r>
        <w:t>the</w:t>
      </w:r>
      <w:r w:rsidR="0013032F">
        <w:t xml:space="preserve"> </w:t>
      </w:r>
      <w:r>
        <w:t>Inquiry</w:t>
      </w:r>
      <w:r w:rsidR="0013032F">
        <w:t xml:space="preserve"> </w:t>
      </w:r>
      <w:r>
        <w:t>into</w:t>
      </w:r>
      <w:r w:rsidR="0013032F">
        <w:t xml:space="preserve"> </w:t>
      </w:r>
      <w:r>
        <w:t>the</w:t>
      </w:r>
      <w:r w:rsidR="0013032F">
        <w:t xml:space="preserve"> </w:t>
      </w:r>
      <w:r>
        <w:t>2019–20</w:t>
      </w:r>
      <w:r w:rsidR="0013032F">
        <w:t xml:space="preserve"> </w:t>
      </w:r>
      <w:r>
        <w:t>Victorian</w:t>
      </w:r>
      <w:r w:rsidR="0013032F">
        <w:t xml:space="preserve"> </w:t>
      </w:r>
      <w:r>
        <w:t>fire</w:t>
      </w:r>
      <w:r w:rsidR="0013032F">
        <w:t xml:space="preserve"> </w:t>
      </w:r>
      <w:r>
        <w:t>season</w:t>
      </w:r>
      <w:r w:rsidR="0013032F">
        <w:t xml:space="preserve"> </w:t>
      </w:r>
      <w:r>
        <w:rPr>
          <w:spacing w:val="-2"/>
        </w:rPr>
        <w:t>(Phase</w:t>
      </w:r>
      <w:r w:rsidR="0013032F">
        <w:rPr>
          <w:spacing w:val="-2"/>
        </w:rPr>
        <w:t xml:space="preserve"> </w:t>
      </w:r>
      <w:r>
        <w:rPr>
          <w:spacing w:val="-2"/>
        </w:rPr>
        <w:t>1)</w:t>
      </w:r>
      <w:r w:rsidR="0013032F">
        <w:rPr>
          <w:spacing w:val="-2"/>
        </w:rPr>
        <w:t xml:space="preserve"> </w:t>
      </w:r>
      <w:r>
        <w:rPr>
          <w:spacing w:val="-2"/>
        </w:rPr>
        <w:t>report</w:t>
      </w:r>
      <w:r w:rsidR="0013032F">
        <w:rPr>
          <w:spacing w:val="-2"/>
        </w:rPr>
        <w:t xml:space="preserve"> </w:t>
      </w:r>
      <w:r>
        <w:rPr>
          <w:spacing w:val="-2"/>
        </w:rPr>
        <w:t>by</w:t>
      </w:r>
      <w:r w:rsidR="0013032F">
        <w:rPr>
          <w:spacing w:val="-2"/>
        </w:rPr>
        <w:t xml:space="preserve"> </w:t>
      </w:r>
      <w:r>
        <w:rPr>
          <w:spacing w:val="-2"/>
        </w:rPr>
        <w:t>Victoria’s</w:t>
      </w:r>
      <w:r w:rsidR="0013032F">
        <w:rPr>
          <w:spacing w:val="-2"/>
        </w:rPr>
        <w:t xml:space="preserve"> </w:t>
      </w:r>
      <w:r>
        <w:rPr>
          <w:spacing w:val="-2"/>
        </w:rPr>
        <w:t>Inspector</w:t>
      </w:r>
      <w:r>
        <w:rPr>
          <w:spacing w:val="-2"/>
        </w:rPr>
        <w:noBreakHyphen/>
        <w:t>General</w:t>
      </w:r>
      <w:r w:rsidR="0013032F">
        <w:rPr>
          <w:spacing w:val="-2"/>
        </w:rPr>
        <w:t xml:space="preserve"> </w:t>
      </w:r>
      <w:r>
        <w:rPr>
          <w:spacing w:val="-2"/>
        </w:rPr>
        <w:t>for</w:t>
      </w:r>
      <w:r w:rsidR="0013032F">
        <w:rPr>
          <w:spacing w:val="-2"/>
        </w:rPr>
        <w:t xml:space="preserve"> </w:t>
      </w:r>
      <w:r>
        <w:rPr>
          <w:spacing w:val="-2"/>
        </w:rPr>
        <w:t>Emergency</w:t>
      </w:r>
      <w:r w:rsidR="0013032F">
        <w:rPr>
          <w:spacing w:val="-2"/>
        </w:rPr>
        <w:t xml:space="preserve"> </w:t>
      </w:r>
      <w:r>
        <w:rPr>
          <w:spacing w:val="-2"/>
        </w:rPr>
        <w:t>Management,</w:t>
      </w:r>
      <w:r w:rsidR="0013032F">
        <w:rPr>
          <w:spacing w:val="-2"/>
        </w:rPr>
        <w:t xml:space="preserve"> </w:t>
      </w:r>
      <w:r>
        <w:rPr>
          <w:spacing w:val="-2"/>
        </w:rPr>
        <w:t>and</w:t>
      </w:r>
      <w:r w:rsidR="0013032F">
        <w:rPr>
          <w:spacing w:val="-2"/>
        </w:rPr>
        <w:t xml:space="preserve"> </w:t>
      </w:r>
      <w:r>
        <w:rPr>
          <w:spacing w:val="-2"/>
        </w:rPr>
        <w:t>provided</w:t>
      </w:r>
      <w:r w:rsidR="0013032F">
        <w:rPr>
          <w:spacing w:val="-2"/>
        </w:rPr>
        <w:t xml:space="preserve"> </w:t>
      </w:r>
      <w:r>
        <w:rPr>
          <w:spacing w:val="-2"/>
        </w:rPr>
        <w:t>input</w:t>
      </w:r>
      <w:r w:rsidR="0013032F">
        <w:rPr>
          <w:spacing w:val="-2"/>
        </w:rPr>
        <w:t xml:space="preserve"> </w:t>
      </w:r>
      <w:r>
        <w:t>on</w:t>
      </w:r>
      <w:r w:rsidR="0013032F">
        <w:t xml:space="preserve"> </w:t>
      </w:r>
      <w:r>
        <w:t>cross-border</w:t>
      </w:r>
      <w:r w:rsidR="0013032F">
        <w:t xml:space="preserve"> </w:t>
      </w:r>
      <w:r>
        <w:t>impacts</w:t>
      </w:r>
      <w:r w:rsidR="0013032F">
        <w:t xml:space="preserve"> </w:t>
      </w:r>
      <w:r>
        <w:t>during</w:t>
      </w:r>
      <w:r w:rsidR="0013032F">
        <w:t xml:space="preserve"> </w:t>
      </w:r>
      <w:r>
        <w:t>the</w:t>
      </w:r>
      <w:r w:rsidR="0013032F">
        <w:t xml:space="preserve"> </w:t>
      </w:r>
      <w:r>
        <w:t>2022</w:t>
      </w:r>
      <w:r w:rsidR="0013032F">
        <w:t xml:space="preserve"> </w:t>
      </w:r>
      <w:r>
        <w:t>Victorian</w:t>
      </w:r>
      <w:r w:rsidR="0013032F">
        <w:t xml:space="preserve"> </w:t>
      </w:r>
      <w:r>
        <w:t>flood</w:t>
      </w:r>
      <w:r w:rsidR="0013032F">
        <w:t xml:space="preserve"> </w:t>
      </w:r>
      <w:r>
        <w:t>emergency.</w:t>
      </w:r>
    </w:p>
    <w:p w14:paraId="518CCF45" w14:textId="27450B16" w:rsidR="00757772" w:rsidRDefault="00305D3C" w:rsidP="002E1560">
      <w:pPr>
        <w:pStyle w:val="Heading1"/>
      </w:pPr>
      <w:bookmarkStart w:id="36" w:name="_Toc149566582"/>
      <w:r>
        <w:lastRenderedPageBreak/>
        <w:t>Regional</w:t>
      </w:r>
      <w:r w:rsidR="0013032F">
        <w:t xml:space="preserve"> </w:t>
      </w:r>
      <w:r>
        <w:t>Economic</w:t>
      </w:r>
      <w:r w:rsidR="0013032F">
        <w:t xml:space="preserve"> </w:t>
      </w:r>
      <w:r>
        <w:t>Development</w:t>
      </w:r>
      <w:r w:rsidR="0013032F">
        <w:t xml:space="preserve"> </w:t>
      </w:r>
      <w:r>
        <w:t>Strategies</w:t>
      </w:r>
      <w:r w:rsidR="0013032F">
        <w:t xml:space="preserve"> </w:t>
      </w:r>
      <w:r>
        <w:t>(REDS)</w:t>
      </w:r>
      <w:bookmarkEnd w:id="36"/>
    </w:p>
    <w:p w14:paraId="21F860B0" w14:textId="4515E228" w:rsidR="00757772" w:rsidRDefault="00305D3C" w:rsidP="002E1560">
      <w:r>
        <w:t>The</w:t>
      </w:r>
      <w:r w:rsidR="0013032F">
        <w:t xml:space="preserve"> </w:t>
      </w:r>
      <w:r>
        <w:t>Regional</w:t>
      </w:r>
      <w:r w:rsidR="0013032F">
        <w:t xml:space="preserve"> </w:t>
      </w:r>
      <w:r>
        <w:t>Economic</w:t>
      </w:r>
      <w:r w:rsidR="0013032F">
        <w:t xml:space="preserve"> </w:t>
      </w:r>
      <w:r>
        <w:t>Development</w:t>
      </w:r>
      <w:r w:rsidR="0013032F">
        <w:t xml:space="preserve"> </w:t>
      </w:r>
      <w:r>
        <w:t>Strategies</w:t>
      </w:r>
      <w:r w:rsidR="0013032F">
        <w:t xml:space="preserve"> </w:t>
      </w:r>
      <w:r>
        <w:t>(REDS)</w:t>
      </w:r>
      <w:r w:rsidR="0013032F">
        <w:t xml:space="preserve"> </w:t>
      </w:r>
      <w:r>
        <w:t>were</w:t>
      </w:r>
      <w:r w:rsidR="0013032F">
        <w:t xml:space="preserve"> </w:t>
      </w:r>
      <w:r>
        <w:t>released</w:t>
      </w:r>
      <w:r w:rsidR="0013032F">
        <w:t xml:space="preserve"> </w:t>
      </w:r>
      <w:r>
        <w:t>in</w:t>
      </w:r>
      <w:r w:rsidR="0013032F">
        <w:t xml:space="preserve"> </w:t>
      </w:r>
      <w:r>
        <w:t>May</w:t>
      </w:r>
      <w:r w:rsidR="0013032F">
        <w:t xml:space="preserve"> </w:t>
      </w:r>
      <w:r>
        <w:t>2022.</w:t>
      </w:r>
      <w:r w:rsidR="0013032F">
        <w:t xml:space="preserve"> </w:t>
      </w:r>
    </w:p>
    <w:p w14:paraId="50A1F283" w14:textId="2BDB223D" w:rsidR="00757772" w:rsidRPr="002E1560" w:rsidRDefault="00305D3C" w:rsidP="002E1560">
      <w:r w:rsidRPr="002E1560">
        <w:t>The</w:t>
      </w:r>
      <w:r w:rsidR="0013032F" w:rsidRPr="002E1560">
        <w:t xml:space="preserve"> </w:t>
      </w:r>
      <w:r w:rsidRPr="002E1560">
        <w:t>REDS</w:t>
      </w:r>
      <w:r w:rsidR="0013032F" w:rsidRPr="002E1560">
        <w:t xml:space="preserve"> </w:t>
      </w:r>
      <w:r w:rsidRPr="002E1560">
        <w:t>provide</w:t>
      </w:r>
      <w:r w:rsidR="0013032F" w:rsidRPr="002E1560">
        <w:t xml:space="preserve"> </w:t>
      </w:r>
      <w:r w:rsidRPr="002E1560">
        <w:t>a</w:t>
      </w:r>
      <w:r w:rsidR="0013032F" w:rsidRPr="002E1560">
        <w:t xml:space="preserve"> </w:t>
      </w:r>
      <w:r w:rsidRPr="002E1560">
        <w:t>consistent,</w:t>
      </w:r>
      <w:r w:rsidR="0013032F" w:rsidRPr="002E1560">
        <w:t xml:space="preserve"> </w:t>
      </w:r>
      <w:r w:rsidRPr="002E1560">
        <w:t>evidence</w:t>
      </w:r>
      <w:r w:rsidRPr="002E1560">
        <w:noBreakHyphen/>
        <w:t>based</w:t>
      </w:r>
      <w:r w:rsidR="0013032F" w:rsidRPr="002E1560">
        <w:t xml:space="preserve"> </w:t>
      </w:r>
      <w:r w:rsidRPr="002E1560">
        <w:t>framework</w:t>
      </w:r>
      <w:r w:rsidR="0013032F" w:rsidRPr="002E1560">
        <w:t xml:space="preserve"> </w:t>
      </w:r>
      <w:r w:rsidRPr="002E1560">
        <w:t>to</w:t>
      </w:r>
      <w:r w:rsidR="0013032F" w:rsidRPr="002E1560">
        <w:t xml:space="preserve"> </w:t>
      </w:r>
      <w:r w:rsidRPr="002E1560">
        <w:t>understand</w:t>
      </w:r>
      <w:r w:rsidR="0013032F" w:rsidRPr="002E1560">
        <w:t xml:space="preserve"> </w:t>
      </w:r>
      <w:r w:rsidRPr="002E1560">
        <w:t>each</w:t>
      </w:r>
      <w:r w:rsidR="0013032F" w:rsidRPr="002E1560">
        <w:t xml:space="preserve"> </w:t>
      </w:r>
      <w:r w:rsidRPr="002E1560">
        <w:t>of</w:t>
      </w:r>
      <w:r w:rsidR="0013032F" w:rsidRPr="002E1560">
        <w:t xml:space="preserve"> </w:t>
      </w:r>
      <w:r w:rsidRPr="002E1560">
        <w:t>Victoria’s</w:t>
      </w:r>
      <w:r w:rsidR="0013032F" w:rsidRPr="002E1560">
        <w:t xml:space="preserve"> </w:t>
      </w:r>
      <w:r w:rsidRPr="002E1560">
        <w:t>9</w:t>
      </w:r>
      <w:r w:rsidR="0013032F" w:rsidRPr="002E1560">
        <w:t xml:space="preserve"> </w:t>
      </w:r>
      <w:r w:rsidRPr="002E1560">
        <w:t>Regional</w:t>
      </w:r>
      <w:r w:rsidR="0013032F" w:rsidRPr="002E1560">
        <w:t xml:space="preserve"> </w:t>
      </w:r>
      <w:r w:rsidRPr="002E1560">
        <w:t>Partnership</w:t>
      </w:r>
      <w:r w:rsidR="0013032F" w:rsidRPr="002E1560">
        <w:t xml:space="preserve"> </w:t>
      </w:r>
      <w:r w:rsidRPr="002E1560">
        <w:t>regions</w:t>
      </w:r>
      <w:r w:rsidR="0013032F" w:rsidRPr="002E1560">
        <w:t xml:space="preserve"> </w:t>
      </w:r>
      <w:r w:rsidRPr="002E1560">
        <w:t>and</w:t>
      </w:r>
      <w:r w:rsidR="0013032F" w:rsidRPr="002E1560">
        <w:t xml:space="preserve"> </w:t>
      </w:r>
      <w:r w:rsidRPr="002E1560">
        <w:t>identify</w:t>
      </w:r>
      <w:r w:rsidR="0013032F" w:rsidRPr="002E1560">
        <w:t xml:space="preserve"> </w:t>
      </w:r>
      <w:r w:rsidRPr="002E1560">
        <w:t>economic</w:t>
      </w:r>
      <w:r w:rsidR="0013032F" w:rsidRPr="002E1560">
        <w:t xml:space="preserve"> </w:t>
      </w:r>
      <w:r w:rsidRPr="002E1560">
        <w:t>opportunities</w:t>
      </w:r>
      <w:r w:rsidR="0013032F" w:rsidRPr="002E1560">
        <w:t xml:space="preserve"> </w:t>
      </w:r>
      <w:r w:rsidRPr="002E1560">
        <w:t>in</w:t>
      </w:r>
      <w:r w:rsidR="0013032F" w:rsidRPr="002E1560">
        <w:t xml:space="preserve"> </w:t>
      </w:r>
      <w:r w:rsidRPr="002E1560">
        <w:t>agriculture,</w:t>
      </w:r>
      <w:r w:rsidR="0013032F" w:rsidRPr="002E1560">
        <w:t xml:space="preserve"> </w:t>
      </w:r>
      <w:r w:rsidRPr="002E1560">
        <w:t>clean</w:t>
      </w:r>
      <w:r w:rsidR="0013032F" w:rsidRPr="002E1560">
        <w:t xml:space="preserve"> </w:t>
      </w:r>
      <w:r w:rsidRPr="002E1560">
        <w:t>economy,</w:t>
      </w:r>
      <w:r w:rsidR="0013032F" w:rsidRPr="002E1560">
        <w:t xml:space="preserve"> </w:t>
      </w:r>
      <w:r w:rsidRPr="002E1560">
        <w:t>manufacturing</w:t>
      </w:r>
      <w:r w:rsidR="0013032F" w:rsidRPr="002E1560">
        <w:t xml:space="preserve"> </w:t>
      </w:r>
      <w:r w:rsidRPr="002E1560">
        <w:t>and</w:t>
      </w:r>
      <w:r w:rsidR="0013032F" w:rsidRPr="002E1560">
        <w:t xml:space="preserve"> </w:t>
      </w:r>
      <w:r w:rsidRPr="002E1560">
        <w:t>visitor</w:t>
      </w:r>
      <w:r w:rsidR="0013032F" w:rsidRPr="002E1560">
        <w:t xml:space="preserve"> </w:t>
      </w:r>
      <w:r w:rsidRPr="002E1560">
        <w:t>economy</w:t>
      </w:r>
      <w:r w:rsidR="0013032F" w:rsidRPr="002E1560">
        <w:t xml:space="preserve"> </w:t>
      </w:r>
      <w:r w:rsidRPr="002E1560">
        <w:t>to</w:t>
      </w:r>
      <w:r w:rsidR="0013032F" w:rsidRPr="002E1560">
        <w:t xml:space="preserve"> </w:t>
      </w:r>
      <w:r w:rsidRPr="002E1560">
        <w:t>support</w:t>
      </w:r>
      <w:r w:rsidR="0013032F" w:rsidRPr="002E1560">
        <w:t xml:space="preserve"> </w:t>
      </w:r>
      <w:r w:rsidRPr="002E1560">
        <w:t>Victoria’s</w:t>
      </w:r>
      <w:r w:rsidR="0013032F" w:rsidRPr="002E1560">
        <w:t xml:space="preserve"> </w:t>
      </w:r>
      <w:r w:rsidRPr="002E1560">
        <w:t>diverse</w:t>
      </w:r>
      <w:r w:rsidR="0013032F" w:rsidRPr="002E1560">
        <w:t xml:space="preserve"> </w:t>
      </w:r>
      <w:r w:rsidRPr="002E1560">
        <w:t>regional</w:t>
      </w:r>
      <w:r w:rsidR="0013032F" w:rsidRPr="002E1560">
        <w:t xml:space="preserve"> </w:t>
      </w:r>
      <w:r w:rsidRPr="002E1560">
        <w:t>economies.</w:t>
      </w:r>
      <w:r w:rsidR="0013032F" w:rsidRPr="002E1560">
        <w:t xml:space="preserve"> </w:t>
      </w:r>
      <w:r w:rsidRPr="002E1560">
        <w:t>Each</w:t>
      </w:r>
      <w:r w:rsidR="0013032F" w:rsidRPr="002E1560">
        <w:t xml:space="preserve"> </w:t>
      </w:r>
      <w:r w:rsidRPr="002E1560">
        <w:t>REDS</w:t>
      </w:r>
      <w:r w:rsidR="0013032F" w:rsidRPr="002E1560">
        <w:t xml:space="preserve"> </w:t>
      </w:r>
      <w:r w:rsidRPr="002E1560">
        <w:t>is</w:t>
      </w:r>
      <w:r w:rsidR="0013032F" w:rsidRPr="002E1560">
        <w:t xml:space="preserve"> </w:t>
      </w:r>
      <w:r w:rsidRPr="002E1560">
        <w:t>accompanied</w:t>
      </w:r>
      <w:r w:rsidR="0013032F" w:rsidRPr="002E1560">
        <w:t xml:space="preserve"> </w:t>
      </w:r>
      <w:r w:rsidRPr="002E1560">
        <w:t>by</w:t>
      </w:r>
      <w:r w:rsidR="0013032F" w:rsidRPr="002E1560">
        <w:t xml:space="preserve"> </w:t>
      </w:r>
      <w:r w:rsidRPr="002E1560">
        <w:t>a</w:t>
      </w:r>
      <w:r w:rsidR="0013032F" w:rsidRPr="002E1560">
        <w:t xml:space="preserve"> </w:t>
      </w:r>
      <w:r w:rsidRPr="002E1560">
        <w:t>one-page</w:t>
      </w:r>
      <w:r w:rsidR="0013032F" w:rsidRPr="002E1560">
        <w:t xml:space="preserve"> </w:t>
      </w:r>
      <w:r w:rsidRPr="002E1560">
        <w:t>summary</w:t>
      </w:r>
      <w:r w:rsidR="0013032F" w:rsidRPr="002E1560">
        <w:t xml:space="preserve"> </w:t>
      </w:r>
      <w:r w:rsidRPr="002E1560">
        <w:t>and</w:t>
      </w:r>
      <w:r w:rsidR="0013032F" w:rsidRPr="002E1560">
        <w:t xml:space="preserve"> </w:t>
      </w:r>
      <w:r w:rsidRPr="002E1560">
        <w:t>supporting</w:t>
      </w:r>
      <w:r w:rsidR="0013032F" w:rsidRPr="002E1560">
        <w:t xml:space="preserve"> </w:t>
      </w:r>
      <w:r w:rsidRPr="002E1560">
        <w:t>analysis</w:t>
      </w:r>
      <w:r w:rsidR="0013032F" w:rsidRPr="002E1560">
        <w:t xml:space="preserve"> </w:t>
      </w:r>
      <w:r w:rsidRPr="002E1560">
        <w:t>providing</w:t>
      </w:r>
      <w:r w:rsidR="0013032F" w:rsidRPr="002E1560">
        <w:t xml:space="preserve"> </w:t>
      </w:r>
      <w:r w:rsidRPr="002E1560">
        <w:t>detailed</w:t>
      </w:r>
      <w:r w:rsidR="0013032F" w:rsidRPr="002E1560">
        <w:t xml:space="preserve"> </w:t>
      </w:r>
      <w:r w:rsidRPr="002E1560">
        <w:t>regional</w:t>
      </w:r>
      <w:r w:rsidR="0013032F" w:rsidRPr="002E1560">
        <w:t xml:space="preserve"> </w:t>
      </w:r>
      <w:r w:rsidRPr="002E1560">
        <w:t>economic</w:t>
      </w:r>
      <w:r w:rsidR="0013032F" w:rsidRPr="002E1560">
        <w:t xml:space="preserve"> </w:t>
      </w:r>
      <w:r w:rsidRPr="002E1560">
        <w:t>insights</w:t>
      </w:r>
      <w:r w:rsidR="0013032F" w:rsidRPr="002E1560">
        <w:t xml:space="preserve"> </w:t>
      </w:r>
      <w:r w:rsidRPr="002E1560">
        <w:t>and</w:t>
      </w:r>
      <w:r w:rsidR="0013032F" w:rsidRPr="002E1560">
        <w:t xml:space="preserve"> </w:t>
      </w:r>
      <w:r w:rsidRPr="002E1560">
        <w:t>data.</w:t>
      </w:r>
    </w:p>
    <w:p w14:paraId="6FE17CBB" w14:textId="3C3D7893" w:rsidR="00757772" w:rsidRPr="002E1560" w:rsidRDefault="00305D3C" w:rsidP="002E1560">
      <w:r w:rsidRPr="002E1560">
        <w:t>The</w:t>
      </w:r>
      <w:r w:rsidR="0013032F" w:rsidRPr="002E1560">
        <w:t xml:space="preserve"> </w:t>
      </w:r>
      <w:r w:rsidRPr="002E1560">
        <w:t>public</w:t>
      </w:r>
      <w:r w:rsidR="0013032F" w:rsidRPr="002E1560">
        <w:t xml:space="preserve"> </w:t>
      </w:r>
      <w:r w:rsidRPr="002E1560">
        <w:t>REDS</w:t>
      </w:r>
      <w:r w:rsidR="0013032F" w:rsidRPr="002E1560">
        <w:t xml:space="preserve"> </w:t>
      </w:r>
      <w:r w:rsidRPr="002E1560">
        <w:t>data</w:t>
      </w:r>
      <w:r w:rsidR="0013032F" w:rsidRPr="002E1560">
        <w:t xml:space="preserve"> </w:t>
      </w:r>
      <w:r w:rsidRPr="002E1560">
        <w:t>dashboard</w:t>
      </w:r>
      <w:r w:rsidR="0013032F" w:rsidRPr="002E1560">
        <w:t xml:space="preserve"> </w:t>
      </w:r>
      <w:r w:rsidRPr="002E1560">
        <w:t>complements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REDS</w:t>
      </w:r>
      <w:r w:rsidR="0013032F" w:rsidRPr="002E1560">
        <w:t xml:space="preserve"> </w:t>
      </w:r>
      <w:r w:rsidRPr="002E1560">
        <w:t>as</w:t>
      </w:r>
      <w:r w:rsidR="0013032F" w:rsidRPr="002E1560">
        <w:t xml:space="preserve"> </w:t>
      </w:r>
      <w:r w:rsidRPr="002E1560">
        <w:t>an</w:t>
      </w:r>
      <w:r w:rsidR="0013032F" w:rsidRPr="002E1560">
        <w:t xml:space="preserve"> </w:t>
      </w:r>
      <w:r w:rsidRPr="002E1560">
        <w:t>online</w:t>
      </w:r>
      <w:r w:rsidR="0013032F" w:rsidRPr="002E1560">
        <w:t xml:space="preserve"> </w:t>
      </w:r>
      <w:r w:rsidRPr="002E1560">
        <w:t>interactive</w:t>
      </w:r>
      <w:r w:rsidR="0013032F" w:rsidRPr="002E1560">
        <w:t xml:space="preserve"> </w:t>
      </w:r>
      <w:r w:rsidRPr="002E1560">
        <w:t>resource</w:t>
      </w:r>
      <w:r w:rsidR="0013032F" w:rsidRPr="002E1560">
        <w:t xml:space="preserve"> </w:t>
      </w:r>
      <w:r w:rsidRPr="002E1560">
        <w:t>to</w:t>
      </w:r>
      <w:r w:rsidR="0013032F" w:rsidRPr="002E1560">
        <w:t xml:space="preserve"> </w:t>
      </w:r>
      <w:r w:rsidRPr="002E1560">
        <w:t>maintain</w:t>
      </w:r>
      <w:r w:rsidR="0013032F" w:rsidRPr="002E1560">
        <w:t xml:space="preserve"> </w:t>
      </w:r>
      <w:r w:rsidRPr="002E1560">
        <w:t>a</w:t>
      </w:r>
      <w:r w:rsidR="0013032F" w:rsidRPr="002E1560">
        <w:t xml:space="preserve"> </w:t>
      </w:r>
      <w:r w:rsidRPr="002E1560">
        <w:t>contemporary</w:t>
      </w:r>
      <w:r w:rsidR="0013032F" w:rsidRPr="002E1560">
        <w:t xml:space="preserve"> </w:t>
      </w:r>
      <w:r w:rsidRPr="002E1560">
        <w:t>evidence</w:t>
      </w:r>
      <w:r w:rsidR="0013032F" w:rsidRPr="002E1560">
        <w:t xml:space="preserve"> </w:t>
      </w:r>
      <w:r w:rsidRPr="002E1560">
        <w:t>base</w:t>
      </w:r>
      <w:r w:rsidR="0013032F" w:rsidRPr="002E1560">
        <w:t xml:space="preserve"> </w:t>
      </w:r>
      <w:r w:rsidRPr="002E1560">
        <w:t>and</w:t>
      </w:r>
      <w:r w:rsidR="0013032F" w:rsidRPr="002E1560">
        <w:t xml:space="preserve"> </w:t>
      </w:r>
      <w:r w:rsidRPr="002E1560">
        <w:t>inform</w:t>
      </w:r>
      <w:r w:rsidR="0013032F" w:rsidRPr="002E1560">
        <w:t xml:space="preserve"> </w:t>
      </w:r>
      <w:r w:rsidRPr="002E1560">
        <w:t>further</w:t>
      </w:r>
      <w:r w:rsidR="0013032F" w:rsidRPr="002E1560">
        <w:t xml:space="preserve"> </w:t>
      </w:r>
      <w:r w:rsidRPr="002E1560">
        <w:t>research,</w:t>
      </w:r>
      <w:r w:rsidR="0013032F" w:rsidRPr="002E1560">
        <w:t xml:space="preserve"> </w:t>
      </w:r>
      <w:r w:rsidRPr="002E1560">
        <w:t>analysis,</w:t>
      </w:r>
      <w:r w:rsidR="0013032F" w:rsidRPr="002E1560">
        <w:t xml:space="preserve"> </w:t>
      </w:r>
      <w:r w:rsidRPr="002E1560">
        <w:t>strategic</w:t>
      </w:r>
      <w:r w:rsidR="0013032F" w:rsidRPr="002E1560">
        <w:t xml:space="preserve"> </w:t>
      </w:r>
      <w:r w:rsidRPr="002E1560">
        <w:t>planning</w:t>
      </w:r>
      <w:r w:rsidR="0013032F" w:rsidRPr="002E1560">
        <w:t xml:space="preserve"> </w:t>
      </w:r>
      <w:r w:rsidRPr="002E1560">
        <w:t>and</w:t>
      </w:r>
      <w:r w:rsidR="0013032F" w:rsidRPr="002E1560">
        <w:t xml:space="preserve"> </w:t>
      </w:r>
      <w:r w:rsidRPr="002E1560">
        <w:t>investment.</w:t>
      </w:r>
    </w:p>
    <w:p w14:paraId="387AF66A" w14:textId="7C12A1A5" w:rsidR="00757772" w:rsidRPr="002E1560" w:rsidRDefault="00305D3C" w:rsidP="002E1560">
      <w:r w:rsidRPr="002E1560">
        <w:t>Since</w:t>
      </w:r>
      <w:r w:rsidR="0013032F" w:rsidRPr="002E1560">
        <w:t xml:space="preserve"> </w:t>
      </w:r>
      <w:r w:rsidRPr="002E1560">
        <w:t>their</w:t>
      </w:r>
      <w:r w:rsidR="0013032F" w:rsidRPr="002E1560">
        <w:t xml:space="preserve"> </w:t>
      </w:r>
      <w:r w:rsidRPr="002E1560">
        <w:t>release</w:t>
      </w:r>
      <w:r w:rsidR="0013032F" w:rsidRPr="002E1560">
        <w:t xml:space="preserve"> </w:t>
      </w:r>
      <w:r w:rsidRPr="002E1560">
        <w:t>in</w:t>
      </w:r>
      <w:r w:rsidR="0013032F" w:rsidRPr="002E1560">
        <w:t xml:space="preserve"> </w:t>
      </w:r>
      <w:r w:rsidRPr="002E1560">
        <w:t>October</w:t>
      </w:r>
      <w:r w:rsidR="0013032F" w:rsidRPr="002E1560">
        <w:t xml:space="preserve"> </w:t>
      </w:r>
      <w:r w:rsidRPr="002E1560">
        <w:t>2022,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REDS</w:t>
      </w:r>
      <w:r w:rsidR="0013032F" w:rsidRPr="002E1560">
        <w:t xml:space="preserve"> </w:t>
      </w:r>
      <w:r w:rsidRPr="002E1560">
        <w:t>have</w:t>
      </w:r>
      <w:r w:rsidR="0013032F" w:rsidRPr="002E1560">
        <w:t xml:space="preserve"> </w:t>
      </w:r>
      <w:r w:rsidRPr="002E1560">
        <w:t>underpinned</w:t>
      </w:r>
      <w:r w:rsidR="0013032F" w:rsidRPr="002E1560">
        <w:t xml:space="preserve"> </w:t>
      </w:r>
      <w:r w:rsidRPr="002E1560">
        <w:t>policy</w:t>
      </w:r>
      <w:r w:rsidR="0013032F" w:rsidRPr="002E1560">
        <w:t xml:space="preserve"> </w:t>
      </w:r>
      <w:r w:rsidRPr="002E1560">
        <w:t>development</w:t>
      </w:r>
      <w:r w:rsidR="0013032F" w:rsidRPr="002E1560">
        <w:t xml:space="preserve"> </w:t>
      </w:r>
      <w:r w:rsidRPr="002E1560">
        <w:t>and</w:t>
      </w:r>
      <w:r w:rsidR="0013032F" w:rsidRPr="002E1560">
        <w:t xml:space="preserve"> </w:t>
      </w:r>
      <w:r w:rsidRPr="002E1560">
        <w:t>engagement</w:t>
      </w:r>
      <w:r w:rsidR="0013032F" w:rsidRPr="002E1560">
        <w:t xml:space="preserve"> </w:t>
      </w:r>
      <w:r w:rsidRPr="002E1560">
        <w:t>with</w:t>
      </w:r>
      <w:r w:rsidR="0013032F" w:rsidRPr="002E1560">
        <w:t xml:space="preserve"> </w:t>
      </w:r>
      <w:r w:rsidRPr="002E1560">
        <w:t>other</w:t>
      </w:r>
      <w:r w:rsidR="0013032F" w:rsidRPr="002E1560">
        <w:t xml:space="preserve"> </w:t>
      </w:r>
      <w:r w:rsidRPr="002E1560">
        <w:t>government</w:t>
      </w:r>
      <w:r w:rsidR="0013032F" w:rsidRPr="002E1560">
        <w:t xml:space="preserve"> </w:t>
      </w:r>
      <w:r w:rsidRPr="002E1560">
        <w:t>portfolios,</w:t>
      </w:r>
      <w:r w:rsidR="0013032F" w:rsidRPr="002E1560">
        <w:t xml:space="preserve"> </w:t>
      </w:r>
      <w:r w:rsidRPr="002E1560">
        <w:t>strengthening</w:t>
      </w:r>
      <w:r w:rsidR="0013032F" w:rsidRPr="002E1560">
        <w:t xml:space="preserve"> </w:t>
      </w:r>
      <w:r w:rsidRPr="002E1560">
        <w:t>regional</w:t>
      </w:r>
      <w:r w:rsidR="0013032F" w:rsidRPr="002E1560">
        <w:t xml:space="preserve"> </w:t>
      </w:r>
      <w:r w:rsidRPr="002E1560">
        <w:t>policy</w:t>
      </w:r>
      <w:r w:rsidR="0013032F" w:rsidRPr="002E1560">
        <w:t xml:space="preserve"> </w:t>
      </w:r>
      <w:r w:rsidRPr="002E1560">
        <w:t>input</w:t>
      </w:r>
      <w:r w:rsidR="0013032F" w:rsidRPr="002E1560">
        <w:t xml:space="preserve"> </w:t>
      </w:r>
      <w:r w:rsidRPr="002E1560">
        <w:t>to</w:t>
      </w:r>
      <w:r w:rsidR="0013032F" w:rsidRPr="002E1560">
        <w:t xml:space="preserve"> </w:t>
      </w:r>
      <w:r w:rsidRPr="002E1560">
        <w:t>strategic</w:t>
      </w:r>
      <w:r w:rsidR="0013032F" w:rsidRPr="002E1560">
        <w:t xml:space="preserve"> </w:t>
      </w:r>
      <w:r w:rsidRPr="002E1560">
        <w:t>land</w:t>
      </w:r>
      <w:r w:rsidR="0013032F" w:rsidRPr="002E1560">
        <w:t xml:space="preserve"> </w:t>
      </w:r>
      <w:r w:rsidRPr="002E1560">
        <w:t>use</w:t>
      </w:r>
      <w:r w:rsidR="0013032F" w:rsidRPr="002E1560">
        <w:t xml:space="preserve"> </w:t>
      </w:r>
      <w:r w:rsidRPr="002E1560">
        <w:t>planning,</w:t>
      </w:r>
      <w:r w:rsidR="0013032F" w:rsidRPr="002E1560">
        <w:t xml:space="preserve"> </w:t>
      </w:r>
      <w:r w:rsidRPr="002E1560">
        <w:t>fo</w:t>
      </w:r>
      <w:r w:rsidRPr="002E1560">
        <w:t>od</w:t>
      </w:r>
      <w:r w:rsidR="0013032F" w:rsidRPr="002E1560">
        <w:t xml:space="preserve"> </w:t>
      </w:r>
      <w:r w:rsidRPr="002E1560">
        <w:t>and</w:t>
      </w:r>
      <w:r w:rsidR="0013032F" w:rsidRPr="002E1560">
        <w:t xml:space="preserve"> </w:t>
      </w:r>
      <w:r w:rsidRPr="002E1560">
        <w:t>fibre</w:t>
      </w:r>
      <w:r w:rsidR="0013032F" w:rsidRPr="002E1560">
        <w:t xml:space="preserve"> </w:t>
      </w:r>
      <w:r w:rsidRPr="002E1560">
        <w:t>sector</w:t>
      </w:r>
      <w:r w:rsidR="0013032F" w:rsidRPr="002E1560">
        <w:t xml:space="preserve"> </w:t>
      </w:r>
      <w:r w:rsidRPr="002E1560">
        <w:t>development</w:t>
      </w:r>
      <w:r w:rsidR="0013032F" w:rsidRPr="002E1560">
        <w:t xml:space="preserve"> </w:t>
      </w:r>
      <w:r w:rsidRPr="002E1560">
        <w:t>opportunities,</w:t>
      </w:r>
      <w:r w:rsidR="0013032F" w:rsidRPr="002E1560">
        <w:t xml:space="preserve"> </w:t>
      </w:r>
      <w:r w:rsidRPr="002E1560">
        <w:t>housing,</w:t>
      </w:r>
      <w:r w:rsidR="0013032F" w:rsidRPr="002E1560">
        <w:t xml:space="preserve"> </w:t>
      </w:r>
      <w:r w:rsidRPr="002E1560">
        <w:t>and</w:t>
      </w:r>
      <w:r w:rsidR="0013032F" w:rsidRPr="002E1560">
        <w:t xml:space="preserve"> </w:t>
      </w:r>
      <w:r w:rsidRPr="002E1560">
        <w:t>workforce</w:t>
      </w:r>
      <w:r w:rsidR="0013032F" w:rsidRPr="002E1560">
        <w:t xml:space="preserve"> </w:t>
      </w:r>
      <w:r w:rsidRPr="002E1560">
        <w:t>and</w:t>
      </w:r>
      <w:r w:rsidR="0013032F" w:rsidRPr="002E1560">
        <w:t xml:space="preserve"> </w:t>
      </w:r>
      <w:r w:rsidRPr="002E1560">
        <w:t>skills</w:t>
      </w:r>
      <w:r w:rsidR="0013032F" w:rsidRPr="002E1560">
        <w:t xml:space="preserve"> </w:t>
      </w:r>
      <w:r w:rsidRPr="002E1560">
        <w:t>initiatives.</w:t>
      </w:r>
      <w:r w:rsidR="0013032F" w:rsidRPr="002E1560">
        <w:t xml:space="preserve"> </w:t>
      </w:r>
    </w:p>
    <w:p w14:paraId="604C0A4F" w14:textId="0832D92B" w:rsidR="00757772" w:rsidRPr="002E1560" w:rsidRDefault="00305D3C" w:rsidP="002E1560">
      <w:r w:rsidRPr="002E1560">
        <w:t>The</w:t>
      </w:r>
      <w:r w:rsidR="0013032F" w:rsidRPr="002E1560">
        <w:t xml:space="preserve"> </w:t>
      </w:r>
      <w:r w:rsidRPr="002E1560">
        <w:t>REDS</w:t>
      </w:r>
      <w:r w:rsidR="0013032F" w:rsidRPr="002E1560">
        <w:t xml:space="preserve"> </w:t>
      </w:r>
      <w:r w:rsidRPr="002E1560">
        <w:t>strategic</w:t>
      </w:r>
      <w:r w:rsidR="0013032F" w:rsidRPr="002E1560">
        <w:t xml:space="preserve"> </w:t>
      </w:r>
      <w:r w:rsidRPr="002E1560">
        <w:t>policy</w:t>
      </w:r>
      <w:r w:rsidR="0013032F" w:rsidRPr="002E1560">
        <w:t xml:space="preserve"> </w:t>
      </w:r>
      <w:r w:rsidRPr="002E1560">
        <w:t>directions</w:t>
      </w:r>
      <w:r w:rsidR="0013032F" w:rsidRPr="002E1560">
        <w:t xml:space="preserve"> </w:t>
      </w:r>
      <w:r w:rsidRPr="002E1560">
        <w:t>and</w:t>
      </w:r>
      <w:r w:rsidR="0013032F" w:rsidRPr="002E1560">
        <w:t xml:space="preserve"> </w:t>
      </w:r>
      <w:r w:rsidRPr="002E1560">
        <w:t>strong</w:t>
      </w:r>
      <w:r w:rsidR="0013032F" w:rsidRPr="002E1560">
        <w:t xml:space="preserve"> </w:t>
      </w:r>
      <w:r w:rsidRPr="002E1560">
        <w:t>evidence</w:t>
      </w:r>
      <w:r w:rsidR="0013032F" w:rsidRPr="002E1560">
        <w:t xml:space="preserve"> </w:t>
      </w:r>
      <w:r w:rsidRPr="002E1560">
        <w:t>base</w:t>
      </w:r>
      <w:r w:rsidR="0013032F" w:rsidRPr="002E1560">
        <w:t xml:space="preserve"> </w:t>
      </w:r>
      <w:r w:rsidRPr="002E1560">
        <w:t>support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development</w:t>
      </w:r>
      <w:r w:rsidR="0013032F" w:rsidRPr="002E1560">
        <w:t xml:space="preserve"> </w:t>
      </w:r>
      <w:r w:rsidRPr="002E1560">
        <w:t>and</w:t>
      </w:r>
      <w:r w:rsidR="0013032F" w:rsidRPr="002E1560">
        <w:t xml:space="preserve"> </w:t>
      </w:r>
      <w:r w:rsidRPr="002E1560">
        <w:t>delivery</w:t>
      </w:r>
      <w:r w:rsidR="0013032F" w:rsidRPr="002E1560">
        <w:t xml:space="preserve"> </w:t>
      </w:r>
      <w:r w:rsidRPr="002E1560">
        <w:t>of</w:t>
      </w:r>
      <w:r w:rsidR="0013032F" w:rsidRPr="002E1560">
        <w:t xml:space="preserve"> </w:t>
      </w:r>
      <w:r w:rsidRPr="002E1560">
        <w:t>several</w:t>
      </w:r>
      <w:r w:rsidR="0013032F" w:rsidRPr="002E1560">
        <w:t xml:space="preserve"> </w:t>
      </w:r>
      <w:r w:rsidRPr="002E1560">
        <w:t>key</w:t>
      </w:r>
      <w:r w:rsidR="0013032F" w:rsidRPr="002E1560">
        <w:t xml:space="preserve"> </w:t>
      </w:r>
      <w:r w:rsidRPr="002E1560">
        <w:t>Victorian</w:t>
      </w:r>
      <w:r w:rsidR="0013032F" w:rsidRPr="002E1560">
        <w:t xml:space="preserve"> </w:t>
      </w:r>
      <w:r w:rsidRPr="002E1560">
        <w:t>Government</w:t>
      </w:r>
      <w:r w:rsidR="0013032F" w:rsidRPr="002E1560">
        <w:t xml:space="preserve"> </w:t>
      </w:r>
      <w:r w:rsidRPr="002E1560">
        <w:t>initiatives.</w:t>
      </w:r>
      <w:r w:rsidR="0013032F" w:rsidRPr="002E1560">
        <w:t xml:space="preserve"> </w:t>
      </w:r>
    </w:p>
    <w:p w14:paraId="57936D26" w14:textId="7F819BE2" w:rsidR="00757772" w:rsidRPr="002E1560" w:rsidRDefault="00305D3C" w:rsidP="002E1560">
      <w:r w:rsidRPr="002E1560">
        <w:t>Victoria’s</w:t>
      </w:r>
      <w:r w:rsidR="0013032F" w:rsidRPr="002E1560">
        <w:t xml:space="preserve"> </w:t>
      </w:r>
      <w:r w:rsidRPr="002E1560">
        <w:t>world-leading</w:t>
      </w:r>
      <w:r w:rsidR="0013032F" w:rsidRPr="002E1560">
        <w:t xml:space="preserve"> </w:t>
      </w:r>
      <w:r w:rsidRPr="002E1560">
        <w:t>targets</w:t>
      </w:r>
      <w:r w:rsidR="0013032F" w:rsidRPr="002E1560">
        <w:t xml:space="preserve"> </w:t>
      </w:r>
      <w:r w:rsidRPr="002E1560">
        <w:t>to</w:t>
      </w:r>
      <w:r w:rsidR="0013032F" w:rsidRPr="002E1560">
        <w:t xml:space="preserve"> </w:t>
      </w:r>
      <w:r w:rsidRPr="002E1560">
        <w:t>cut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state’s</w:t>
      </w:r>
      <w:r w:rsidR="0013032F" w:rsidRPr="002E1560">
        <w:t xml:space="preserve"> </w:t>
      </w:r>
      <w:r w:rsidRPr="002E1560">
        <w:t>greenhouse</w:t>
      </w:r>
      <w:r w:rsidR="0013032F" w:rsidRPr="002E1560">
        <w:t xml:space="preserve"> </w:t>
      </w:r>
      <w:r w:rsidRPr="002E1560">
        <w:t>gas</w:t>
      </w:r>
      <w:r w:rsidR="0013032F" w:rsidRPr="002E1560">
        <w:t xml:space="preserve"> </w:t>
      </w:r>
      <w:r w:rsidRPr="002E1560">
        <w:t>emissions</w:t>
      </w:r>
      <w:r w:rsidR="0013032F" w:rsidRPr="002E1560">
        <w:t xml:space="preserve"> </w:t>
      </w:r>
      <w:r w:rsidRPr="002E1560">
        <w:t>and</w:t>
      </w:r>
      <w:r w:rsidR="0013032F" w:rsidRPr="002E1560">
        <w:t xml:space="preserve"> </w:t>
      </w:r>
      <w:r w:rsidRPr="002E1560">
        <w:t>achieve</w:t>
      </w:r>
      <w:r w:rsidR="0013032F" w:rsidRPr="002E1560">
        <w:t xml:space="preserve"> </w:t>
      </w:r>
      <w:r w:rsidRPr="002E1560">
        <w:t>net</w:t>
      </w:r>
      <w:r w:rsidR="0013032F" w:rsidRPr="002E1560">
        <w:t xml:space="preserve"> </w:t>
      </w:r>
      <w:r w:rsidRPr="002E1560">
        <w:t>zero</w:t>
      </w:r>
      <w:r w:rsidR="0013032F" w:rsidRPr="002E1560">
        <w:t xml:space="preserve"> </w:t>
      </w:r>
      <w:r w:rsidRPr="002E1560">
        <w:t>emissions</w:t>
      </w:r>
      <w:r w:rsidR="0013032F" w:rsidRPr="002E1560">
        <w:t xml:space="preserve"> </w:t>
      </w:r>
      <w:r w:rsidRPr="002E1560">
        <w:t>by</w:t>
      </w:r>
      <w:r w:rsidR="0013032F" w:rsidRPr="002E1560">
        <w:t xml:space="preserve"> </w:t>
      </w:r>
      <w:r w:rsidRPr="002E1560">
        <w:t>2045</w:t>
      </w:r>
      <w:r w:rsidR="0013032F" w:rsidRPr="002E1560">
        <w:t xml:space="preserve"> </w:t>
      </w:r>
      <w:r w:rsidRPr="002E1560">
        <w:t>present</w:t>
      </w:r>
      <w:r w:rsidR="0013032F" w:rsidRPr="002E1560">
        <w:t xml:space="preserve"> </w:t>
      </w:r>
      <w:r w:rsidRPr="002E1560">
        <w:t>significant</w:t>
      </w:r>
      <w:r w:rsidR="0013032F" w:rsidRPr="002E1560">
        <w:t xml:space="preserve"> </w:t>
      </w:r>
      <w:r w:rsidRPr="002E1560">
        <w:t>opportunities</w:t>
      </w:r>
      <w:r w:rsidR="0013032F" w:rsidRPr="002E1560">
        <w:t xml:space="preserve"> </w:t>
      </w:r>
      <w:r w:rsidRPr="002E1560">
        <w:t>for</w:t>
      </w:r>
      <w:r w:rsidR="0013032F" w:rsidRPr="002E1560">
        <w:t xml:space="preserve"> </w:t>
      </w:r>
      <w:r w:rsidRPr="002E1560">
        <w:t>regional</w:t>
      </w:r>
      <w:r w:rsidR="0013032F" w:rsidRPr="002E1560">
        <w:t xml:space="preserve"> </w:t>
      </w:r>
      <w:r w:rsidRPr="002E1560">
        <w:t>communities.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REDS</w:t>
      </w:r>
      <w:r w:rsidR="0013032F" w:rsidRPr="002E1560">
        <w:t xml:space="preserve"> </w:t>
      </w:r>
      <w:r w:rsidRPr="002E1560">
        <w:t>underpin</w:t>
      </w:r>
      <w:r w:rsidR="0013032F" w:rsidRPr="002E1560">
        <w:t xml:space="preserve"> </w:t>
      </w:r>
      <w:r w:rsidRPr="002E1560">
        <w:t>a</w:t>
      </w:r>
      <w:r w:rsidR="0013032F" w:rsidRPr="002E1560">
        <w:t xml:space="preserve"> </w:t>
      </w:r>
      <w:r w:rsidRPr="002E1560">
        <w:t>place-based</w:t>
      </w:r>
      <w:r w:rsidR="0013032F" w:rsidRPr="002E1560">
        <w:t xml:space="preserve"> </w:t>
      </w:r>
      <w:r w:rsidRPr="002E1560">
        <w:t>approach</w:t>
      </w:r>
      <w:r w:rsidR="0013032F" w:rsidRPr="002E1560">
        <w:t xml:space="preserve"> </w:t>
      </w:r>
      <w:r w:rsidRPr="002E1560">
        <w:t>to</w:t>
      </w:r>
      <w:r w:rsidR="0013032F" w:rsidRPr="002E1560">
        <w:t xml:space="preserve"> </w:t>
      </w:r>
      <w:r w:rsidRPr="002E1560">
        <w:t>supporting</w:t>
      </w:r>
      <w:r w:rsidR="0013032F" w:rsidRPr="002E1560">
        <w:t xml:space="preserve"> </w:t>
      </w:r>
      <w:r w:rsidRPr="002E1560">
        <w:t>Victoria’s</w:t>
      </w:r>
      <w:r w:rsidR="0013032F" w:rsidRPr="002E1560">
        <w:t xml:space="preserve"> </w:t>
      </w:r>
      <w:r w:rsidRPr="002E1560">
        <w:t>net</w:t>
      </w:r>
      <w:r w:rsidR="0013032F" w:rsidRPr="002E1560">
        <w:t xml:space="preserve"> </w:t>
      </w:r>
      <w:r w:rsidRPr="002E1560">
        <w:t>zero</w:t>
      </w:r>
      <w:r w:rsidR="0013032F" w:rsidRPr="002E1560">
        <w:t xml:space="preserve"> </w:t>
      </w:r>
      <w:r w:rsidRPr="002E1560">
        <w:t>transition,</w:t>
      </w:r>
      <w:r w:rsidR="0013032F" w:rsidRPr="002E1560">
        <w:t xml:space="preserve"> </w:t>
      </w:r>
      <w:r w:rsidRPr="002E1560">
        <w:t>including</w:t>
      </w:r>
      <w:r w:rsidR="0013032F" w:rsidRPr="002E1560">
        <w:t xml:space="preserve"> </w:t>
      </w:r>
      <w:r w:rsidRPr="002E1560">
        <w:t>an</w:t>
      </w:r>
      <w:r w:rsidR="0013032F" w:rsidRPr="002E1560">
        <w:t xml:space="preserve"> </w:t>
      </w:r>
      <w:r w:rsidRPr="002E1560">
        <w:t>evidence-based</w:t>
      </w:r>
      <w:r w:rsidR="0013032F" w:rsidRPr="002E1560">
        <w:t xml:space="preserve"> </w:t>
      </w:r>
      <w:r w:rsidRPr="002E1560">
        <w:t>approach</w:t>
      </w:r>
      <w:r w:rsidR="0013032F" w:rsidRPr="002E1560">
        <w:t xml:space="preserve"> </w:t>
      </w:r>
      <w:r w:rsidRPr="002E1560">
        <w:t>to</w:t>
      </w:r>
      <w:r w:rsidR="0013032F" w:rsidRPr="002E1560">
        <w:t xml:space="preserve"> </w:t>
      </w:r>
      <w:r w:rsidRPr="002E1560">
        <w:t>identifying</w:t>
      </w:r>
      <w:r w:rsidR="0013032F" w:rsidRPr="002E1560">
        <w:t xml:space="preserve"> </w:t>
      </w:r>
      <w:r w:rsidRPr="002E1560">
        <w:t>opportunities</w:t>
      </w:r>
      <w:r w:rsidR="0013032F" w:rsidRPr="002E1560">
        <w:t xml:space="preserve"> </w:t>
      </w:r>
      <w:r w:rsidRPr="002E1560">
        <w:t>to</w:t>
      </w:r>
      <w:r w:rsidR="0013032F" w:rsidRPr="002E1560">
        <w:t xml:space="preserve"> </w:t>
      </w:r>
      <w:r w:rsidRPr="002E1560">
        <w:t>capture</w:t>
      </w:r>
      <w:r w:rsidR="0013032F" w:rsidRPr="002E1560">
        <w:t xml:space="preserve"> </w:t>
      </w:r>
      <w:r w:rsidRPr="002E1560">
        <w:t>regional</w:t>
      </w:r>
      <w:r w:rsidR="0013032F" w:rsidRPr="002E1560">
        <w:t xml:space="preserve"> </w:t>
      </w:r>
      <w:r w:rsidRPr="002E1560">
        <w:t>economic</w:t>
      </w:r>
      <w:r w:rsidR="0013032F" w:rsidRPr="002E1560">
        <w:t xml:space="preserve"> </w:t>
      </w:r>
      <w:r w:rsidRPr="002E1560">
        <w:t>benefits.</w:t>
      </w:r>
      <w:r w:rsidR="0013032F" w:rsidRPr="002E1560">
        <w:t xml:space="preserve"> </w:t>
      </w:r>
    </w:p>
    <w:p w14:paraId="4DCF3BF2" w14:textId="0088D2D3" w:rsidR="00757772" w:rsidRPr="002E1560" w:rsidRDefault="00305D3C" w:rsidP="002E1560">
      <w:r w:rsidRPr="002E1560">
        <w:t>The</w:t>
      </w:r>
      <w:r w:rsidR="0013032F" w:rsidRPr="002E1560">
        <w:t xml:space="preserve"> </w:t>
      </w:r>
      <w:r w:rsidRPr="002E1560">
        <w:t>REDS’</w:t>
      </w:r>
      <w:r w:rsidR="0013032F" w:rsidRPr="002E1560">
        <w:t xml:space="preserve"> </w:t>
      </w:r>
      <w:r w:rsidRPr="002E1560">
        <w:t>strategic</w:t>
      </w:r>
      <w:r w:rsidR="0013032F" w:rsidRPr="002E1560">
        <w:t xml:space="preserve"> </w:t>
      </w:r>
      <w:r w:rsidRPr="002E1560">
        <w:t>directions</w:t>
      </w:r>
      <w:r w:rsidR="0013032F" w:rsidRPr="002E1560">
        <w:t xml:space="preserve"> </w:t>
      </w:r>
      <w:r w:rsidRPr="002E1560">
        <w:t>have</w:t>
      </w:r>
      <w:r w:rsidR="0013032F" w:rsidRPr="002E1560">
        <w:t xml:space="preserve"> </w:t>
      </w:r>
      <w:r w:rsidRPr="002E1560">
        <w:t>also</w:t>
      </w:r>
      <w:r w:rsidR="0013032F" w:rsidRPr="002E1560">
        <w:t xml:space="preserve"> </w:t>
      </w:r>
      <w:r w:rsidRPr="002E1560">
        <w:t>catalysed</w:t>
      </w:r>
      <w:r w:rsidR="0013032F" w:rsidRPr="002E1560">
        <w:t xml:space="preserve"> </w:t>
      </w:r>
      <w:r w:rsidRPr="002E1560">
        <w:t>new</w:t>
      </w:r>
      <w:r w:rsidR="0013032F" w:rsidRPr="002E1560">
        <w:t xml:space="preserve"> </w:t>
      </w:r>
      <w:r w:rsidRPr="002E1560">
        <w:t>program</w:t>
      </w:r>
      <w:r w:rsidR="0013032F" w:rsidRPr="002E1560">
        <w:t xml:space="preserve"> </w:t>
      </w:r>
      <w:r w:rsidRPr="002E1560">
        <w:t>development</w:t>
      </w:r>
      <w:r w:rsidR="0013032F" w:rsidRPr="002E1560">
        <w:t xml:space="preserve"> </w:t>
      </w:r>
      <w:r w:rsidRPr="002E1560">
        <w:t>to</w:t>
      </w:r>
      <w:r w:rsidR="0013032F" w:rsidRPr="002E1560">
        <w:t xml:space="preserve"> </w:t>
      </w:r>
      <w:r w:rsidRPr="002E1560">
        <w:t>drive</w:t>
      </w:r>
      <w:r w:rsidR="0013032F" w:rsidRPr="002E1560">
        <w:t xml:space="preserve"> </w:t>
      </w:r>
      <w:r w:rsidRPr="002E1560">
        <w:t>value-adding</w:t>
      </w:r>
      <w:r w:rsidR="0013032F" w:rsidRPr="002E1560">
        <w:t xml:space="preserve"> </w:t>
      </w:r>
      <w:r w:rsidRPr="002E1560">
        <w:t>opportunities</w:t>
      </w:r>
      <w:r w:rsidR="0013032F" w:rsidRPr="002E1560">
        <w:t xml:space="preserve"> </w:t>
      </w:r>
      <w:r w:rsidRPr="002E1560">
        <w:t>in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regional</w:t>
      </w:r>
      <w:r w:rsidR="0013032F" w:rsidRPr="002E1560">
        <w:t xml:space="preserve"> </w:t>
      </w:r>
      <w:r w:rsidRPr="002E1560">
        <w:t>food</w:t>
      </w:r>
      <w:r w:rsidR="0013032F" w:rsidRPr="002E1560">
        <w:t xml:space="preserve"> </w:t>
      </w:r>
      <w:r w:rsidRPr="002E1560">
        <w:t>and</w:t>
      </w:r>
      <w:r w:rsidR="0013032F" w:rsidRPr="002E1560">
        <w:t xml:space="preserve"> </w:t>
      </w:r>
      <w:r w:rsidRPr="002E1560">
        <w:t>fibre</w:t>
      </w:r>
      <w:r w:rsidR="0013032F" w:rsidRPr="002E1560">
        <w:t xml:space="preserve"> </w:t>
      </w:r>
      <w:r w:rsidRPr="002E1560">
        <w:t>sector,</w:t>
      </w:r>
      <w:r w:rsidR="0013032F" w:rsidRPr="002E1560">
        <w:t xml:space="preserve"> </w:t>
      </w:r>
      <w:r w:rsidRPr="002E1560">
        <w:t>which</w:t>
      </w:r>
      <w:r w:rsidR="0013032F" w:rsidRPr="002E1560">
        <w:t xml:space="preserve"> </w:t>
      </w:r>
      <w:r w:rsidRPr="002E1560">
        <w:t>is</w:t>
      </w:r>
      <w:r w:rsidR="0013032F" w:rsidRPr="002E1560">
        <w:t xml:space="preserve"> </w:t>
      </w:r>
      <w:r w:rsidRPr="002E1560">
        <w:t>a</w:t>
      </w:r>
      <w:r w:rsidR="0013032F" w:rsidRPr="002E1560">
        <w:t xml:space="preserve"> </w:t>
      </w:r>
      <w:r w:rsidRPr="002E1560">
        <w:t>cross-cutting</w:t>
      </w:r>
      <w:r w:rsidR="0013032F" w:rsidRPr="002E1560">
        <w:t xml:space="preserve"> </w:t>
      </w:r>
      <w:r w:rsidRPr="002E1560">
        <w:t>strategic</w:t>
      </w:r>
      <w:r w:rsidR="0013032F" w:rsidRPr="002E1560">
        <w:t xml:space="preserve"> </w:t>
      </w:r>
      <w:r w:rsidRPr="002E1560">
        <w:t>direction</w:t>
      </w:r>
      <w:r w:rsidR="0013032F" w:rsidRPr="002E1560">
        <w:t xml:space="preserve"> </w:t>
      </w:r>
      <w:r w:rsidRPr="002E1560">
        <w:t>across</w:t>
      </w:r>
      <w:r w:rsidR="0013032F" w:rsidRPr="002E1560">
        <w:t xml:space="preserve"> </w:t>
      </w:r>
      <w:r w:rsidRPr="002E1560">
        <w:t>all</w:t>
      </w:r>
      <w:r w:rsidR="0013032F" w:rsidRPr="002E1560">
        <w:t xml:space="preserve"> </w:t>
      </w:r>
      <w:r w:rsidRPr="002E1560">
        <w:t>9</w:t>
      </w:r>
      <w:r w:rsidR="0013032F" w:rsidRPr="002E1560">
        <w:t xml:space="preserve"> </w:t>
      </w:r>
      <w:r w:rsidRPr="002E1560">
        <w:t>REDS.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work</w:t>
      </w:r>
      <w:r w:rsidR="0013032F" w:rsidRPr="002E1560">
        <w:t xml:space="preserve"> </w:t>
      </w:r>
      <w:r w:rsidRPr="002E1560">
        <w:t>identifies</w:t>
      </w:r>
      <w:r w:rsidR="0013032F" w:rsidRPr="002E1560">
        <w:t xml:space="preserve"> </w:t>
      </w:r>
      <w:r w:rsidRPr="002E1560">
        <w:t>opportunities</w:t>
      </w:r>
      <w:r w:rsidR="0013032F" w:rsidRPr="002E1560">
        <w:t xml:space="preserve"> </w:t>
      </w:r>
      <w:r w:rsidRPr="002E1560">
        <w:t>to</w:t>
      </w:r>
      <w:r w:rsidR="0013032F" w:rsidRPr="002E1560">
        <w:t xml:space="preserve"> </w:t>
      </w:r>
      <w:r w:rsidRPr="002E1560">
        <w:t>integrate</w:t>
      </w:r>
      <w:r w:rsidR="0013032F" w:rsidRPr="002E1560">
        <w:t xml:space="preserve"> </w:t>
      </w:r>
      <w:r w:rsidRPr="002E1560">
        <w:t>and</w:t>
      </w:r>
      <w:r w:rsidR="0013032F" w:rsidRPr="002E1560">
        <w:t xml:space="preserve"> </w:t>
      </w:r>
      <w:r w:rsidRPr="002E1560">
        <w:t>capture</w:t>
      </w:r>
      <w:r w:rsidR="0013032F" w:rsidRPr="002E1560">
        <w:t xml:space="preserve"> </w:t>
      </w:r>
      <w:r w:rsidRPr="002E1560">
        <w:t>value</w:t>
      </w:r>
      <w:r w:rsidR="0013032F" w:rsidRPr="002E1560">
        <w:t xml:space="preserve"> </w:t>
      </w:r>
      <w:r w:rsidRPr="002E1560">
        <w:t>from</w:t>
      </w:r>
      <w:r w:rsidR="0013032F" w:rsidRPr="002E1560">
        <w:t xml:space="preserve"> </w:t>
      </w:r>
      <w:r w:rsidRPr="002E1560">
        <w:t>Victoria’s</w:t>
      </w:r>
      <w:r w:rsidR="0013032F" w:rsidRPr="002E1560">
        <w:t xml:space="preserve"> </w:t>
      </w:r>
      <w:r w:rsidRPr="002E1560">
        <w:t>key</w:t>
      </w:r>
      <w:r w:rsidR="0013032F" w:rsidRPr="002E1560">
        <w:t xml:space="preserve"> </w:t>
      </w:r>
      <w:r w:rsidRPr="002E1560">
        <w:t>agriculture</w:t>
      </w:r>
      <w:r w:rsidR="0013032F" w:rsidRPr="002E1560">
        <w:t xml:space="preserve"> </w:t>
      </w:r>
      <w:r w:rsidRPr="002E1560">
        <w:t>and</w:t>
      </w:r>
      <w:r w:rsidR="0013032F" w:rsidRPr="002E1560">
        <w:t xml:space="preserve"> </w:t>
      </w:r>
      <w:r w:rsidRPr="002E1560">
        <w:t>manufacturing</w:t>
      </w:r>
      <w:r w:rsidR="0013032F" w:rsidRPr="002E1560">
        <w:t xml:space="preserve"> </w:t>
      </w:r>
      <w:r w:rsidRPr="002E1560">
        <w:t>sectors</w:t>
      </w:r>
      <w:r w:rsidR="0013032F" w:rsidRPr="002E1560">
        <w:t xml:space="preserve"> </w:t>
      </w:r>
      <w:r w:rsidRPr="002E1560">
        <w:t>to</w:t>
      </w:r>
      <w:r w:rsidR="0013032F" w:rsidRPr="002E1560">
        <w:t xml:space="preserve"> </w:t>
      </w:r>
      <w:r w:rsidRPr="002E1560">
        <w:t>boost</w:t>
      </w:r>
      <w:r w:rsidR="0013032F" w:rsidRPr="002E1560">
        <w:t xml:space="preserve"> </w:t>
      </w:r>
      <w:r w:rsidRPr="002E1560">
        <w:t>regional</w:t>
      </w:r>
      <w:r w:rsidR="0013032F" w:rsidRPr="002E1560">
        <w:t xml:space="preserve"> </w:t>
      </w:r>
      <w:r w:rsidRPr="002E1560">
        <w:t>development.</w:t>
      </w:r>
    </w:p>
    <w:p w14:paraId="223B9765" w14:textId="421FEE77" w:rsidR="00757772" w:rsidRPr="002E1560" w:rsidRDefault="00305D3C" w:rsidP="002E1560">
      <w:r w:rsidRPr="002E1560">
        <w:t>The</w:t>
      </w:r>
      <w:r w:rsidR="0013032F" w:rsidRPr="002E1560">
        <w:t xml:space="preserve"> </w:t>
      </w:r>
      <w:r w:rsidRPr="002E1560">
        <w:t>REDS</w:t>
      </w:r>
      <w:r w:rsidR="0013032F" w:rsidRPr="002E1560">
        <w:t xml:space="preserve"> </w:t>
      </w:r>
      <w:r w:rsidRPr="002E1560">
        <w:t>underpin</w:t>
      </w:r>
      <w:r w:rsidR="0013032F" w:rsidRPr="002E1560">
        <w:t xml:space="preserve"> </w:t>
      </w:r>
      <w:r w:rsidRPr="002E1560">
        <w:t>further</w:t>
      </w:r>
      <w:r w:rsidR="0013032F" w:rsidRPr="002E1560">
        <w:t xml:space="preserve"> </w:t>
      </w:r>
      <w:r w:rsidRPr="002E1560">
        <w:t>policy</w:t>
      </w:r>
      <w:r w:rsidR="0013032F" w:rsidRPr="002E1560">
        <w:t xml:space="preserve"> </w:t>
      </w:r>
      <w:r w:rsidRPr="002E1560">
        <w:t>research</w:t>
      </w:r>
      <w:r w:rsidR="0013032F" w:rsidRPr="002E1560">
        <w:t xml:space="preserve"> </w:t>
      </w:r>
      <w:r w:rsidRPr="002E1560">
        <w:t>to</w:t>
      </w:r>
      <w:r w:rsidR="0013032F" w:rsidRPr="002E1560">
        <w:t xml:space="preserve"> </w:t>
      </w:r>
      <w:r w:rsidRPr="002E1560">
        <w:t>better</w:t>
      </w:r>
      <w:r w:rsidR="0013032F" w:rsidRPr="002E1560">
        <w:t xml:space="preserve"> </w:t>
      </w:r>
      <w:r w:rsidRPr="002E1560">
        <w:t>understand</w:t>
      </w:r>
      <w:r w:rsidR="0013032F" w:rsidRPr="002E1560">
        <w:t xml:space="preserve"> </w:t>
      </w:r>
      <w:r w:rsidRPr="002E1560">
        <w:t>key</w:t>
      </w:r>
      <w:r w:rsidR="0013032F" w:rsidRPr="002E1560">
        <w:t xml:space="preserve"> </w:t>
      </w:r>
      <w:r w:rsidRPr="002E1560">
        <w:t>regional</w:t>
      </w:r>
      <w:r w:rsidR="0013032F" w:rsidRPr="002E1560">
        <w:t xml:space="preserve"> </w:t>
      </w:r>
      <w:r w:rsidRPr="002E1560">
        <w:t>innovation</w:t>
      </w:r>
      <w:r w:rsidR="0013032F" w:rsidRPr="002E1560">
        <w:t xml:space="preserve"> </w:t>
      </w:r>
      <w:r w:rsidRPr="002E1560">
        <w:t>performance</w:t>
      </w:r>
      <w:r w:rsidR="0013032F" w:rsidRPr="002E1560">
        <w:t xml:space="preserve"> </w:t>
      </w:r>
      <w:r w:rsidRPr="002E1560">
        <w:t>factors</w:t>
      </w:r>
      <w:r w:rsidR="0013032F" w:rsidRPr="002E1560">
        <w:t xml:space="preserve"> </w:t>
      </w:r>
      <w:r w:rsidRPr="002E1560">
        <w:t>and</w:t>
      </w:r>
      <w:r w:rsidR="0013032F" w:rsidRPr="002E1560">
        <w:t xml:space="preserve"> </w:t>
      </w:r>
      <w:r w:rsidRPr="002E1560">
        <w:t>how</w:t>
      </w:r>
      <w:r w:rsidR="0013032F" w:rsidRPr="002E1560">
        <w:t xml:space="preserve"> </w:t>
      </w:r>
      <w:r w:rsidRPr="002E1560">
        <w:t>these</w:t>
      </w:r>
      <w:r w:rsidR="0013032F" w:rsidRPr="002E1560">
        <w:t xml:space="preserve"> </w:t>
      </w:r>
      <w:r w:rsidRPr="002E1560">
        <w:t>can</w:t>
      </w:r>
      <w:r w:rsidR="0013032F" w:rsidRPr="002E1560">
        <w:t xml:space="preserve"> </w:t>
      </w:r>
      <w:r w:rsidRPr="002E1560">
        <w:t>uplift</w:t>
      </w:r>
      <w:r w:rsidR="0013032F" w:rsidRPr="002E1560">
        <w:t xml:space="preserve"> </w:t>
      </w:r>
      <w:r w:rsidRPr="002E1560">
        <w:t>economic</w:t>
      </w:r>
      <w:r w:rsidR="0013032F" w:rsidRPr="002E1560">
        <w:t xml:space="preserve"> </w:t>
      </w:r>
      <w:r w:rsidRPr="002E1560">
        <w:t>development.</w:t>
      </w:r>
      <w:r w:rsidR="0013032F" w:rsidRPr="002E1560">
        <w:t xml:space="preserve"> </w:t>
      </w:r>
      <w:r w:rsidRPr="002E1560">
        <w:t>Beyond</w:t>
      </w:r>
      <w:r w:rsidR="0013032F" w:rsidRPr="002E1560">
        <w:t xml:space="preserve"> </w:t>
      </w:r>
      <w:r w:rsidRPr="002E1560">
        <w:t>their</w:t>
      </w:r>
      <w:r w:rsidR="0013032F" w:rsidRPr="002E1560">
        <w:t xml:space="preserve"> </w:t>
      </w:r>
      <w:r w:rsidRPr="002E1560">
        <w:t>core</w:t>
      </w:r>
      <w:r w:rsidR="0013032F" w:rsidRPr="002E1560">
        <w:t xml:space="preserve"> </w:t>
      </w:r>
      <w:r w:rsidRPr="002E1560">
        <w:t>policy</w:t>
      </w:r>
      <w:r w:rsidR="0013032F" w:rsidRPr="002E1560">
        <w:t xml:space="preserve"> </w:t>
      </w:r>
      <w:r w:rsidRPr="002E1560">
        <w:t>applications,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REDS</w:t>
      </w:r>
      <w:r w:rsidR="0013032F" w:rsidRPr="002E1560">
        <w:t xml:space="preserve"> </w:t>
      </w:r>
      <w:r w:rsidRPr="002E1560">
        <w:t>have</w:t>
      </w:r>
      <w:r w:rsidR="0013032F" w:rsidRPr="002E1560">
        <w:t xml:space="preserve"> </w:t>
      </w:r>
      <w:r w:rsidRPr="002E1560">
        <w:t>also</w:t>
      </w:r>
      <w:r w:rsidR="0013032F" w:rsidRPr="002E1560">
        <w:t xml:space="preserve"> </w:t>
      </w:r>
      <w:r w:rsidRPr="002E1560">
        <w:t>been</w:t>
      </w:r>
      <w:r w:rsidR="0013032F" w:rsidRPr="002E1560">
        <w:t xml:space="preserve"> </w:t>
      </w:r>
      <w:r w:rsidRPr="002E1560">
        <w:t>applied</w:t>
      </w:r>
      <w:r w:rsidR="0013032F" w:rsidRPr="002E1560">
        <w:t xml:space="preserve"> </w:t>
      </w:r>
      <w:r w:rsidRPr="002E1560">
        <w:t>to</w:t>
      </w:r>
      <w:r w:rsidR="0013032F" w:rsidRPr="002E1560">
        <w:t xml:space="preserve"> </w:t>
      </w:r>
      <w:r w:rsidRPr="002E1560">
        <w:t>grant</w:t>
      </w:r>
      <w:r w:rsidR="0013032F" w:rsidRPr="002E1560">
        <w:t xml:space="preserve"> </w:t>
      </w:r>
      <w:r w:rsidRPr="002E1560">
        <w:t>assessment</w:t>
      </w:r>
      <w:r w:rsidR="0013032F" w:rsidRPr="002E1560">
        <w:t xml:space="preserve"> </w:t>
      </w:r>
      <w:r w:rsidRPr="002E1560">
        <w:t>and</w:t>
      </w:r>
      <w:r w:rsidR="0013032F" w:rsidRPr="002E1560">
        <w:t xml:space="preserve"> </w:t>
      </w:r>
      <w:r w:rsidRPr="002E1560">
        <w:t>administration,</w:t>
      </w:r>
      <w:r w:rsidR="0013032F" w:rsidRPr="002E1560">
        <w:t xml:space="preserve"> </w:t>
      </w:r>
      <w:r w:rsidRPr="002E1560">
        <w:t>providing</w:t>
      </w:r>
      <w:r w:rsidR="0013032F" w:rsidRPr="002E1560">
        <w:t xml:space="preserve"> </w:t>
      </w:r>
      <w:r w:rsidRPr="002E1560">
        <w:t>a</w:t>
      </w:r>
      <w:r w:rsidR="0013032F" w:rsidRPr="002E1560">
        <w:t xml:space="preserve"> </w:t>
      </w:r>
      <w:r w:rsidRPr="002E1560">
        <w:t>strategic</w:t>
      </w:r>
      <w:r w:rsidR="0013032F" w:rsidRPr="002E1560">
        <w:t xml:space="preserve"> </w:t>
      </w:r>
      <w:r w:rsidRPr="002E1560">
        <w:t>framework</w:t>
      </w:r>
      <w:r w:rsidR="0013032F" w:rsidRPr="002E1560">
        <w:t xml:space="preserve"> </w:t>
      </w:r>
      <w:r w:rsidRPr="002E1560">
        <w:t>for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assessment</w:t>
      </w:r>
      <w:r w:rsidR="0013032F" w:rsidRPr="002E1560">
        <w:t xml:space="preserve"> </w:t>
      </w:r>
      <w:r w:rsidRPr="002E1560">
        <w:t>of</w:t>
      </w:r>
      <w:r w:rsidR="0013032F" w:rsidRPr="002E1560">
        <w:t xml:space="preserve"> </w:t>
      </w:r>
      <w:r w:rsidRPr="002E1560">
        <w:t>applications</w:t>
      </w:r>
      <w:r w:rsidR="0013032F" w:rsidRPr="002E1560">
        <w:t xml:space="preserve"> </w:t>
      </w:r>
      <w:r w:rsidRPr="002E1560">
        <w:t>to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Regional</w:t>
      </w:r>
      <w:r w:rsidR="0013032F" w:rsidRPr="002E1560">
        <w:t xml:space="preserve"> </w:t>
      </w:r>
      <w:r w:rsidRPr="002E1560">
        <w:t>Jobs</w:t>
      </w:r>
      <w:r w:rsidR="0013032F" w:rsidRPr="002E1560">
        <w:t xml:space="preserve"> </w:t>
      </w:r>
      <w:r w:rsidRPr="002E1560">
        <w:t>and</w:t>
      </w:r>
      <w:r w:rsidR="0013032F" w:rsidRPr="002E1560">
        <w:t xml:space="preserve"> </w:t>
      </w:r>
      <w:r w:rsidRPr="002E1560">
        <w:t>Infrastructure</w:t>
      </w:r>
      <w:r w:rsidR="0013032F" w:rsidRPr="002E1560">
        <w:t xml:space="preserve"> </w:t>
      </w:r>
      <w:r w:rsidRPr="002E1560">
        <w:t>Fund</w:t>
      </w:r>
      <w:r w:rsidR="0013032F" w:rsidRPr="002E1560">
        <w:t xml:space="preserve"> </w:t>
      </w:r>
      <w:r w:rsidRPr="002E1560">
        <w:t>throughout</w:t>
      </w:r>
      <w:r w:rsidR="0013032F" w:rsidRPr="002E1560">
        <w:t xml:space="preserve"> </w:t>
      </w:r>
      <w:r w:rsidRPr="002E1560">
        <w:t>the</w:t>
      </w:r>
      <w:r w:rsidR="0013032F" w:rsidRPr="002E1560">
        <w:t xml:space="preserve"> </w:t>
      </w:r>
      <w:r w:rsidRPr="002E1560">
        <w:t>year.</w:t>
      </w:r>
    </w:p>
    <w:p w14:paraId="218E49E3" w14:textId="19BB2D78" w:rsidR="00757772" w:rsidRDefault="00305D3C" w:rsidP="002E1560">
      <w:pPr>
        <w:pStyle w:val="Heading1"/>
      </w:pPr>
      <w:bookmarkStart w:id="37" w:name="_Toc149566583"/>
      <w:r>
        <w:lastRenderedPageBreak/>
        <w:t>Geelong</w:t>
      </w:r>
      <w:r w:rsidR="0013032F">
        <w:t xml:space="preserve"> </w:t>
      </w:r>
      <w:r>
        <w:t>City</w:t>
      </w:r>
      <w:r w:rsidR="0013032F">
        <w:t xml:space="preserve"> </w:t>
      </w:r>
      <w:r>
        <w:t>Deal</w:t>
      </w:r>
      <w:bookmarkEnd w:id="37"/>
    </w:p>
    <w:p w14:paraId="6AB54029" w14:textId="018775F4" w:rsidR="00757772" w:rsidRPr="006210C6" w:rsidRDefault="00305D3C" w:rsidP="006210C6">
      <w:r w:rsidRPr="006210C6">
        <w:t>The</w:t>
      </w:r>
      <w:r w:rsidR="0013032F" w:rsidRPr="006210C6">
        <w:t xml:space="preserve"> </w:t>
      </w:r>
      <w:r w:rsidRPr="006210C6">
        <w:t>$502.48</w:t>
      </w:r>
      <w:r w:rsidR="0013032F" w:rsidRPr="006210C6">
        <w:t xml:space="preserve"> </w:t>
      </w:r>
      <w:r w:rsidRPr="006210C6">
        <w:t>million</w:t>
      </w:r>
      <w:r w:rsidR="0013032F" w:rsidRPr="006210C6">
        <w:t xml:space="preserve"> </w:t>
      </w:r>
      <w:r w:rsidRPr="006210C6">
        <w:t>Geelong</w:t>
      </w:r>
      <w:r w:rsidR="0013032F" w:rsidRPr="006210C6">
        <w:t xml:space="preserve"> </w:t>
      </w:r>
      <w:r w:rsidRPr="006210C6">
        <w:t>City</w:t>
      </w:r>
      <w:r w:rsidR="0013032F" w:rsidRPr="006210C6">
        <w:t xml:space="preserve"> </w:t>
      </w:r>
      <w:r w:rsidRPr="006210C6">
        <w:t>Deal</w:t>
      </w:r>
      <w:r w:rsidR="0013032F" w:rsidRPr="006210C6">
        <w:t xml:space="preserve"> </w:t>
      </w:r>
      <w:r w:rsidRPr="006210C6">
        <w:t>(GCD)</w:t>
      </w:r>
      <w:r w:rsidR="0013032F" w:rsidRPr="006210C6">
        <w:t xml:space="preserve"> </w:t>
      </w:r>
      <w:r w:rsidRPr="006210C6">
        <w:t>is</w:t>
      </w:r>
      <w:r w:rsidR="0013032F" w:rsidRPr="006210C6">
        <w:t xml:space="preserve"> </w:t>
      </w:r>
      <w:r w:rsidRPr="006210C6">
        <w:t>a</w:t>
      </w:r>
      <w:r w:rsidR="0013032F" w:rsidRPr="006210C6">
        <w:t xml:space="preserve"> </w:t>
      </w:r>
      <w:r w:rsidRPr="006210C6">
        <w:t>10</w:t>
      </w:r>
      <w:r w:rsidRPr="006210C6">
        <w:noBreakHyphen/>
        <w:t>year</w:t>
      </w:r>
      <w:r w:rsidR="0013032F" w:rsidRPr="006210C6">
        <w:t xml:space="preserve"> </w:t>
      </w:r>
      <w:r w:rsidRPr="006210C6">
        <w:t>partnership</w:t>
      </w:r>
      <w:r w:rsidR="0013032F" w:rsidRPr="006210C6">
        <w:t xml:space="preserve"> </w:t>
      </w:r>
      <w:r w:rsidRPr="006210C6">
        <w:t>between</w:t>
      </w:r>
      <w:r w:rsidR="0013032F" w:rsidRPr="006210C6">
        <w:t xml:space="preserve"> </w:t>
      </w:r>
      <w:r w:rsidRPr="006210C6">
        <w:t>all</w:t>
      </w:r>
      <w:r w:rsidR="0013032F" w:rsidRPr="006210C6">
        <w:t xml:space="preserve"> </w:t>
      </w:r>
      <w:r w:rsidRPr="006210C6">
        <w:t>3</w:t>
      </w:r>
      <w:r w:rsidR="0013032F" w:rsidRPr="006210C6">
        <w:t xml:space="preserve"> </w:t>
      </w:r>
      <w:r w:rsidRPr="006210C6">
        <w:t>levels</w:t>
      </w:r>
      <w:r w:rsidR="0013032F" w:rsidRPr="006210C6">
        <w:t xml:space="preserve"> </w:t>
      </w:r>
      <w:r w:rsidRPr="006210C6">
        <w:t>of</w:t>
      </w:r>
      <w:r w:rsidR="0013032F" w:rsidRPr="006210C6">
        <w:t xml:space="preserve"> </w:t>
      </w:r>
      <w:r w:rsidRPr="006210C6">
        <w:t>government</w:t>
      </w:r>
      <w:r w:rsidR="0013032F" w:rsidRPr="006210C6">
        <w:t xml:space="preserve"> </w:t>
      </w:r>
      <w:r w:rsidRPr="006210C6">
        <w:t>working</w:t>
      </w:r>
      <w:r w:rsidR="0013032F" w:rsidRPr="006210C6">
        <w:t xml:space="preserve"> </w:t>
      </w:r>
      <w:r w:rsidRPr="006210C6">
        <w:t>with</w:t>
      </w:r>
      <w:r w:rsidR="0013032F" w:rsidRPr="006210C6">
        <w:t xml:space="preserve"> </w:t>
      </w:r>
      <w:r w:rsidRPr="006210C6">
        <w:t>industry,</w:t>
      </w:r>
      <w:r w:rsidR="0013032F" w:rsidRPr="006210C6">
        <w:t xml:space="preserve"> </w:t>
      </w:r>
      <w:r w:rsidRPr="006210C6">
        <w:t>community,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private</w:t>
      </w:r>
      <w:r w:rsidR="0013032F" w:rsidRPr="006210C6">
        <w:t xml:space="preserve"> </w:t>
      </w:r>
      <w:r w:rsidRPr="006210C6">
        <w:t>sector</w:t>
      </w:r>
      <w:r w:rsidR="0013032F" w:rsidRPr="006210C6">
        <w:t xml:space="preserve"> </w:t>
      </w:r>
      <w:r w:rsidRPr="006210C6">
        <w:t>and</w:t>
      </w:r>
      <w:r w:rsidR="0013032F" w:rsidRPr="006210C6">
        <w:t xml:space="preserve"> </w:t>
      </w:r>
      <w:r w:rsidRPr="006210C6">
        <w:t>First</w:t>
      </w:r>
      <w:r w:rsidR="0013032F" w:rsidRPr="006210C6">
        <w:t xml:space="preserve"> </w:t>
      </w:r>
      <w:r w:rsidRPr="006210C6">
        <w:t>Peoples</w:t>
      </w:r>
      <w:r w:rsidR="0013032F" w:rsidRPr="006210C6">
        <w:t xml:space="preserve"> </w:t>
      </w:r>
      <w:r w:rsidRPr="006210C6">
        <w:t>to</w:t>
      </w:r>
      <w:r w:rsidR="0013032F" w:rsidRPr="006210C6">
        <w:t xml:space="preserve"> </w:t>
      </w:r>
      <w:r w:rsidRPr="006210C6">
        <w:t>revitalise</w:t>
      </w:r>
      <w:r w:rsidR="0013032F" w:rsidRPr="006210C6">
        <w:t xml:space="preserve"> </w:t>
      </w:r>
      <w:r w:rsidRPr="006210C6">
        <w:t>Geelong</w:t>
      </w:r>
      <w:r w:rsidR="0013032F" w:rsidRPr="006210C6">
        <w:t xml:space="preserve"> </w:t>
      </w:r>
      <w:r w:rsidRPr="006210C6">
        <w:t>and</w:t>
      </w:r>
      <w:r w:rsidR="0013032F" w:rsidRPr="006210C6">
        <w:t xml:space="preserve"> </w:t>
      </w:r>
      <w:r w:rsidRPr="006210C6">
        <w:t>unlock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potential</w:t>
      </w:r>
      <w:r w:rsidR="0013032F" w:rsidRPr="006210C6">
        <w:t xml:space="preserve"> </w:t>
      </w:r>
      <w:r w:rsidRPr="006210C6">
        <w:t>of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Great</w:t>
      </w:r>
      <w:r w:rsidR="0013032F" w:rsidRPr="006210C6">
        <w:t xml:space="preserve"> </w:t>
      </w:r>
      <w:r w:rsidRPr="006210C6">
        <w:t>Ocean</w:t>
      </w:r>
      <w:r w:rsidR="0013032F" w:rsidRPr="006210C6">
        <w:t xml:space="preserve"> </w:t>
      </w:r>
      <w:r w:rsidRPr="006210C6">
        <w:t>Road</w:t>
      </w:r>
      <w:r w:rsidR="0013032F" w:rsidRPr="006210C6">
        <w:t xml:space="preserve"> </w:t>
      </w:r>
      <w:r w:rsidRPr="006210C6">
        <w:t>economy.</w:t>
      </w:r>
      <w:r w:rsidR="0013032F" w:rsidRPr="006210C6">
        <w:t xml:space="preserve"> </w:t>
      </w:r>
    </w:p>
    <w:p w14:paraId="466B55A9" w14:textId="1F2A7360" w:rsidR="00757772" w:rsidRPr="006210C6" w:rsidRDefault="00305D3C" w:rsidP="006210C6">
      <w:r w:rsidRPr="006210C6">
        <w:t>The</w:t>
      </w:r>
      <w:r w:rsidR="0013032F" w:rsidRPr="006210C6">
        <w:t xml:space="preserve"> </w:t>
      </w:r>
      <w:r w:rsidRPr="006210C6">
        <w:t>2022–23</w:t>
      </w:r>
      <w:r w:rsidR="0013032F" w:rsidRPr="006210C6">
        <w:t xml:space="preserve"> </w:t>
      </w:r>
      <w:r w:rsidRPr="006210C6">
        <w:t>financial</w:t>
      </w:r>
      <w:r w:rsidR="0013032F" w:rsidRPr="006210C6">
        <w:t xml:space="preserve"> </w:t>
      </w:r>
      <w:r w:rsidRPr="006210C6">
        <w:t>year</w:t>
      </w:r>
      <w:r w:rsidR="0013032F" w:rsidRPr="006210C6">
        <w:t xml:space="preserve"> </w:t>
      </w:r>
      <w:r w:rsidRPr="006210C6">
        <w:t>marks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fourth</w:t>
      </w:r>
      <w:r w:rsidR="0013032F" w:rsidRPr="006210C6">
        <w:t xml:space="preserve"> </w:t>
      </w:r>
      <w:r w:rsidRPr="006210C6">
        <w:t>year</w:t>
      </w:r>
      <w:r w:rsidR="0013032F" w:rsidRPr="006210C6">
        <w:t xml:space="preserve"> </w:t>
      </w:r>
      <w:r w:rsidRPr="006210C6">
        <w:t>of</w:t>
      </w:r>
      <w:r w:rsidR="0013032F" w:rsidRPr="006210C6">
        <w:t xml:space="preserve"> </w:t>
      </w:r>
      <w:r w:rsidRPr="006210C6">
        <w:t>GCD</w:t>
      </w:r>
      <w:r w:rsidR="0013032F" w:rsidRPr="006210C6">
        <w:t xml:space="preserve"> </w:t>
      </w:r>
      <w:r w:rsidRPr="006210C6">
        <w:t>delivery,</w:t>
      </w:r>
      <w:r w:rsidR="0013032F" w:rsidRPr="006210C6">
        <w:t xml:space="preserve"> </w:t>
      </w:r>
      <w:r w:rsidRPr="006210C6">
        <w:t>with</w:t>
      </w:r>
      <w:r w:rsidR="0013032F" w:rsidRPr="006210C6">
        <w:t xml:space="preserve"> </w:t>
      </w:r>
      <w:r w:rsidRPr="006210C6">
        <w:t>11</w:t>
      </w:r>
      <w:r w:rsidR="0013032F" w:rsidRPr="006210C6">
        <w:t xml:space="preserve"> </w:t>
      </w:r>
      <w:r w:rsidRPr="006210C6">
        <w:t>of</w:t>
      </w:r>
      <w:r w:rsidR="0013032F" w:rsidRPr="006210C6">
        <w:t xml:space="preserve"> </w:t>
      </w:r>
      <w:r w:rsidRPr="006210C6">
        <w:t>26</w:t>
      </w:r>
      <w:r w:rsidR="0013032F" w:rsidRPr="006210C6">
        <w:t xml:space="preserve"> </w:t>
      </w:r>
      <w:r w:rsidRPr="006210C6">
        <w:t>projects</w:t>
      </w:r>
      <w:r w:rsidR="0013032F" w:rsidRPr="006210C6">
        <w:t xml:space="preserve"> </w:t>
      </w:r>
      <w:r w:rsidRPr="006210C6">
        <w:t>now</w:t>
      </w:r>
      <w:r w:rsidR="0013032F" w:rsidRPr="006210C6">
        <w:t xml:space="preserve"> </w:t>
      </w:r>
      <w:r w:rsidRPr="006210C6">
        <w:t>complete</w:t>
      </w:r>
      <w:r w:rsidR="0013032F" w:rsidRPr="006210C6">
        <w:t xml:space="preserve"> </w:t>
      </w:r>
      <w:r w:rsidRPr="006210C6">
        <w:t>and</w:t>
      </w:r>
      <w:r w:rsidR="0013032F" w:rsidRPr="006210C6">
        <w:t xml:space="preserve"> </w:t>
      </w:r>
      <w:r w:rsidRPr="006210C6">
        <w:t>its</w:t>
      </w:r>
      <w:r w:rsidR="0013032F" w:rsidRPr="006210C6">
        <w:t xml:space="preserve"> </w:t>
      </w:r>
      <w:r w:rsidRPr="006210C6">
        <w:t>2</w:t>
      </w:r>
      <w:r w:rsidR="0013032F" w:rsidRPr="006210C6">
        <w:t xml:space="preserve"> </w:t>
      </w:r>
      <w:r w:rsidRPr="006210C6">
        <w:t>major</w:t>
      </w:r>
      <w:r w:rsidR="0013032F" w:rsidRPr="006210C6">
        <w:t xml:space="preserve"> </w:t>
      </w:r>
      <w:r w:rsidRPr="006210C6">
        <w:t>projects</w:t>
      </w:r>
      <w:r w:rsidR="0013032F" w:rsidRPr="006210C6">
        <w:t xml:space="preserve"> </w:t>
      </w:r>
      <w:r w:rsidRPr="006210C6">
        <w:t>(the</w:t>
      </w:r>
      <w:r w:rsidR="0013032F" w:rsidRPr="006210C6">
        <w:t xml:space="preserve"> </w:t>
      </w:r>
      <w:r w:rsidRPr="006210C6">
        <w:t>$294</w:t>
      </w:r>
      <w:r w:rsidR="0013032F" w:rsidRPr="006210C6">
        <w:t xml:space="preserve"> </w:t>
      </w:r>
      <w:r w:rsidRPr="006210C6">
        <w:t>million</w:t>
      </w:r>
      <w:r w:rsidR="0013032F" w:rsidRPr="006210C6">
        <w:t xml:space="preserve"> </w:t>
      </w:r>
      <w:r w:rsidRPr="006210C6">
        <w:t>Geelong</w:t>
      </w:r>
      <w:r w:rsidR="0013032F" w:rsidRPr="006210C6">
        <w:t xml:space="preserve"> </w:t>
      </w:r>
      <w:r w:rsidRPr="006210C6">
        <w:t>Convention</w:t>
      </w:r>
      <w:r w:rsidR="0013032F" w:rsidRPr="006210C6">
        <w:t xml:space="preserve"> </w:t>
      </w:r>
      <w:r w:rsidRPr="006210C6">
        <w:t>and</w:t>
      </w:r>
      <w:r w:rsidR="0013032F" w:rsidRPr="006210C6">
        <w:t xml:space="preserve"> </w:t>
      </w:r>
      <w:r w:rsidRPr="006210C6">
        <w:t>Exhibition</w:t>
      </w:r>
      <w:r w:rsidR="0013032F" w:rsidRPr="006210C6">
        <w:t xml:space="preserve"> </w:t>
      </w:r>
      <w:r w:rsidRPr="006210C6">
        <w:t>Centre</w:t>
      </w:r>
      <w:r w:rsidR="0013032F" w:rsidRPr="006210C6">
        <w:t xml:space="preserve"> </w:t>
      </w:r>
      <w:r w:rsidRPr="006210C6">
        <w:t>Precinct</w:t>
      </w:r>
      <w:r w:rsidR="0013032F" w:rsidRPr="006210C6">
        <w:t xml:space="preserve"> </w:t>
      </w:r>
      <w:r w:rsidRPr="006210C6">
        <w:t>Development</w:t>
      </w:r>
      <w:r w:rsidR="0013032F" w:rsidRPr="006210C6">
        <w:t xml:space="preserve"> </w:t>
      </w:r>
      <w:r w:rsidRPr="006210C6">
        <w:t>and</w:t>
      </w:r>
      <w:r w:rsidR="0013032F" w:rsidRPr="006210C6">
        <w:t xml:space="preserve"> </w:t>
      </w:r>
      <w:r w:rsidRPr="006210C6">
        <w:t>$108.15</w:t>
      </w:r>
      <w:r w:rsidR="0013032F" w:rsidRPr="006210C6">
        <w:t xml:space="preserve"> </w:t>
      </w:r>
      <w:r w:rsidRPr="006210C6">
        <w:t>million</w:t>
      </w:r>
      <w:r w:rsidR="0013032F" w:rsidRPr="006210C6">
        <w:t xml:space="preserve"> </w:t>
      </w:r>
      <w:r w:rsidRPr="006210C6">
        <w:t>Twelve</w:t>
      </w:r>
      <w:r w:rsidR="0013032F" w:rsidRPr="006210C6">
        <w:t xml:space="preserve"> </w:t>
      </w:r>
      <w:r w:rsidRPr="006210C6">
        <w:t>Apostles</w:t>
      </w:r>
      <w:r w:rsidR="0013032F" w:rsidRPr="006210C6">
        <w:t xml:space="preserve"> </w:t>
      </w:r>
      <w:r w:rsidRPr="006210C6">
        <w:t>Precinct</w:t>
      </w:r>
      <w:r w:rsidR="0013032F" w:rsidRPr="006210C6">
        <w:t xml:space="preserve"> </w:t>
      </w:r>
      <w:r w:rsidRPr="006210C6">
        <w:t>redevelopment)</w:t>
      </w:r>
      <w:r w:rsidR="0013032F" w:rsidRPr="006210C6">
        <w:t xml:space="preserve"> </w:t>
      </w:r>
      <w:r w:rsidRPr="006210C6">
        <w:t>on</w:t>
      </w:r>
      <w:r w:rsidR="0013032F" w:rsidRPr="006210C6">
        <w:t xml:space="preserve"> </w:t>
      </w:r>
      <w:r w:rsidRPr="006210C6">
        <w:t>track</w:t>
      </w:r>
      <w:r w:rsidR="0013032F" w:rsidRPr="006210C6">
        <w:t xml:space="preserve"> </w:t>
      </w:r>
      <w:r w:rsidRPr="006210C6">
        <w:t>for</w:t>
      </w:r>
      <w:r w:rsidR="0013032F" w:rsidRPr="006210C6">
        <w:t xml:space="preserve"> </w:t>
      </w:r>
      <w:r w:rsidRPr="006210C6">
        <w:t>completion</w:t>
      </w:r>
      <w:r w:rsidR="0013032F" w:rsidRPr="006210C6">
        <w:t xml:space="preserve"> </w:t>
      </w:r>
      <w:r w:rsidRPr="006210C6">
        <w:t>in</w:t>
      </w:r>
      <w:r w:rsidR="0013032F" w:rsidRPr="006210C6">
        <w:t xml:space="preserve"> </w:t>
      </w:r>
      <w:r w:rsidRPr="006210C6">
        <w:t>2026.</w:t>
      </w:r>
      <w:r w:rsidR="0013032F" w:rsidRPr="006210C6">
        <w:t xml:space="preserve"> </w:t>
      </w:r>
    </w:p>
    <w:p w14:paraId="1EC21C66" w14:textId="4579A907" w:rsidR="00757772" w:rsidRPr="006210C6" w:rsidRDefault="00305D3C" w:rsidP="006210C6">
      <w:r w:rsidRPr="006210C6">
        <w:t>A</w:t>
      </w:r>
      <w:r w:rsidR="0013032F" w:rsidRPr="006210C6">
        <w:t xml:space="preserve"> </w:t>
      </w:r>
      <w:r w:rsidRPr="006210C6">
        <w:t>3-year</w:t>
      </w:r>
      <w:r w:rsidR="0013032F" w:rsidRPr="006210C6">
        <w:t xml:space="preserve"> </w:t>
      </w:r>
      <w:r w:rsidRPr="006210C6">
        <w:t>review</w:t>
      </w:r>
      <w:r w:rsidR="0013032F" w:rsidRPr="006210C6">
        <w:t xml:space="preserve"> </w:t>
      </w:r>
      <w:r w:rsidRPr="006210C6">
        <w:t>of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GCD</w:t>
      </w:r>
      <w:r w:rsidR="0013032F" w:rsidRPr="006210C6">
        <w:t xml:space="preserve"> </w:t>
      </w:r>
      <w:r w:rsidRPr="006210C6">
        <w:t>program</w:t>
      </w:r>
      <w:r w:rsidR="0013032F" w:rsidRPr="006210C6">
        <w:t xml:space="preserve"> </w:t>
      </w:r>
      <w:r w:rsidRPr="006210C6">
        <w:t>was</w:t>
      </w:r>
      <w:r w:rsidR="0013032F" w:rsidRPr="006210C6">
        <w:t xml:space="preserve"> </w:t>
      </w:r>
      <w:r w:rsidRPr="006210C6">
        <w:t>finalised</w:t>
      </w:r>
      <w:r w:rsidR="0013032F" w:rsidRPr="006210C6">
        <w:t xml:space="preserve"> </w:t>
      </w:r>
      <w:r w:rsidRPr="006210C6">
        <w:t>in</w:t>
      </w:r>
      <w:r w:rsidR="0013032F" w:rsidRPr="006210C6">
        <w:t xml:space="preserve"> </w:t>
      </w:r>
      <w:r w:rsidRPr="006210C6">
        <w:t>late</w:t>
      </w:r>
      <w:r w:rsidR="0013032F" w:rsidRPr="006210C6">
        <w:t xml:space="preserve"> </w:t>
      </w:r>
      <w:r w:rsidRPr="006210C6">
        <w:t>2022,</w:t>
      </w:r>
      <w:r w:rsidR="0013032F" w:rsidRPr="006210C6">
        <w:t xml:space="preserve"> </w:t>
      </w:r>
      <w:r w:rsidRPr="006210C6">
        <w:t>assessing</w:t>
      </w:r>
      <w:r w:rsidR="0013032F" w:rsidRPr="006210C6">
        <w:t xml:space="preserve"> </w:t>
      </w:r>
      <w:r w:rsidRPr="006210C6">
        <w:t>long-term</w:t>
      </w:r>
      <w:r w:rsidR="0013032F" w:rsidRPr="006210C6">
        <w:t xml:space="preserve"> </w:t>
      </w:r>
      <w:r w:rsidRPr="006210C6">
        <w:t>progress</w:t>
      </w:r>
      <w:r w:rsidR="0013032F" w:rsidRPr="006210C6">
        <w:t xml:space="preserve"> </w:t>
      </w:r>
      <w:r w:rsidRPr="006210C6">
        <w:t>towards</w:t>
      </w:r>
      <w:r w:rsidR="0013032F" w:rsidRPr="006210C6">
        <w:t xml:space="preserve"> </w:t>
      </w:r>
      <w:r w:rsidRPr="006210C6">
        <w:t>its</w:t>
      </w:r>
      <w:r w:rsidR="0013032F" w:rsidRPr="006210C6">
        <w:t xml:space="preserve"> </w:t>
      </w:r>
      <w:r w:rsidRPr="006210C6">
        <w:t>agreed</w:t>
      </w:r>
      <w:r w:rsidR="0013032F" w:rsidRPr="006210C6">
        <w:t xml:space="preserve"> </w:t>
      </w:r>
      <w:r w:rsidRPr="006210C6">
        <w:t>objectives.</w:t>
      </w:r>
      <w:r w:rsidR="0013032F" w:rsidRPr="006210C6">
        <w:t xml:space="preserve"> </w:t>
      </w:r>
      <w:r w:rsidRPr="006210C6">
        <w:t>Based</w:t>
      </w:r>
      <w:r w:rsidR="0013032F" w:rsidRPr="006210C6">
        <w:t xml:space="preserve"> </w:t>
      </w:r>
      <w:r w:rsidRPr="006210C6">
        <w:t>on</w:t>
      </w:r>
      <w:r w:rsidR="0013032F" w:rsidRPr="006210C6">
        <w:t xml:space="preserve"> </w:t>
      </w:r>
      <w:r w:rsidRPr="006210C6">
        <w:t>extensive</w:t>
      </w:r>
      <w:r w:rsidR="0013032F" w:rsidRPr="006210C6">
        <w:t xml:space="preserve"> </w:t>
      </w:r>
      <w:r w:rsidRPr="006210C6">
        <w:t>stakeholder</w:t>
      </w:r>
      <w:r w:rsidR="0013032F" w:rsidRPr="006210C6">
        <w:t xml:space="preserve"> </w:t>
      </w:r>
      <w:r w:rsidRPr="006210C6">
        <w:t>interviews,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review</w:t>
      </w:r>
      <w:r w:rsidR="0013032F" w:rsidRPr="006210C6">
        <w:t xml:space="preserve"> </w:t>
      </w:r>
      <w:r w:rsidRPr="006210C6">
        <w:t>highlighted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positive</w:t>
      </w:r>
      <w:r w:rsidR="0013032F" w:rsidRPr="006210C6">
        <w:t xml:space="preserve"> </w:t>
      </w:r>
      <w:r w:rsidRPr="006210C6">
        <w:t>collaboration</w:t>
      </w:r>
      <w:r w:rsidR="0013032F" w:rsidRPr="006210C6">
        <w:t xml:space="preserve"> </w:t>
      </w:r>
      <w:r w:rsidRPr="006210C6">
        <w:t>between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Victorian</w:t>
      </w:r>
      <w:r w:rsidR="0013032F" w:rsidRPr="006210C6">
        <w:t xml:space="preserve"> </w:t>
      </w:r>
      <w:r w:rsidRPr="006210C6">
        <w:t>and</w:t>
      </w:r>
      <w:r w:rsidR="0013032F" w:rsidRPr="006210C6">
        <w:t xml:space="preserve"> </w:t>
      </w:r>
      <w:r w:rsidRPr="006210C6">
        <w:t>Australian</w:t>
      </w:r>
      <w:r w:rsidR="0013032F" w:rsidRPr="006210C6">
        <w:t xml:space="preserve"> </w:t>
      </w:r>
      <w:r w:rsidRPr="006210C6">
        <w:t>governments,</w:t>
      </w:r>
      <w:r w:rsidR="0013032F" w:rsidRPr="006210C6">
        <w:t xml:space="preserve"> </w:t>
      </w:r>
      <w:r w:rsidRPr="006210C6">
        <w:t>as</w:t>
      </w:r>
      <w:r w:rsidR="0013032F" w:rsidRPr="006210C6">
        <w:t xml:space="preserve"> </w:t>
      </w:r>
      <w:r w:rsidRPr="006210C6">
        <w:t>well</w:t>
      </w:r>
      <w:r w:rsidR="0013032F" w:rsidRPr="006210C6">
        <w:t xml:space="preserve"> </w:t>
      </w:r>
      <w:r w:rsidRPr="006210C6">
        <w:t>as</w:t>
      </w:r>
      <w:r w:rsidR="0013032F" w:rsidRPr="006210C6">
        <w:t xml:space="preserve"> </w:t>
      </w:r>
      <w:r w:rsidRPr="006210C6">
        <w:t>successful</w:t>
      </w:r>
      <w:r w:rsidR="0013032F" w:rsidRPr="006210C6">
        <w:t xml:space="preserve"> </w:t>
      </w:r>
      <w:r w:rsidRPr="006210C6">
        <w:t>integration</w:t>
      </w:r>
      <w:r w:rsidR="0013032F" w:rsidRPr="006210C6">
        <w:t xml:space="preserve"> </w:t>
      </w:r>
      <w:r w:rsidRPr="006210C6">
        <w:t>of</w:t>
      </w:r>
      <w:r w:rsidR="0013032F" w:rsidRPr="006210C6">
        <w:t xml:space="preserve"> </w:t>
      </w:r>
      <w:r w:rsidRPr="006210C6">
        <w:t>investment</w:t>
      </w:r>
      <w:r w:rsidR="0013032F" w:rsidRPr="006210C6">
        <w:t xml:space="preserve"> </w:t>
      </w:r>
      <w:r w:rsidRPr="006210C6">
        <w:t>across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region</w:t>
      </w:r>
    </w:p>
    <w:p w14:paraId="75743351" w14:textId="4E67FC28" w:rsidR="00757772" w:rsidRDefault="00305D3C" w:rsidP="006210C6">
      <w:pPr>
        <w:pStyle w:val="Heading2"/>
      </w:pPr>
      <w:bookmarkStart w:id="38" w:name="_Toc149566584"/>
      <w:r>
        <w:t>Key</w:t>
      </w:r>
      <w:r w:rsidR="0013032F">
        <w:t xml:space="preserve"> </w:t>
      </w:r>
      <w:r>
        <w:t>achievements</w:t>
      </w:r>
      <w:r w:rsidR="0013032F">
        <w:t xml:space="preserve"> </w:t>
      </w:r>
      <w:r>
        <w:t>in</w:t>
      </w:r>
      <w:r w:rsidR="0013032F">
        <w:t xml:space="preserve"> </w:t>
      </w:r>
      <w:r>
        <w:t>2022–23</w:t>
      </w:r>
      <w:bookmarkEnd w:id="38"/>
    </w:p>
    <w:p w14:paraId="05E19919" w14:textId="7CED1E14" w:rsidR="00757772" w:rsidRPr="006210C6" w:rsidRDefault="00305D3C" w:rsidP="006210C6">
      <w:pPr>
        <w:pStyle w:val="Normalbeforebullets"/>
        <w:rPr>
          <w:b/>
          <w:bCs/>
        </w:rPr>
      </w:pPr>
      <w:r w:rsidRPr="006210C6">
        <w:rPr>
          <w:b/>
          <w:bCs/>
        </w:rPr>
        <w:t>First</w:t>
      </w:r>
      <w:r w:rsidR="0013032F" w:rsidRPr="006210C6">
        <w:rPr>
          <w:b/>
          <w:bCs/>
        </w:rPr>
        <w:t xml:space="preserve"> </w:t>
      </w:r>
      <w:r w:rsidRPr="006210C6">
        <w:rPr>
          <w:b/>
          <w:bCs/>
        </w:rPr>
        <w:t>Peoples</w:t>
      </w:r>
      <w:r w:rsidR="0013032F" w:rsidRPr="006210C6">
        <w:rPr>
          <w:b/>
          <w:bCs/>
        </w:rPr>
        <w:t xml:space="preserve"> </w:t>
      </w:r>
      <w:r w:rsidRPr="006210C6">
        <w:rPr>
          <w:b/>
          <w:bCs/>
        </w:rPr>
        <w:t>partnerships</w:t>
      </w:r>
    </w:p>
    <w:p w14:paraId="3ABB127F" w14:textId="459222E6" w:rsidR="00757772" w:rsidRPr="006210C6" w:rsidRDefault="00305D3C" w:rsidP="006210C6">
      <w:r w:rsidRPr="006210C6">
        <w:t>Building</w:t>
      </w:r>
      <w:r w:rsidR="0013032F" w:rsidRPr="006210C6">
        <w:t xml:space="preserve"> </w:t>
      </w:r>
      <w:r w:rsidRPr="006210C6">
        <w:t>strong</w:t>
      </w:r>
      <w:r w:rsidR="0013032F" w:rsidRPr="006210C6">
        <w:t xml:space="preserve"> </w:t>
      </w:r>
      <w:r w:rsidRPr="006210C6">
        <w:t>and</w:t>
      </w:r>
      <w:r w:rsidR="0013032F" w:rsidRPr="006210C6">
        <w:t xml:space="preserve"> </w:t>
      </w:r>
      <w:r w:rsidRPr="006210C6">
        <w:t>meaningful</w:t>
      </w:r>
      <w:r w:rsidR="0013032F" w:rsidRPr="006210C6">
        <w:t xml:space="preserve"> </w:t>
      </w:r>
      <w:r w:rsidRPr="006210C6">
        <w:t>relationships</w:t>
      </w:r>
      <w:r w:rsidR="0013032F" w:rsidRPr="006210C6">
        <w:t xml:space="preserve"> </w:t>
      </w:r>
      <w:r w:rsidRPr="006210C6">
        <w:t>with</w:t>
      </w:r>
      <w:r w:rsidR="0013032F" w:rsidRPr="006210C6">
        <w:t xml:space="preserve"> </w:t>
      </w:r>
      <w:r w:rsidRPr="006210C6">
        <w:t>First</w:t>
      </w:r>
      <w:r w:rsidR="0013032F" w:rsidRPr="006210C6">
        <w:t xml:space="preserve"> </w:t>
      </w:r>
      <w:r w:rsidRPr="006210C6">
        <w:t>Peoples</w:t>
      </w:r>
      <w:r w:rsidR="0013032F" w:rsidRPr="006210C6">
        <w:t xml:space="preserve"> </w:t>
      </w:r>
      <w:r w:rsidRPr="006210C6">
        <w:t>continued</w:t>
      </w:r>
      <w:r w:rsidR="0013032F" w:rsidRPr="006210C6">
        <w:t xml:space="preserve"> </w:t>
      </w:r>
      <w:r w:rsidRPr="006210C6">
        <w:t>to</w:t>
      </w:r>
      <w:r w:rsidR="0013032F" w:rsidRPr="006210C6">
        <w:t xml:space="preserve"> </w:t>
      </w:r>
      <w:r w:rsidRPr="006210C6">
        <w:t>be</w:t>
      </w:r>
      <w:r w:rsidR="0013032F" w:rsidRPr="006210C6">
        <w:t xml:space="preserve"> </w:t>
      </w:r>
      <w:r w:rsidRPr="006210C6">
        <w:t>a</w:t>
      </w:r>
      <w:r w:rsidR="0013032F" w:rsidRPr="006210C6">
        <w:t xml:space="preserve"> </w:t>
      </w:r>
      <w:r w:rsidRPr="006210C6">
        <w:t>key</w:t>
      </w:r>
      <w:r w:rsidR="0013032F" w:rsidRPr="006210C6">
        <w:t xml:space="preserve"> </w:t>
      </w:r>
      <w:r w:rsidRPr="006210C6">
        <w:t>priority</w:t>
      </w:r>
      <w:r w:rsidR="0013032F" w:rsidRPr="006210C6">
        <w:t xml:space="preserve"> </w:t>
      </w:r>
      <w:r w:rsidRPr="006210C6">
        <w:t>for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GCD.</w:t>
      </w:r>
      <w:r w:rsidR="0013032F" w:rsidRPr="006210C6">
        <w:t xml:space="preserve"> </w:t>
      </w:r>
      <w:r w:rsidRPr="006210C6">
        <w:t>With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help</w:t>
      </w:r>
      <w:r w:rsidR="0013032F" w:rsidRPr="006210C6">
        <w:t xml:space="preserve"> </w:t>
      </w:r>
      <w:r w:rsidRPr="006210C6">
        <w:t>of</w:t>
      </w:r>
      <w:r w:rsidR="0013032F" w:rsidRPr="006210C6">
        <w:t xml:space="preserve"> </w:t>
      </w:r>
      <w:r w:rsidRPr="006210C6">
        <w:t>GCD-dedicated</w:t>
      </w:r>
      <w:r w:rsidR="0013032F" w:rsidRPr="006210C6">
        <w:t xml:space="preserve"> </w:t>
      </w:r>
      <w:r w:rsidRPr="006210C6">
        <w:t>funding,</w:t>
      </w:r>
      <w:r w:rsidR="0013032F" w:rsidRPr="006210C6">
        <w:t xml:space="preserve"> </w:t>
      </w:r>
      <w:r w:rsidRPr="006210C6">
        <w:t>in</w:t>
      </w:r>
      <w:r w:rsidR="0013032F" w:rsidRPr="006210C6">
        <w:t xml:space="preserve"> </w:t>
      </w:r>
      <w:r w:rsidRPr="006210C6">
        <w:t>late</w:t>
      </w:r>
      <w:r w:rsidR="0013032F" w:rsidRPr="006210C6">
        <w:t xml:space="preserve"> </w:t>
      </w:r>
      <w:r w:rsidRPr="006210C6">
        <w:t>2022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proofErr w:type="spellStart"/>
      <w:r w:rsidRPr="006210C6">
        <w:t>Wadawurrung</w:t>
      </w:r>
      <w:proofErr w:type="spellEnd"/>
      <w:r w:rsidR="0013032F" w:rsidRPr="006210C6">
        <w:t xml:space="preserve"> </w:t>
      </w:r>
      <w:r w:rsidRPr="006210C6">
        <w:t>Traditional</w:t>
      </w:r>
      <w:r w:rsidR="0013032F" w:rsidRPr="006210C6">
        <w:t xml:space="preserve"> </w:t>
      </w:r>
      <w:r w:rsidRPr="006210C6">
        <w:t>Owners</w:t>
      </w:r>
      <w:r w:rsidR="0013032F" w:rsidRPr="006210C6">
        <w:t xml:space="preserve"> </w:t>
      </w:r>
      <w:r w:rsidRPr="006210C6">
        <w:t>Aboriginal</w:t>
      </w:r>
      <w:r w:rsidR="0013032F" w:rsidRPr="006210C6">
        <w:t xml:space="preserve"> </w:t>
      </w:r>
      <w:r w:rsidRPr="006210C6">
        <w:t>Corporation</w:t>
      </w:r>
      <w:r w:rsidR="0013032F" w:rsidRPr="006210C6">
        <w:t xml:space="preserve"> </w:t>
      </w:r>
      <w:r w:rsidRPr="006210C6">
        <w:t>(WTOAC)</w:t>
      </w:r>
      <w:r w:rsidR="0013032F" w:rsidRPr="006210C6">
        <w:t xml:space="preserve"> </w:t>
      </w:r>
      <w:r w:rsidRPr="006210C6">
        <w:t>appointed</w:t>
      </w:r>
      <w:r w:rsidR="0013032F" w:rsidRPr="006210C6">
        <w:t xml:space="preserve"> </w:t>
      </w:r>
      <w:r w:rsidRPr="006210C6">
        <w:t>a</w:t>
      </w:r>
      <w:r w:rsidR="0013032F" w:rsidRPr="006210C6">
        <w:t xml:space="preserve"> </w:t>
      </w:r>
      <w:r w:rsidRPr="006210C6">
        <w:t>senior</w:t>
      </w:r>
      <w:r w:rsidR="0013032F" w:rsidRPr="006210C6">
        <w:t xml:space="preserve"> </w:t>
      </w:r>
      <w:r w:rsidRPr="006210C6">
        <w:t>project</w:t>
      </w:r>
      <w:r w:rsidR="0013032F" w:rsidRPr="006210C6">
        <w:t xml:space="preserve"> </w:t>
      </w:r>
      <w:r w:rsidRPr="006210C6">
        <w:t>advisor</w:t>
      </w:r>
      <w:r w:rsidR="0013032F" w:rsidRPr="006210C6">
        <w:t xml:space="preserve"> </w:t>
      </w:r>
      <w:r w:rsidRPr="006210C6">
        <w:t>to</w:t>
      </w:r>
      <w:r w:rsidR="0013032F" w:rsidRPr="006210C6">
        <w:t xml:space="preserve"> </w:t>
      </w:r>
      <w:r w:rsidRPr="006210C6">
        <w:t>support</w:t>
      </w:r>
      <w:r w:rsidR="0013032F" w:rsidRPr="006210C6">
        <w:t xml:space="preserve"> </w:t>
      </w:r>
      <w:r w:rsidRPr="006210C6">
        <w:t>its</w:t>
      </w:r>
      <w:r w:rsidR="0013032F" w:rsidRPr="006210C6">
        <w:t xml:space="preserve"> </w:t>
      </w:r>
      <w:r w:rsidRPr="006210C6">
        <w:t>collaboration</w:t>
      </w:r>
      <w:r w:rsidR="0013032F" w:rsidRPr="006210C6">
        <w:t xml:space="preserve"> </w:t>
      </w:r>
      <w:r w:rsidRPr="006210C6">
        <w:t>on</w:t>
      </w:r>
      <w:r w:rsidR="0013032F" w:rsidRPr="006210C6">
        <w:t xml:space="preserve"> </w:t>
      </w:r>
      <w:r w:rsidRPr="006210C6">
        <w:t>GCD</w:t>
      </w:r>
      <w:r w:rsidR="0013032F" w:rsidRPr="006210C6">
        <w:t xml:space="preserve"> </w:t>
      </w:r>
      <w:r w:rsidRPr="006210C6">
        <w:t>projects</w:t>
      </w:r>
      <w:r w:rsidR="0013032F" w:rsidRPr="006210C6">
        <w:t xml:space="preserve"> </w:t>
      </w:r>
      <w:r w:rsidRPr="006210C6">
        <w:t>based</w:t>
      </w:r>
      <w:r w:rsidR="0013032F" w:rsidRPr="006210C6">
        <w:t xml:space="preserve"> </w:t>
      </w:r>
      <w:r w:rsidRPr="006210C6">
        <w:t>on</w:t>
      </w:r>
      <w:r w:rsidR="0013032F" w:rsidRPr="006210C6">
        <w:t xml:space="preserve"> </w:t>
      </w:r>
      <w:proofErr w:type="spellStart"/>
      <w:r w:rsidRPr="006210C6">
        <w:t>Wadawurrung</w:t>
      </w:r>
      <w:proofErr w:type="spellEnd"/>
      <w:r w:rsidR="0013032F" w:rsidRPr="006210C6">
        <w:t xml:space="preserve"> </w:t>
      </w:r>
      <w:r w:rsidRPr="006210C6">
        <w:t>Country.</w:t>
      </w:r>
      <w:r w:rsidR="0013032F" w:rsidRPr="006210C6">
        <w:t xml:space="preserve"> </w:t>
      </w:r>
    </w:p>
    <w:p w14:paraId="35C177BE" w14:textId="0C369F48" w:rsidR="00757772" w:rsidRPr="006210C6" w:rsidRDefault="00305D3C" w:rsidP="006210C6">
      <w:r w:rsidRPr="006210C6">
        <w:t>In</w:t>
      </w:r>
      <w:r w:rsidR="0013032F" w:rsidRPr="006210C6">
        <w:t xml:space="preserve"> </w:t>
      </w:r>
      <w:r w:rsidRPr="006210C6">
        <w:t>April</w:t>
      </w:r>
      <w:r w:rsidR="0013032F" w:rsidRPr="006210C6">
        <w:t xml:space="preserve"> </w:t>
      </w:r>
      <w:r w:rsidRPr="006210C6">
        <w:t>2023,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GCD’s</w:t>
      </w:r>
      <w:r w:rsidR="0013032F" w:rsidRPr="006210C6">
        <w:t xml:space="preserve"> </w:t>
      </w:r>
      <w:r w:rsidRPr="006210C6">
        <w:t>ongoing</w:t>
      </w:r>
      <w:r w:rsidR="0013032F" w:rsidRPr="006210C6">
        <w:t xml:space="preserve"> </w:t>
      </w:r>
      <w:r w:rsidRPr="006210C6">
        <w:t>partnership</w:t>
      </w:r>
      <w:r w:rsidR="0013032F" w:rsidRPr="006210C6">
        <w:t xml:space="preserve"> </w:t>
      </w:r>
      <w:r w:rsidRPr="006210C6">
        <w:t>with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Eastern</w:t>
      </w:r>
      <w:r w:rsidR="0013032F" w:rsidRPr="006210C6">
        <w:t xml:space="preserve"> </w:t>
      </w:r>
      <w:r w:rsidRPr="006210C6">
        <w:t>Maar</w:t>
      </w:r>
      <w:r w:rsidR="0013032F" w:rsidRPr="006210C6">
        <w:t xml:space="preserve"> </w:t>
      </w:r>
      <w:r w:rsidRPr="006210C6">
        <w:t>Aboriginal</w:t>
      </w:r>
      <w:r w:rsidR="0013032F" w:rsidRPr="006210C6">
        <w:t xml:space="preserve"> </w:t>
      </w:r>
      <w:r w:rsidRPr="006210C6">
        <w:t>Corporation</w:t>
      </w:r>
      <w:r w:rsidR="0013032F" w:rsidRPr="006210C6">
        <w:t xml:space="preserve"> </w:t>
      </w:r>
      <w:r w:rsidRPr="006210C6">
        <w:t>(EMAC)</w:t>
      </w:r>
      <w:r w:rsidR="0013032F" w:rsidRPr="006210C6">
        <w:t xml:space="preserve"> </w:t>
      </w:r>
      <w:r w:rsidRPr="006210C6">
        <w:t>was</w:t>
      </w:r>
      <w:r w:rsidR="0013032F" w:rsidRPr="006210C6">
        <w:t xml:space="preserve"> </w:t>
      </w:r>
      <w:r w:rsidRPr="006210C6">
        <w:t>formalised</w:t>
      </w:r>
      <w:r w:rsidR="0013032F" w:rsidRPr="006210C6">
        <w:t xml:space="preserve"> </w:t>
      </w:r>
      <w:r w:rsidRPr="006210C6">
        <w:t>with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assistance</w:t>
      </w:r>
      <w:r w:rsidR="0013032F" w:rsidRPr="006210C6">
        <w:t xml:space="preserve"> </w:t>
      </w:r>
      <w:r w:rsidRPr="006210C6">
        <w:t>of</w:t>
      </w:r>
      <w:r w:rsidR="0013032F" w:rsidRPr="006210C6">
        <w:t xml:space="preserve"> </w:t>
      </w:r>
      <w:r w:rsidRPr="006210C6">
        <w:t>additional</w:t>
      </w:r>
      <w:r w:rsidR="0013032F" w:rsidRPr="006210C6">
        <w:t xml:space="preserve"> </w:t>
      </w:r>
      <w:r w:rsidRPr="006210C6">
        <w:t>partnership</w:t>
      </w:r>
      <w:r w:rsidR="0013032F" w:rsidRPr="006210C6">
        <w:t xml:space="preserve"> </w:t>
      </w:r>
      <w:r w:rsidRPr="006210C6">
        <w:t>funding.</w:t>
      </w:r>
      <w:r w:rsidR="0013032F" w:rsidRPr="006210C6">
        <w:t xml:space="preserve"> </w:t>
      </w:r>
      <w:r w:rsidRPr="006210C6">
        <w:t>As</w:t>
      </w:r>
      <w:r w:rsidR="0013032F" w:rsidRPr="006210C6">
        <w:t xml:space="preserve"> </w:t>
      </w:r>
      <w:r w:rsidRPr="006210C6">
        <w:t>with</w:t>
      </w:r>
      <w:r w:rsidR="0013032F" w:rsidRPr="006210C6">
        <w:t xml:space="preserve"> </w:t>
      </w:r>
      <w:r w:rsidRPr="006210C6">
        <w:t>WTOAC,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partnership</w:t>
      </w:r>
      <w:r w:rsidR="0013032F" w:rsidRPr="006210C6">
        <w:t xml:space="preserve"> </w:t>
      </w:r>
      <w:r w:rsidRPr="006210C6">
        <w:t>with</w:t>
      </w:r>
      <w:r w:rsidR="0013032F" w:rsidRPr="006210C6">
        <w:t xml:space="preserve"> </w:t>
      </w:r>
      <w:r w:rsidRPr="006210C6">
        <w:t>EMAC</w:t>
      </w:r>
      <w:r w:rsidR="0013032F" w:rsidRPr="006210C6">
        <w:t xml:space="preserve"> </w:t>
      </w:r>
      <w:r w:rsidRPr="006210C6">
        <w:t>recognises</w:t>
      </w:r>
      <w:r w:rsidR="0013032F" w:rsidRPr="006210C6">
        <w:t xml:space="preserve"> </w:t>
      </w:r>
      <w:r w:rsidRPr="006210C6">
        <w:t>Eastern</w:t>
      </w:r>
      <w:r w:rsidR="0013032F" w:rsidRPr="006210C6">
        <w:t xml:space="preserve"> </w:t>
      </w:r>
      <w:r w:rsidRPr="006210C6">
        <w:t>Maar’s</w:t>
      </w:r>
      <w:r w:rsidR="0013032F" w:rsidRPr="006210C6">
        <w:t xml:space="preserve"> </w:t>
      </w:r>
      <w:r w:rsidRPr="006210C6">
        <w:t>ongoing</w:t>
      </w:r>
      <w:r w:rsidR="0013032F" w:rsidRPr="006210C6">
        <w:t xml:space="preserve"> </w:t>
      </w:r>
      <w:r w:rsidRPr="006210C6">
        <w:t>connection</w:t>
      </w:r>
      <w:r w:rsidR="0013032F" w:rsidRPr="006210C6">
        <w:t xml:space="preserve"> </w:t>
      </w:r>
      <w:r w:rsidRPr="006210C6">
        <w:t>and</w:t>
      </w:r>
      <w:r w:rsidR="0013032F" w:rsidRPr="006210C6">
        <w:t xml:space="preserve"> </w:t>
      </w:r>
      <w:r w:rsidRPr="006210C6">
        <w:t>intrinsic</w:t>
      </w:r>
      <w:r w:rsidR="0013032F" w:rsidRPr="006210C6">
        <w:t xml:space="preserve"> </w:t>
      </w:r>
      <w:r w:rsidRPr="006210C6">
        <w:t>relationship</w:t>
      </w:r>
      <w:r w:rsidR="0013032F" w:rsidRPr="006210C6">
        <w:t xml:space="preserve"> </w:t>
      </w:r>
      <w:r w:rsidRPr="006210C6">
        <w:t>with</w:t>
      </w:r>
      <w:r w:rsidR="0013032F" w:rsidRPr="006210C6">
        <w:t xml:space="preserve"> </w:t>
      </w:r>
      <w:r w:rsidRPr="006210C6">
        <w:t>Country</w:t>
      </w:r>
      <w:r w:rsidR="0013032F" w:rsidRPr="006210C6">
        <w:t xml:space="preserve"> </w:t>
      </w:r>
      <w:r w:rsidRPr="006210C6">
        <w:t>and</w:t>
      </w:r>
      <w:r w:rsidR="0013032F" w:rsidRPr="006210C6">
        <w:t xml:space="preserve"> </w:t>
      </w:r>
      <w:r w:rsidRPr="006210C6">
        <w:t>will</w:t>
      </w:r>
      <w:r w:rsidR="0013032F" w:rsidRPr="006210C6">
        <w:t xml:space="preserve"> </w:t>
      </w:r>
      <w:r w:rsidRPr="006210C6">
        <w:t>ensure</w:t>
      </w:r>
      <w:r w:rsidR="0013032F" w:rsidRPr="006210C6">
        <w:t xml:space="preserve"> </w:t>
      </w:r>
      <w:r w:rsidRPr="006210C6">
        <w:t>that</w:t>
      </w:r>
      <w:r w:rsidR="0013032F" w:rsidRPr="006210C6">
        <w:t xml:space="preserve"> </w:t>
      </w:r>
      <w:r w:rsidRPr="006210C6">
        <w:t>First</w:t>
      </w:r>
      <w:r w:rsidR="0013032F" w:rsidRPr="006210C6">
        <w:t xml:space="preserve"> </w:t>
      </w:r>
      <w:r w:rsidRPr="006210C6">
        <w:t>Peoples’</w:t>
      </w:r>
      <w:r w:rsidR="0013032F" w:rsidRPr="006210C6">
        <w:t xml:space="preserve"> </w:t>
      </w:r>
      <w:r w:rsidRPr="006210C6">
        <w:t>culture</w:t>
      </w:r>
      <w:r w:rsidR="0013032F" w:rsidRPr="006210C6">
        <w:t xml:space="preserve"> </w:t>
      </w:r>
      <w:r w:rsidRPr="006210C6">
        <w:t>is</w:t>
      </w:r>
      <w:r w:rsidR="0013032F" w:rsidRPr="006210C6">
        <w:t xml:space="preserve"> </w:t>
      </w:r>
      <w:r w:rsidRPr="006210C6">
        <w:t>at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forefront</w:t>
      </w:r>
      <w:r w:rsidR="0013032F" w:rsidRPr="006210C6">
        <w:t xml:space="preserve"> </w:t>
      </w:r>
      <w:r w:rsidRPr="006210C6">
        <w:t>of</w:t>
      </w:r>
      <w:r w:rsidR="0013032F" w:rsidRPr="006210C6">
        <w:t xml:space="preserve"> </w:t>
      </w:r>
      <w:r w:rsidRPr="006210C6">
        <w:t>project</w:t>
      </w:r>
      <w:r w:rsidR="0013032F" w:rsidRPr="006210C6">
        <w:t xml:space="preserve"> </w:t>
      </w:r>
      <w:r w:rsidRPr="006210C6">
        <w:t>design,</w:t>
      </w:r>
      <w:r w:rsidR="0013032F" w:rsidRPr="006210C6">
        <w:t xml:space="preserve"> </w:t>
      </w:r>
      <w:r w:rsidRPr="006210C6">
        <w:t>delivery</w:t>
      </w:r>
      <w:r w:rsidR="0013032F" w:rsidRPr="006210C6">
        <w:t xml:space="preserve"> </w:t>
      </w:r>
      <w:r w:rsidRPr="006210C6">
        <w:t>and</w:t>
      </w:r>
      <w:r w:rsidR="0013032F" w:rsidRPr="006210C6">
        <w:t xml:space="preserve"> </w:t>
      </w:r>
      <w:r w:rsidRPr="006210C6">
        <w:t>future</w:t>
      </w:r>
      <w:r w:rsidR="0013032F" w:rsidRPr="006210C6">
        <w:t xml:space="preserve"> </w:t>
      </w:r>
      <w:r w:rsidRPr="006210C6">
        <w:t>outcomes.</w:t>
      </w:r>
    </w:p>
    <w:p w14:paraId="6A1ED6FF" w14:textId="48505B16" w:rsidR="00757772" w:rsidRPr="006210C6" w:rsidRDefault="00305D3C" w:rsidP="006210C6">
      <w:pPr>
        <w:pStyle w:val="Normalbeforebullets"/>
        <w:rPr>
          <w:b/>
          <w:bCs/>
        </w:rPr>
      </w:pPr>
      <w:r w:rsidRPr="006210C6">
        <w:rPr>
          <w:b/>
          <w:bCs/>
        </w:rPr>
        <w:t>Geelong</w:t>
      </w:r>
      <w:r w:rsidR="0013032F" w:rsidRPr="006210C6">
        <w:rPr>
          <w:b/>
          <w:bCs/>
        </w:rPr>
        <w:t xml:space="preserve"> </w:t>
      </w:r>
      <w:r w:rsidRPr="006210C6">
        <w:rPr>
          <w:b/>
          <w:bCs/>
        </w:rPr>
        <w:t>Convention</w:t>
      </w:r>
      <w:r w:rsidR="0013032F" w:rsidRPr="006210C6">
        <w:rPr>
          <w:b/>
          <w:bCs/>
        </w:rPr>
        <w:t xml:space="preserve"> </w:t>
      </w:r>
      <w:r w:rsidRPr="006210C6">
        <w:rPr>
          <w:b/>
          <w:bCs/>
        </w:rPr>
        <w:t>and</w:t>
      </w:r>
      <w:r w:rsidR="0013032F" w:rsidRPr="006210C6">
        <w:rPr>
          <w:b/>
          <w:bCs/>
        </w:rPr>
        <w:t xml:space="preserve"> </w:t>
      </w:r>
      <w:r w:rsidRPr="006210C6">
        <w:rPr>
          <w:b/>
          <w:bCs/>
        </w:rPr>
        <w:t>Exhibition</w:t>
      </w:r>
      <w:r w:rsidR="0013032F" w:rsidRPr="006210C6">
        <w:rPr>
          <w:b/>
          <w:bCs/>
        </w:rPr>
        <w:t xml:space="preserve"> </w:t>
      </w:r>
      <w:r w:rsidRPr="006210C6">
        <w:rPr>
          <w:b/>
          <w:bCs/>
        </w:rPr>
        <w:t>Centre</w:t>
      </w:r>
      <w:r w:rsidR="0013032F" w:rsidRPr="006210C6">
        <w:rPr>
          <w:b/>
          <w:bCs/>
        </w:rPr>
        <w:t xml:space="preserve"> </w:t>
      </w:r>
    </w:p>
    <w:p w14:paraId="3C2AD751" w14:textId="583B5809" w:rsidR="00757772" w:rsidRPr="006210C6" w:rsidRDefault="00305D3C" w:rsidP="006210C6">
      <w:r w:rsidRPr="006210C6">
        <w:t>The</w:t>
      </w:r>
      <w:r w:rsidR="0013032F" w:rsidRPr="006210C6">
        <w:t xml:space="preserve"> </w:t>
      </w:r>
      <w:r w:rsidRPr="006210C6">
        <w:t>Geelong</w:t>
      </w:r>
      <w:r w:rsidR="0013032F" w:rsidRPr="006210C6">
        <w:t xml:space="preserve"> </w:t>
      </w:r>
      <w:r w:rsidRPr="006210C6">
        <w:t>Convention</w:t>
      </w:r>
      <w:r w:rsidR="0013032F" w:rsidRPr="006210C6">
        <w:t xml:space="preserve"> </w:t>
      </w:r>
      <w:r w:rsidRPr="006210C6">
        <w:t>and</w:t>
      </w:r>
      <w:r w:rsidR="0013032F" w:rsidRPr="006210C6">
        <w:t xml:space="preserve"> </w:t>
      </w:r>
      <w:r w:rsidRPr="006210C6">
        <w:t>Exhibition</w:t>
      </w:r>
      <w:r w:rsidR="0013032F" w:rsidRPr="006210C6">
        <w:t xml:space="preserve"> </w:t>
      </w:r>
      <w:r w:rsidRPr="006210C6">
        <w:t>Centre</w:t>
      </w:r>
      <w:r w:rsidR="0013032F" w:rsidRPr="006210C6">
        <w:t xml:space="preserve"> </w:t>
      </w:r>
      <w:r w:rsidRPr="006210C6">
        <w:t>(GCEC)</w:t>
      </w:r>
      <w:r w:rsidR="0013032F" w:rsidRPr="006210C6">
        <w:t xml:space="preserve"> </w:t>
      </w:r>
      <w:r w:rsidRPr="006210C6">
        <w:t>is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GCD’s</w:t>
      </w:r>
      <w:r w:rsidR="0013032F" w:rsidRPr="006210C6">
        <w:t xml:space="preserve"> </w:t>
      </w:r>
      <w:r w:rsidRPr="006210C6">
        <w:t>flagship</w:t>
      </w:r>
      <w:r w:rsidR="0013032F" w:rsidRPr="006210C6">
        <w:t xml:space="preserve"> </w:t>
      </w:r>
      <w:r w:rsidRPr="006210C6">
        <w:t>major</w:t>
      </w:r>
      <w:r w:rsidR="0013032F" w:rsidRPr="006210C6">
        <w:t xml:space="preserve"> </w:t>
      </w:r>
      <w:r w:rsidRPr="006210C6">
        <w:t>project</w:t>
      </w:r>
      <w:r w:rsidR="0013032F" w:rsidRPr="006210C6">
        <w:t xml:space="preserve"> </w:t>
      </w:r>
      <w:r w:rsidRPr="006210C6">
        <w:t>and</w:t>
      </w:r>
      <w:r w:rsidR="0013032F" w:rsidRPr="006210C6">
        <w:t xml:space="preserve"> </w:t>
      </w:r>
      <w:r w:rsidRPr="006210C6">
        <w:t>it</w:t>
      </w:r>
      <w:r w:rsidR="0013032F" w:rsidRPr="006210C6">
        <w:t xml:space="preserve"> </w:t>
      </w:r>
      <w:r w:rsidRPr="006210C6">
        <w:t>made</w:t>
      </w:r>
      <w:r w:rsidR="0013032F" w:rsidRPr="006210C6">
        <w:t xml:space="preserve"> </w:t>
      </w:r>
      <w:r w:rsidRPr="006210C6">
        <w:t>significant</w:t>
      </w:r>
      <w:r w:rsidR="0013032F" w:rsidRPr="006210C6">
        <w:t xml:space="preserve"> </w:t>
      </w:r>
      <w:r w:rsidRPr="006210C6">
        <w:t>progress</w:t>
      </w:r>
      <w:r w:rsidR="0013032F" w:rsidRPr="006210C6">
        <w:t xml:space="preserve"> </w:t>
      </w:r>
      <w:r w:rsidRPr="006210C6">
        <w:t>in</w:t>
      </w:r>
      <w:r w:rsidR="0013032F" w:rsidRPr="006210C6">
        <w:t xml:space="preserve"> </w:t>
      </w:r>
      <w:r w:rsidRPr="006210C6">
        <w:t>2022–23,</w:t>
      </w:r>
      <w:r w:rsidR="0013032F" w:rsidRPr="006210C6">
        <w:t xml:space="preserve"> </w:t>
      </w:r>
      <w:r w:rsidRPr="006210C6">
        <w:t>including</w:t>
      </w:r>
      <w:r w:rsidR="0013032F" w:rsidRPr="006210C6">
        <w:t xml:space="preserve"> </w:t>
      </w:r>
      <w:r w:rsidRPr="006210C6">
        <w:t>completion</w:t>
      </w:r>
      <w:r w:rsidR="0013032F" w:rsidRPr="006210C6">
        <w:t xml:space="preserve"> </w:t>
      </w:r>
      <w:r w:rsidRPr="006210C6">
        <w:t>of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request</w:t>
      </w:r>
      <w:r w:rsidR="0013032F" w:rsidRPr="006210C6">
        <w:t xml:space="preserve"> </w:t>
      </w:r>
      <w:r w:rsidRPr="006210C6">
        <w:t>for</w:t>
      </w:r>
      <w:r w:rsidR="0013032F" w:rsidRPr="006210C6">
        <w:t xml:space="preserve"> </w:t>
      </w:r>
      <w:r w:rsidRPr="006210C6">
        <w:t>proposal</w:t>
      </w:r>
      <w:r w:rsidR="0013032F" w:rsidRPr="006210C6">
        <w:t xml:space="preserve"> </w:t>
      </w:r>
      <w:r w:rsidRPr="006210C6">
        <w:t>(RFP)</w:t>
      </w:r>
      <w:r w:rsidR="0013032F" w:rsidRPr="006210C6">
        <w:t xml:space="preserve"> </w:t>
      </w:r>
      <w:r w:rsidRPr="006210C6">
        <w:t>stage.</w:t>
      </w:r>
      <w:r w:rsidR="0013032F" w:rsidRPr="006210C6">
        <w:t xml:space="preserve"> </w:t>
      </w:r>
    </w:p>
    <w:p w14:paraId="529320BB" w14:textId="67F3CBC7" w:rsidR="00757772" w:rsidRPr="006210C6" w:rsidRDefault="00305D3C" w:rsidP="006210C6">
      <w:r w:rsidRPr="006210C6">
        <w:t>GCEC</w:t>
      </w:r>
      <w:r w:rsidR="0013032F" w:rsidRPr="006210C6">
        <w:t xml:space="preserve"> </w:t>
      </w:r>
      <w:r w:rsidRPr="006210C6">
        <w:t>will</w:t>
      </w:r>
      <w:r w:rsidR="0013032F" w:rsidRPr="006210C6">
        <w:t xml:space="preserve"> </w:t>
      </w:r>
      <w:r w:rsidRPr="006210C6">
        <w:t>be</w:t>
      </w:r>
      <w:r w:rsidR="0013032F" w:rsidRPr="006210C6">
        <w:t xml:space="preserve"> </w:t>
      </w:r>
      <w:r w:rsidRPr="006210C6">
        <w:t>delivered</w:t>
      </w:r>
      <w:r w:rsidR="0013032F" w:rsidRPr="006210C6">
        <w:t xml:space="preserve"> </w:t>
      </w:r>
      <w:r w:rsidRPr="006210C6">
        <w:t>as</w:t>
      </w:r>
      <w:r w:rsidR="0013032F" w:rsidRPr="006210C6">
        <w:t xml:space="preserve"> </w:t>
      </w:r>
      <w:r w:rsidRPr="006210C6">
        <w:t>an</w:t>
      </w:r>
      <w:r w:rsidR="0013032F" w:rsidRPr="006210C6">
        <w:t xml:space="preserve"> </w:t>
      </w:r>
      <w:r w:rsidRPr="006210C6">
        <w:t>innovative</w:t>
      </w:r>
      <w:r w:rsidR="0013032F" w:rsidRPr="006210C6">
        <w:t xml:space="preserve"> </w:t>
      </w:r>
      <w:r w:rsidRPr="006210C6">
        <w:t>public</w:t>
      </w:r>
      <w:r w:rsidR="0013032F" w:rsidRPr="006210C6">
        <w:t xml:space="preserve"> </w:t>
      </w:r>
      <w:r w:rsidRPr="006210C6">
        <w:t>private</w:t>
      </w:r>
      <w:r w:rsidR="0013032F" w:rsidRPr="006210C6">
        <w:t xml:space="preserve"> </w:t>
      </w:r>
      <w:r w:rsidRPr="006210C6">
        <w:t>partnership</w:t>
      </w:r>
      <w:r w:rsidR="0013032F" w:rsidRPr="006210C6">
        <w:t xml:space="preserve"> </w:t>
      </w:r>
      <w:r w:rsidRPr="006210C6">
        <w:t>that</w:t>
      </w:r>
      <w:r w:rsidR="0013032F" w:rsidRPr="006210C6">
        <w:t xml:space="preserve"> </w:t>
      </w:r>
      <w:r w:rsidRPr="006210C6">
        <w:t>transforms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Geelong</w:t>
      </w:r>
      <w:r w:rsidR="0013032F" w:rsidRPr="006210C6">
        <w:t xml:space="preserve"> </w:t>
      </w:r>
      <w:r w:rsidRPr="006210C6">
        <w:t>waterfront,</w:t>
      </w:r>
      <w:r w:rsidR="0013032F" w:rsidRPr="006210C6">
        <w:t xml:space="preserve"> </w:t>
      </w:r>
      <w:r w:rsidRPr="006210C6">
        <w:t>driving</w:t>
      </w:r>
      <w:r w:rsidR="0013032F" w:rsidRPr="006210C6">
        <w:t xml:space="preserve"> </w:t>
      </w:r>
      <w:r w:rsidRPr="006210C6">
        <w:t>significant</w:t>
      </w:r>
      <w:r w:rsidR="0013032F" w:rsidRPr="006210C6">
        <w:t xml:space="preserve"> </w:t>
      </w:r>
      <w:r w:rsidRPr="006210C6">
        <w:t>economic,</w:t>
      </w:r>
      <w:r w:rsidR="0013032F" w:rsidRPr="006210C6">
        <w:t xml:space="preserve"> </w:t>
      </w:r>
      <w:r w:rsidRPr="006210C6">
        <w:t>social</w:t>
      </w:r>
      <w:r w:rsidR="0013032F" w:rsidRPr="006210C6">
        <w:t xml:space="preserve"> </w:t>
      </w:r>
      <w:r w:rsidRPr="006210C6">
        <w:t>and</w:t>
      </w:r>
      <w:r w:rsidR="0013032F" w:rsidRPr="006210C6">
        <w:t xml:space="preserve"> </w:t>
      </w:r>
      <w:r w:rsidRPr="006210C6">
        <w:t>cultural</w:t>
      </w:r>
      <w:r w:rsidR="0013032F" w:rsidRPr="006210C6">
        <w:t xml:space="preserve"> </w:t>
      </w:r>
      <w:r w:rsidRPr="006210C6">
        <w:t>growth</w:t>
      </w:r>
      <w:r w:rsidR="0013032F" w:rsidRPr="006210C6">
        <w:t xml:space="preserve"> </w:t>
      </w:r>
      <w:r w:rsidRPr="006210C6">
        <w:t>for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whole</w:t>
      </w:r>
      <w:r w:rsidR="0013032F" w:rsidRPr="006210C6">
        <w:t xml:space="preserve"> </w:t>
      </w:r>
      <w:r w:rsidRPr="006210C6">
        <w:t>city</w:t>
      </w:r>
      <w:r w:rsidR="0013032F" w:rsidRPr="006210C6">
        <w:t xml:space="preserve"> </w:t>
      </w:r>
      <w:r w:rsidRPr="006210C6">
        <w:t>and</w:t>
      </w:r>
      <w:r w:rsidR="0013032F" w:rsidRPr="006210C6">
        <w:t xml:space="preserve"> </w:t>
      </w:r>
      <w:r w:rsidRPr="006210C6">
        <w:t>broader</w:t>
      </w:r>
      <w:r w:rsidR="0013032F" w:rsidRPr="006210C6">
        <w:t xml:space="preserve"> </w:t>
      </w:r>
      <w:r w:rsidRPr="006210C6">
        <w:t>Geelong</w:t>
      </w:r>
      <w:r w:rsidR="0013032F" w:rsidRPr="006210C6">
        <w:t xml:space="preserve"> </w:t>
      </w:r>
      <w:r w:rsidRPr="006210C6">
        <w:t>region.</w:t>
      </w:r>
    </w:p>
    <w:p w14:paraId="715B8BC2" w14:textId="64FD80A0" w:rsidR="00757772" w:rsidRPr="006210C6" w:rsidRDefault="00305D3C" w:rsidP="006210C6">
      <w:r w:rsidRPr="006210C6">
        <w:t>In</w:t>
      </w:r>
      <w:r w:rsidR="0013032F" w:rsidRPr="006210C6">
        <w:t xml:space="preserve"> </w:t>
      </w:r>
      <w:r w:rsidRPr="006210C6">
        <w:t>August</w:t>
      </w:r>
      <w:r w:rsidR="0013032F" w:rsidRPr="006210C6">
        <w:t xml:space="preserve"> </w:t>
      </w:r>
      <w:r w:rsidRPr="006210C6">
        <w:t>2022,</w:t>
      </w:r>
      <w:r w:rsidR="0013032F" w:rsidRPr="006210C6">
        <w:t xml:space="preserve"> </w:t>
      </w:r>
      <w:r w:rsidRPr="006210C6">
        <w:t>3</w:t>
      </w:r>
      <w:r w:rsidR="0013032F" w:rsidRPr="006210C6">
        <w:t xml:space="preserve"> </w:t>
      </w:r>
      <w:r w:rsidRPr="006210C6">
        <w:t>of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state’s</w:t>
      </w:r>
      <w:r w:rsidR="0013032F" w:rsidRPr="006210C6">
        <w:t xml:space="preserve"> </w:t>
      </w:r>
      <w:r w:rsidRPr="006210C6">
        <w:t>most</w:t>
      </w:r>
      <w:r w:rsidR="0013032F" w:rsidRPr="006210C6">
        <w:t xml:space="preserve"> </w:t>
      </w:r>
      <w:r w:rsidRPr="006210C6">
        <w:t>experienced</w:t>
      </w:r>
      <w:r w:rsidR="0013032F" w:rsidRPr="006210C6">
        <w:t xml:space="preserve"> </w:t>
      </w:r>
      <w:r w:rsidRPr="006210C6">
        <w:t>construction</w:t>
      </w:r>
      <w:r w:rsidR="0013032F" w:rsidRPr="006210C6">
        <w:t xml:space="preserve"> </w:t>
      </w:r>
      <w:r w:rsidRPr="006210C6">
        <w:t>teams</w:t>
      </w:r>
      <w:r w:rsidR="0013032F" w:rsidRPr="006210C6">
        <w:t xml:space="preserve"> </w:t>
      </w:r>
      <w:r w:rsidRPr="006210C6">
        <w:t>were</w:t>
      </w:r>
      <w:r w:rsidR="0013032F" w:rsidRPr="006210C6">
        <w:t xml:space="preserve"> </w:t>
      </w:r>
      <w:r w:rsidRPr="006210C6">
        <w:t>shortlisted.</w:t>
      </w:r>
      <w:r w:rsidR="0013032F" w:rsidRPr="006210C6">
        <w:t xml:space="preserve"> </w:t>
      </w:r>
      <w:r w:rsidRPr="006210C6">
        <w:t>RFPs</w:t>
      </w:r>
      <w:r w:rsidR="0013032F" w:rsidRPr="006210C6">
        <w:t xml:space="preserve"> </w:t>
      </w:r>
      <w:r w:rsidRPr="006210C6">
        <w:t>closed</w:t>
      </w:r>
      <w:r w:rsidR="0013032F" w:rsidRPr="006210C6">
        <w:t xml:space="preserve"> </w:t>
      </w:r>
      <w:r w:rsidRPr="006210C6">
        <w:t>in</w:t>
      </w:r>
      <w:r w:rsidR="0013032F" w:rsidRPr="006210C6">
        <w:t xml:space="preserve"> </w:t>
      </w:r>
      <w:r w:rsidRPr="006210C6">
        <w:t>March</w:t>
      </w:r>
      <w:r w:rsidR="0013032F" w:rsidRPr="006210C6">
        <w:t xml:space="preserve"> </w:t>
      </w:r>
      <w:r w:rsidRPr="006210C6">
        <w:t>2023</w:t>
      </w:r>
      <w:r w:rsidR="0013032F" w:rsidRPr="006210C6">
        <w:t xml:space="preserve"> </w:t>
      </w:r>
      <w:r w:rsidRPr="006210C6">
        <w:t>and</w:t>
      </w:r>
      <w:r w:rsidR="0013032F" w:rsidRPr="006210C6">
        <w:t xml:space="preserve"> </w:t>
      </w:r>
      <w:r w:rsidRPr="006210C6">
        <w:t>proposals</w:t>
      </w:r>
      <w:r w:rsidR="0013032F" w:rsidRPr="006210C6">
        <w:t xml:space="preserve"> </w:t>
      </w:r>
      <w:r w:rsidRPr="006210C6">
        <w:t>–</w:t>
      </w:r>
      <w:r w:rsidR="0013032F" w:rsidRPr="006210C6">
        <w:t xml:space="preserve"> </w:t>
      </w:r>
      <w:r w:rsidRPr="006210C6">
        <w:t>including</w:t>
      </w:r>
      <w:r w:rsidR="0013032F" w:rsidRPr="006210C6">
        <w:t xml:space="preserve"> </w:t>
      </w:r>
      <w:proofErr w:type="spellStart"/>
      <w:r w:rsidRPr="006210C6">
        <w:t>masterplanning</w:t>
      </w:r>
      <w:proofErr w:type="spellEnd"/>
      <w:r w:rsidR="0013032F" w:rsidRPr="006210C6">
        <w:t xml:space="preserve"> </w:t>
      </w:r>
      <w:r w:rsidRPr="006210C6">
        <w:t>of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entire</w:t>
      </w:r>
      <w:r w:rsidR="0013032F" w:rsidRPr="006210C6">
        <w:t xml:space="preserve"> </w:t>
      </w:r>
      <w:r w:rsidRPr="006210C6">
        <w:t>precinct</w:t>
      </w:r>
      <w:r w:rsidR="0013032F" w:rsidRPr="006210C6">
        <w:t xml:space="preserve"> </w:t>
      </w:r>
      <w:r w:rsidRPr="006210C6">
        <w:t>and</w:t>
      </w:r>
      <w:r w:rsidR="0013032F" w:rsidRPr="006210C6">
        <w:t xml:space="preserve"> </w:t>
      </w:r>
      <w:r w:rsidRPr="006210C6">
        <w:t>detailed</w:t>
      </w:r>
      <w:r w:rsidR="0013032F" w:rsidRPr="006210C6">
        <w:t xml:space="preserve"> </w:t>
      </w:r>
      <w:r w:rsidRPr="006210C6">
        <w:t>design</w:t>
      </w:r>
      <w:r w:rsidR="0013032F" w:rsidRPr="006210C6">
        <w:t xml:space="preserve"> </w:t>
      </w:r>
      <w:r w:rsidRPr="006210C6">
        <w:t>for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convention</w:t>
      </w:r>
      <w:r w:rsidR="0013032F" w:rsidRPr="006210C6">
        <w:t xml:space="preserve"> </w:t>
      </w:r>
      <w:r w:rsidRPr="006210C6">
        <w:t>and</w:t>
      </w:r>
      <w:r w:rsidR="0013032F" w:rsidRPr="006210C6">
        <w:t xml:space="preserve"> </w:t>
      </w:r>
      <w:r w:rsidRPr="006210C6">
        <w:t>exhibition</w:t>
      </w:r>
      <w:r w:rsidR="0013032F" w:rsidRPr="006210C6">
        <w:t xml:space="preserve"> </w:t>
      </w:r>
      <w:r w:rsidRPr="006210C6">
        <w:t>centre,</w:t>
      </w:r>
      <w:r w:rsidR="0013032F" w:rsidRPr="006210C6">
        <w:t xml:space="preserve"> </w:t>
      </w:r>
      <w:r w:rsidRPr="006210C6">
        <w:t>public</w:t>
      </w:r>
      <w:r w:rsidR="0013032F" w:rsidRPr="006210C6">
        <w:t xml:space="preserve"> </w:t>
      </w:r>
      <w:r w:rsidRPr="006210C6">
        <w:t>spaces</w:t>
      </w:r>
      <w:r w:rsidR="0013032F" w:rsidRPr="006210C6">
        <w:t xml:space="preserve"> </w:t>
      </w:r>
      <w:r w:rsidRPr="006210C6">
        <w:t>and</w:t>
      </w:r>
      <w:r w:rsidR="0013032F" w:rsidRPr="006210C6">
        <w:t xml:space="preserve"> </w:t>
      </w:r>
      <w:r w:rsidRPr="006210C6">
        <w:t>a</w:t>
      </w:r>
      <w:r w:rsidR="0013032F" w:rsidRPr="006210C6">
        <w:t xml:space="preserve"> </w:t>
      </w:r>
      <w:r w:rsidRPr="006210C6">
        <w:t>200-room</w:t>
      </w:r>
      <w:r w:rsidR="0013032F" w:rsidRPr="006210C6">
        <w:t xml:space="preserve"> </w:t>
      </w:r>
      <w:r w:rsidRPr="006210C6">
        <w:t>hotel</w:t>
      </w:r>
      <w:r w:rsidR="0013032F" w:rsidRPr="006210C6">
        <w:t xml:space="preserve"> </w:t>
      </w:r>
      <w:r w:rsidRPr="006210C6">
        <w:t>–</w:t>
      </w:r>
      <w:r w:rsidR="0013032F" w:rsidRPr="006210C6">
        <w:t xml:space="preserve"> </w:t>
      </w:r>
      <w:r w:rsidRPr="006210C6">
        <w:t>were</w:t>
      </w:r>
      <w:r w:rsidR="0013032F" w:rsidRPr="006210C6">
        <w:t xml:space="preserve"> </w:t>
      </w:r>
      <w:r w:rsidRPr="006210C6">
        <w:t>evaluated</w:t>
      </w:r>
      <w:r w:rsidR="0013032F" w:rsidRPr="006210C6">
        <w:t xml:space="preserve"> </w:t>
      </w:r>
      <w:r w:rsidRPr="006210C6">
        <w:t>over</w:t>
      </w:r>
      <w:r w:rsidR="0013032F" w:rsidRPr="006210C6">
        <w:t xml:space="preserve"> </w:t>
      </w:r>
      <w:r w:rsidRPr="006210C6">
        <w:t>several</w:t>
      </w:r>
      <w:r w:rsidR="0013032F" w:rsidRPr="006210C6">
        <w:t xml:space="preserve"> </w:t>
      </w:r>
      <w:r w:rsidRPr="006210C6">
        <w:t>months.</w:t>
      </w:r>
    </w:p>
    <w:p w14:paraId="600D8BE8" w14:textId="68D6C68A" w:rsidR="00757772" w:rsidRPr="006210C6" w:rsidRDefault="00305D3C" w:rsidP="006210C6">
      <w:r w:rsidRPr="006210C6">
        <w:lastRenderedPageBreak/>
        <w:t>The</w:t>
      </w:r>
      <w:r w:rsidR="0013032F" w:rsidRPr="006210C6">
        <w:t xml:space="preserve"> </w:t>
      </w:r>
      <w:r w:rsidRPr="006210C6">
        <w:t>preferred</w:t>
      </w:r>
      <w:r w:rsidR="0013032F" w:rsidRPr="006210C6">
        <w:t xml:space="preserve"> </w:t>
      </w:r>
      <w:r w:rsidRPr="006210C6">
        <w:t>bidder</w:t>
      </w:r>
      <w:r w:rsidR="0013032F" w:rsidRPr="006210C6">
        <w:t xml:space="preserve"> </w:t>
      </w:r>
      <w:r w:rsidRPr="006210C6">
        <w:t>and</w:t>
      </w:r>
      <w:r w:rsidR="0013032F" w:rsidRPr="006210C6">
        <w:t xml:space="preserve"> </w:t>
      </w:r>
      <w:r w:rsidRPr="006210C6">
        <w:t>design</w:t>
      </w:r>
      <w:r w:rsidR="0013032F" w:rsidRPr="006210C6">
        <w:t xml:space="preserve"> </w:t>
      </w:r>
      <w:r w:rsidRPr="006210C6">
        <w:t>is</w:t>
      </w:r>
      <w:r w:rsidR="0013032F" w:rsidRPr="006210C6">
        <w:t xml:space="preserve"> </w:t>
      </w:r>
      <w:r w:rsidRPr="006210C6">
        <w:t>due</w:t>
      </w:r>
      <w:r w:rsidR="0013032F" w:rsidRPr="006210C6">
        <w:t xml:space="preserve"> </w:t>
      </w:r>
      <w:r w:rsidRPr="006210C6">
        <w:t>to</w:t>
      </w:r>
      <w:r w:rsidR="0013032F" w:rsidRPr="006210C6">
        <w:t xml:space="preserve"> </w:t>
      </w:r>
      <w:r w:rsidRPr="006210C6">
        <w:t>be</w:t>
      </w:r>
      <w:r w:rsidR="0013032F" w:rsidRPr="006210C6">
        <w:t xml:space="preserve"> </w:t>
      </w:r>
      <w:r w:rsidRPr="006210C6">
        <w:t>announced</w:t>
      </w:r>
      <w:r w:rsidR="0013032F" w:rsidRPr="006210C6">
        <w:t xml:space="preserve"> </w:t>
      </w:r>
      <w:r w:rsidRPr="006210C6">
        <w:t>in</w:t>
      </w:r>
      <w:r w:rsidR="0013032F" w:rsidRPr="006210C6">
        <w:t xml:space="preserve"> </w:t>
      </w:r>
      <w:r w:rsidRPr="006210C6">
        <w:t>early</w:t>
      </w:r>
      <w:r w:rsidR="0013032F" w:rsidRPr="006210C6">
        <w:t xml:space="preserve"> </w:t>
      </w:r>
      <w:r w:rsidRPr="006210C6">
        <w:t>2023–24,</w:t>
      </w:r>
      <w:r w:rsidR="0013032F" w:rsidRPr="006210C6">
        <w:t xml:space="preserve"> </w:t>
      </w:r>
      <w:r w:rsidRPr="006210C6">
        <w:t>with</w:t>
      </w:r>
      <w:r w:rsidR="0013032F" w:rsidRPr="006210C6">
        <w:t xml:space="preserve"> </w:t>
      </w:r>
      <w:r w:rsidRPr="006210C6">
        <w:t>construction</w:t>
      </w:r>
      <w:r w:rsidR="0013032F" w:rsidRPr="006210C6">
        <w:t xml:space="preserve"> </w:t>
      </w:r>
      <w:r w:rsidRPr="006210C6">
        <w:t>on</w:t>
      </w:r>
      <w:r w:rsidR="0013032F" w:rsidRPr="006210C6">
        <w:t xml:space="preserve"> </w:t>
      </w:r>
      <w:r w:rsidRPr="006210C6">
        <w:t>track</w:t>
      </w:r>
      <w:r w:rsidR="0013032F" w:rsidRPr="006210C6">
        <w:t xml:space="preserve"> </w:t>
      </w:r>
      <w:r w:rsidRPr="006210C6">
        <w:t>to</w:t>
      </w:r>
      <w:r w:rsidR="0013032F" w:rsidRPr="006210C6">
        <w:t xml:space="preserve"> </w:t>
      </w:r>
      <w:r w:rsidRPr="006210C6">
        <w:t>commence</w:t>
      </w:r>
      <w:r w:rsidR="0013032F" w:rsidRPr="006210C6">
        <w:t xml:space="preserve"> </w:t>
      </w:r>
      <w:r w:rsidRPr="006210C6">
        <w:t>shortly</w:t>
      </w:r>
      <w:r w:rsidR="0013032F" w:rsidRPr="006210C6">
        <w:t xml:space="preserve"> </w:t>
      </w:r>
      <w:r w:rsidRPr="006210C6">
        <w:t>after.</w:t>
      </w:r>
      <w:r w:rsidR="0013032F" w:rsidRPr="006210C6">
        <w:t xml:space="preserve"> </w:t>
      </w:r>
    </w:p>
    <w:p w14:paraId="02BD3BFF" w14:textId="2DB3827B" w:rsidR="00757772" w:rsidRPr="006210C6" w:rsidRDefault="00305D3C" w:rsidP="006210C6">
      <w:pPr>
        <w:pStyle w:val="Normalbeforebullets"/>
        <w:rPr>
          <w:b/>
          <w:bCs/>
        </w:rPr>
      </w:pPr>
      <w:r w:rsidRPr="006210C6">
        <w:rPr>
          <w:b/>
          <w:bCs/>
        </w:rPr>
        <w:t>Twelve</w:t>
      </w:r>
      <w:r w:rsidR="0013032F" w:rsidRPr="006210C6">
        <w:rPr>
          <w:b/>
          <w:bCs/>
        </w:rPr>
        <w:t xml:space="preserve"> </w:t>
      </w:r>
      <w:r w:rsidRPr="006210C6">
        <w:rPr>
          <w:b/>
          <w:bCs/>
        </w:rPr>
        <w:t>Apostles</w:t>
      </w:r>
      <w:r w:rsidR="0013032F" w:rsidRPr="006210C6">
        <w:rPr>
          <w:b/>
          <w:bCs/>
        </w:rPr>
        <w:t xml:space="preserve"> </w:t>
      </w:r>
      <w:r w:rsidRPr="006210C6">
        <w:rPr>
          <w:b/>
          <w:bCs/>
        </w:rPr>
        <w:t>Precinct</w:t>
      </w:r>
      <w:r w:rsidR="0013032F" w:rsidRPr="006210C6">
        <w:rPr>
          <w:b/>
          <w:bCs/>
        </w:rPr>
        <w:t xml:space="preserve"> </w:t>
      </w:r>
      <w:r w:rsidRPr="006210C6">
        <w:rPr>
          <w:b/>
          <w:bCs/>
        </w:rPr>
        <w:t>redevelopment</w:t>
      </w:r>
    </w:p>
    <w:p w14:paraId="30B34AA7" w14:textId="1C6CC00B" w:rsidR="00757772" w:rsidRPr="006210C6" w:rsidRDefault="00305D3C" w:rsidP="006210C6">
      <w:r w:rsidRPr="006210C6">
        <w:t>The</w:t>
      </w:r>
      <w:r w:rsidR="0013032F" w:rsidRPr="006210C6">
        <w:t xml:space="preserve"> </w:t>
      </w:r>
      <w:r w:rsidRPr="006210C6">
        <w:t>GCD</w:t>
      </w:r>
      <w:r w:rsidR="0013032F" w:rsidRPr="006210C6">
        <w:t xml:space="preserve"> </w:t>
      </w:r>
      <w:r w:rsidRPr="006210C6">
        <w:t>is</w:t>
      </w:r>
      <w:r w:rsidR="0013032F" w:rsidRPr="006210C6">
        <w:t xml:space="preserve"> </w:t>
      </w:r>
      <w:r w:rsidRPr="006210C6">
        <w:t>delivering</w:t>
      </w:r>
      <w:r w:rsidR="0013032F" w:rsidRPr="006210C6">
        <w:t xml:space="preserve"> </w:t>
      </w:r>
      <w:r w:rsidRPr="006210C6">
        <w:t>$108.15</w:t>
      </w:r>
      <w:r w:rsidR="0013032F" w:rsidRPr="006210C6">
        <w:t xml:space="preserve"> </w:t>
      </w:r>
      <w:r w:rsidRPr="006210C6">
        <w:t>million</w:t>
      </w:r>
      <w:r w:rsidR="0013032F" w:rsidRPr="006210C6">
        <w:t xml:space="preserve"> </w:t>
      </w:r>
      <w:r w:rsidRPr="006210C6">
        <w:t>of</w:t>
      </w:r>
      <w:r w:rsidR="0013032F" w:rsidRPr="006210C6">
        <w:t xml:space="preserve"> </w:t>
      </w:r>
      <w:r w:rsidRPr="006210C6">
        <w:t>investment</w:t>
      </w:r>
      <w:r w:rsidR="0013032F" w:rsidRPr="006210C6">
        <w:t xml:space="preserve"> </w:t>
      </w:r>
      <w:r w:rsidRPr="006210C6">
        <w:t>in</w:t>
      </w:r>
      <w:r w:rsidR="0013032F" w:rsidRPr="006210C6">
        <w:t xml:space="preserve"> </w:t>
      </w:r>
      <w:r w:rsidRPr="006210C6">
        <w:t>priority</w:t>
      </w:r>
      <w:r w:rsidR="0013032F" w:rsidRPr="006210C6">
        <w:t xml:space="preserve"> </w:t>
      </w:r>
      <w:r w:rsidRPr="006210C6">
        <w:t>projects</w:t>
      </w:r>
      <w:r w:rsidR="0013032F" w:rsidRPr="006210C6">
        <w:t xml:space="preserve"> </w:t>
      </w:r>
      <w:r w:rsidRPr="006210C6">
        <w:t>along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Shipwreck</w:t>
      </w:r>
      <w:r w:rsidR="0013032F" w:rsidRPr="006210C6">
        <w:t xml:space="preserve"> </w:t>
      </w:r>
      <w:r w:rsidRPr="006210C6">
        <w:t>Coast</w:t>
      </w:r>
      <w:r w:rsidR="0013032F" w:rsidRPr="006210C6">
        <w:t xml:space="preserve"> </w:t>
      </w:r>
      <w:r w:rsidRPr="006210C6">
        <w:t>including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Twelve</w:t>
      </w:r>
      <w:r w:rsidR="0013032F" w:rsidRPr="006210C6">
        <w:t xml:space="preserve"> </w:t>
      </w:r>
      <w:r w:rsidRPr="006210C6">
        <w:t>Apostles</w:t>
      </w:r>
      <w:r w:rsidR="0013032F" w:rsidRPr="006210C6">
        <w:t xml:space="preserve"> </w:t>
      </w:r>
      <w:r w:rsidRPr="006210C6">
        <w:t>Precinct</w:t>
      </w:r>
      <w:r w:rsidR="0013032F" w:rsidRPr="006210C6">
        <w:t xml:space="preserve"> </w:t>
      </w:r>
      <w:r w:rsidRPr="006210C6">
        <w:t>redevelopment.</w:t>
      </w:r>
    </w:p>
    <w:p w14:paraId="6943B82B" w14:textId="07E00702" w:rsidR="00757772" w:rsidRPr="006210C6" w:rsidRDefault="00305D3C" w:rsidP="006210C6">
      <w:r w:rsidRPr="006210C6">
        <w:t>Development</w:t>
      </w:r>
      <w:r w:rsidR="0013032F" w:rsidRPr="006210C6">
        <w:t xml:space="preserve"> </w:t>
      </w:r>
      <w:r w:rsidRPr="006210C6">
        <w:t>Victoria</w:t>
      </w:r>
      <w:r w:rsidR="0013032F" w:rsidRPr="006210C6">
        <w:t xml:space="preserve"> </w:t>
      </w:r>
      <w:r w:rsidRPr="006210C6">
        <w:t>is</w:t>
      </w:r>
      <w:r w:rsidR="0013032F" w:rsidRPr="006210C6">
        <w:t xml:space="preserve"> </w:t>
      </w:r>
      <w:r w:rsidRPr="006210C6">
        <w:t>delivering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project</w:t>
      </w:r>
      <w:r w:rsidR="0013032F" w:rsidRPr="006210C6">
        <w:t xml:space="preserve"> </w:t>
      </w:r>
      <w:r w:rsidRPr="006210C6">
        <w:t>and</w:t>
      </w:r>
      <w:r w:rsidR="0013032F" w:rsidRPr="006210C6">
        <w:t xml:space="preserve"> </w:t>
      </w:r>
      <w:r w:rsidRPr="006210C6">
        <w:t>appointed</w:t>
      </w:r>
      <w:r w:rsidR="0013032F" w:rsidRPr="006210C6">
        <w:t xml:space="preserve"> </w:t>
      </w:r>
      <w:r w:rsidRPr="006210C6">
        <w:t>Grimshaw</w:t>
      </w:r>
      <w:r w:rsidR="0013032F" w:rsidRPr="006210C6">
        <w:t xml:space="preserve"> </w:t>
      </w:r>
      <w:r w:rsidRPr="006210C6">
        <w:t>Architects</w:t>
      </w:r>
      <w:r w:rsidR="0013032F" w:rsidRPr="006210C6">
        <w:t xml:space="preserve"> </w:t>
      </w:r>
      <w:r w:rsidRPr="006210C6">
        <w:t>as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head</w:t>
      </w:r>
      <w:r w:rsidR="0013032F" w:rsidRPr="006210C6">
        <w:t xml:space="preserve"> </w:t>
      </w:r>
      <w:r w:rsidRPr="006210C6">
        <w:t>design</w:t>
      </w:r>
      <w:r w:rsidR="0013032F" w:rsidRPr="006210C6">
        <w:t xml:space="preserve"> </w:t>
      </w:r>
      <w:r w:rsidRPr="006210C6">
        <w:t>consultant</w:t>
      </w:r>
      <w:r w:rsidR="0013032F" w:rsidRPr="006210C6">
        <w:t xml:space="preserve"> </w:t>
      </w:r>
      <w:r w:rsidRPr="006210C6">
        <w:t>in</w:t>
      </w:r>
      <w:r w:rsidR="0013032F" w:rsidRPr="006210C6">
        <w:t xml:space="preserve"> </w:t>
      </w:r>
      <w:r w:rsidRPr="006210C6">
        <w:t>2022.</w:t>
      </w:r>
      <w:r w:rsidR="0013032F" w:rsidRPr="006210C6">
        <w:t xml:space="preserve"> </w:t>
      </w:r>
    </w:p>
    <w:p w14:paraId="65FD2FBF" w14:textId="60966ED7" w:rsidR="00757772" w:rsidRPr="006210C6" w:rsidRDefault="00305D3C" w:rsidP="006210C6">
      <w:r w:rsidRPr="006210C6">
        <w:t>Planning</w:t>
      </w:r>
      <w:r w:rsidR="0013032F" w:rsidRPr="006210C6">
        <w:t xml:space="preserve"> </w:t>
      </w:r>
      <w:r w:rsidRPr="006210C6">
        <w:t>and</w:t>
      </w:r>
      <w:r w:rsidR="0013032F" w:rsidRPr="006210C6">
        <w:t xml:space="preserve"> </w:t>
      </w:r>
      <w:r w:rsidRPr="006210C6">
        <w:t>design</w:t>
      </w:r>
      <w:r w:rsidR="0013032F" w:rsidRPr="006210C6">
        <w:t xml:space="preserve"> </w:t>
      </w:r>
      <w:r w:rsidRPr="006210C6">
        <w:t>work</w:t>
      </w:r>
      <w:r w:rsidR="0013032F" w:rsidRPr="006210C6">
        <w:t xml:space="preserve"> </w:t>
      </w:r>
      <w:r w:rsidRPr="006210C6">
        <w:t>are</w:t>
      </w:r>
      <w:r w:rsidR="0013032F" w:rsidRPr="006210C6">
        <w:t xml:space="preserve"> </w:t>
      </w:r>
      <w:r w:rsidRPr="006210C6">
        <w:t>underway,</w:t>
      </w:r>
      <w:r w:rsidR="0013032F" w:rsidRPr="006210C6">
        <w:t xml:space="preserve"> </w:t>
      </w:r>
      <w:r w:rsidRPr="006210C6">
        <w:t>with</w:t>
      </w:r>
      <w:r w:rsidR="0013032F" w:rsidRPr="006210C6">
        <w:t xml:space="preserve"> </w:t>
      </w:r>
      <w:r w:rsidRPr="006210C6">
        <w:t>Grimshaw</w:t>
      </w:r>
      <w:r w:rsidR="0013032F" w:rsidRPr="006210C6">
        <w:t xml:space="preserve"> </w:t>
      </w:r>
      <w:r w:rsidRPr="006210C6">
        <w:t>Architects</w:t>
      </w:r>
      <w:r w:rsidR="0013032F" w:rsidRPr="006210C6">
        <w:t xml:space="preserve"> </w:t>
      </w:r>
      <w:r w:rsidRPr="006210C6">
        <w:t>working</w:t>
      </w:r>
      <w:r w:rsidR="0013032F" w:rsidRPr="006210C6">
        <w:t xml:space="preserve"> </w:t>
      </w:r>
      <w:r w:rsidRPr="006210C6">
        <w:t>in</w:t>
      </w:r>
      <w:r w:rsidR="0013032F" w:rsidRPr="006210C6">
        <w:t xml:space="preserve"> </w:t>
      </w:r>
      <w:r w:rsidRPr="006210C6">
        <w:t>partnership</w:t>
      </w:r>
      <w:r w:rsidR="0013032F" w:rsidRPr="006210C6">
        <w:t xml:space="preserve"> </w:t>
      </w:r>
      <w:r w:rsidRPr="006210C6">
        <w:t>with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Great</w:t>
      </w:r>
      <w:r w:rsidR="0013032F" w:rsidRPr="006210C6">
        <w:t xml:space="preserve"> </w:t>
      </w:r>
      <w:r w:rsidRPr="006210C6">
        <w:t>Ocean</w:t>
      </w:r>
      <w:r w:rsidR="0013032F" w:rsidRPr="006210C6">
        <w:t xml:space="preserve"> </w:t>
      </w:r>
      <w:r w:rsidRPr="006210C6">
        <w:t>Road</w:t>
      </w:r>
      <w:r w:rsidR="0013032F" w:rsidRPr="006210C6">
        <w:t xml:space="preserve"> </w:t>
      </w:r>
      <w:r w:rsidRPr="006210C6">
        <w:t>Coast</w:t>
      </w:r>
      <w:r w:rsidR="0013032F" w:rsidRPr="006210C6">
        <w:t xml:space="preserve"> </w:t>
      </w:r>
      <w:r w:rsidRPr="006210C6">
        <w:t>and</w:t>
      </w:r>
      <w:r w:rsidR="0013032F" w:rsidRPr="006210C6">
        <w:t xml:space="preserve"> </w:t>
      </w:r>
      <w:r w:rsidRPr="006210C6">
        <w:t>Parks</w:t>
      </w:r>
      <w:r w:rsidR="0013032F" w:rsidRPr="006210C6">
        <w:t xml:space="preserve"> </w:t>
      </w:r>
      <w:r w:rsidRPr="006210C6">
        <w:t>Authority</w:t>
      </w:r>
      <w:r w:rsidR="0013032F" w:rsidRPr="006210C6">
        <w:t xml:space="preserve"> </w:t>
      </w:r>
      <w:r w:rsidRPr="006210C6">
        <w:t>(GORCAPA)</w:t>
      </w:r>
      <w:r w:rsidR="0013032F" w:rsidRPr="006210C6">
        <w:t xml:space="preserve"> </w:t>
      </w:r>
      <w:r w:rsidRPr="006210C6">
        <w:t>and</w:t>
      </w:r>
      <w:r w:rsidR="0013032F" w:rsidRPr="006210C6">
        <w:t xml:space="preserve"> </w:t>
      </w:r>
      <w:r w:rsidRPr="006210C6">
        <w:t>EMAC.</w:t>
      </w:r>
    </w:p>
    <w:p w14:paraId="3D1DA255" w14:textId="3CDDBC15" w:rsidR="00757772" w:rsidRPr="006210C6" w:rsidRDefault="00305D3C" w:rsidP="006210C6">
      <w:r w:rsidRPr="006210C6">
        <w:t>From</w:t>
      </w:r>
      <w:r w:rsidR="0013032F" w:rsidRPr="006210C6">
        <w:t xml:space="preserve"> </w:t>
      </w:r>
      <w:r w:rsidRPr="006210C6">
        <w:t>April</w:t>
      </w:r>
      <w:r w:rsidR="0013032F" w:rsidRPr="006210C6">
        <w:t xml:space="preserve"> </w:t>
      </w:r>
      <w:r w:rsidRPr="006210C6">
        <w:t>to</w:t>
      </w:r>
      <w:r w:rsidR="0013032F" w:rsidRPr="006210C6">
        <w:t xml:space="preserve"> </w:t>
      </w:r>
      <w:r w:rsidRPr="006210C6">
        <w:t>May</w:t>
      </w:r>
      <w:r w:rsidR="0013032F" w:rsidRPr="006210C6">
        <w:t xml:space="preserve"> </w:t>
      </w:r>
      <w:r w:rsidRPr="006210C6">
        <w:t>2023,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first</w:t>
      </w:r>
      <w:r w:rsidR="0013032F" w:rsidRPr="006210C6">
        <w:t xml:space="preserve"> </w:t>
      </w:r>
      <w:r w:rsidRPr="006210C6">
        <w:t>stage</w:t>
      </w:r>
      <w:r w:rsidR="0013032F" w:rsidRPr="006210C6">
        <w:t xml:space="preserve"> </w:t>
      </w:r>
      <w:r w:rsidRPr="006210C6">
        <w:t>of</w:t>
      </w:r>
      <w:r w:rsidR="0013032F" w:rsidRPr="006210C6">
        <w:t xml:space="preserve"> </w:t>
      </w:r>
      <w:r w:rsidRPr="006210C6">
        <w:t>community</w:t>
      </w:r>
      <w:r w:rsidR="0013032F" w:rsidRPr="006210C6">
        <w:t xml:space="preserve"> </w:t>
      </w:r>
      <w:r w:rsidRPr="006210C6">
        <w:t>engagement</w:t>
      </w:r>
      <w:r w:rsidR="0013032F" w:rsidRPr="006210C6">
        <w:t xml:space="preserve"> </w:t>
      </w:r>
      <w:r w:rsidRPr="006210C6">
        <w:t>was</w:t>
      </w:r>
      <w:r w:rsidR="0013032F" w:rsidRPr="006210C6">
        <w:t xml:space="preserve"> </w:t>
      </w:r>
      <w:r w:rsidRPr="006210C6">
        <w:t>undertaken.</w:t>
      </w:r>
      <w:r w:rsidR="0013032F" w:rsidRPr="006210C6">
        <w:t xml:space="preserve"> </w:t>
      </w:r>
      <w:r w:rsidRPr="006210C6">
        <w:t>It</w:t>
      </w:r>
      <w:r w:rsidR="0013032F" w:rsidRPr="006210C6">
        <w:t xml:space="preserve"> </w:t>
      </w:r>
      <w:r w:rsidRPr="006210C6">
        <w:t>sought</w:t>
      </w:r>
      <w:r w:rsidR="0013032F" w:rsidRPr="006210C6">
        <w:t xml:space="preserve"> </w:t>
      </w:r>
      <w:r w:rsidRPr="006210C6">
        <w:t>to</w:t>
      </w:r>
      <w:r w:rsidR="0013032F" w:rsidRPr="006210C6">
        <w:t xml:space="preserve"> </w:t>
      </w:r>
      <w:r w:rsidRPr="006210C6">
        <w:t>better</w:t>
      </w:r>
      <w:r w:rsidR="0013032F" w:rsidRPr="006210C6">
        <w:t xml:space="preserve"> </w:t>
      </w:r>
      <w:r w:rsidRPr="006210C6">
        <w:t>understand</w:t>
      </w:r>
      <w:r w:rsidR="0013032F" w:rsidRPr="006210C6">
        <w:t xml:space="preserve"> </w:t>
      </w:r>
      <w:r w:rsidRPr="006210C6">
        <w:t>how</w:t>
      </w:r>
      <w:r w:rsidR="0013032F" w:rsidRPr="006210C6">
        <w:t xml:space="preserve"> </w:t>
      </w:r>
      <w:r w:rsidRPr="006210C6">
        <w:t>people</w:t>
      </w:r>
      <w:r w:rsidR="0013032F" w:rsidRPr="006210C6">
        <w:t xml:space="preserve"> </w:t>
      </w:r>
      <w:r w:rsidRPr="006210C6">
        <w:t>use</w:t>
      </w:r>
      <w:r w:rsidR="0013032F" w:rsidRPr="006210C6">
        <w:t xml:space="preserve"> </w:t>
      </w:r>
      <w:r w:rsidRPr="006210C6">
        <w:t>and</w:t>
      </w:r>
      <w:r w:rsidR="0013032F" w:rsidRPr="006210C6">
        <w:t xml:space="preserve"> </w:t>
      </w:r>
      <w:r w:rsidRPr="006210C6">
        <w:t>value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precinct.</w:t>
      </w:r>
      <w:r w:rsidRPr="006210C6">
        <w:t> </w:t>
      </w:r>
      <w:r w:rsidRPr="006210C6">
        <w:t>Feedback</w:t>
      </w:r>
      <w:r w:rsidR="0013032F" w:rsidRPr="006210C6">
        <w:t xml:space="preserve"> </w:t>
      </w:r>
      <w:r w:rsidRPr="006210C6">
        <w:t>will</w:t>
      </w:r>
      <w:r w:rsidR="0013032F" w:rsidRPr="006210C6">
        <w:t xml:space="preserve"> </w:t>
      </w:r>
      <w:r w:rsidRPr="006210C6">
        <w:t>be</w:t>
      </w:r>
      <w:r w:rsidR="0013032F" w:rsidRPr="006210C6">
        <w:t xml:space="preserve"> </w:t>
      </w:r>
      <w:r w:rsidRPr="006210C6">
        <w:t>taken</w:t>
      </w:r>
      <w:r w:rsidR="0013032F" w:rsidRPr="006210C6">
        <w:t xml:space="preserve"> </w:t>
      </w:r>
      <w:r w:rsidRPr="006210C6">
        <w:t>into</w:t>
      </w:r>
      <w:r w:rsidR="0013032F" w:rsidRPr="006210C6">
        <w:t xml:space="preserve"> </w:t>
      </w:r>
      <w:r w:rsidRPr="006210C6">
        <w:t>consideration</w:t>
      </w:r>
      <w:r w:rsidR="0013032F" w:rsidRPr="006210C6">
        <w:t xml:space="preserve"> </w:t>
      </w:r>
      <w:r w:rsidRPr="006210C6">
        <w:t>by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design</w:t>
      </w:r>
      <w:r w:rsidR="0013032F" w:rsidRPr="006210C6">
        <w:t xml:space="preserve"> </w:t>
      </w:r>
      <w:r w:rsidRPr="006210C6">
        <w:t>team</w:t>
      </w:r>
      <w:r w:rsidR="0013032F" w:rsidRPr="006210C6">
        <w:t xml:space="preserve"> </w:t>
      </w:r>
      <w:r w:rsidRPr="006210C6">
        <w:t>with</w:t>
      </w:r>
      <w:r w:rsidR="0013032F" w:rsidRPr="006210C6">
        <w:t xml:space="preserve"> </w:t>
      </w:r>
      <w:r w:rsidRPr="006210C6">
        <w:t>further</w:t>
      </w:r>
      <w:r w:rsidR="0013032F" w:rsidRPr="006210C6">
        <w:t xml:space="preserve"> </w:t>
      </w:r>
      <w:r w:rsidRPr="006210C6">
        <w:t>stages</w:t>
      </w:r>
      <w:r w:rsidR="0013032F" w:rsidRPr="006210C6">
        <w:t xml:space="preserve"> </w:t>
      </w:r>
      <w:r w:rsidRPr="006210C6">
        <w:t>of</w:t>
      </w:r>
      <w:r w:rsidR="0013032F" w:rsidRPr="006210C6">
        <w:t xml:space="preserve"> </w:t>
      </w:r>
      <w:r w:rsidRPr="006210C6">
        <w:t>community</w:t>
      </w:r>
      <w:r w:rsidR="0013032F" w:rsidRPr="006210C6">
        <w:t xml:space="preserve"> </w:t>
      </w:r>
      <w:r w:rsidRPr="006210C6">
        <w:t>engagement</w:t>
      </w:r>
      <w:r w:rsidR="0013032F" w:rsidRPr="006210C6">
        <w:t xml:space="preserve"> </w:t>
      </w:r>
      <w:r w:rsidRPr="006210C6">
        <w:t>planned</w:t>
      </w:r>
      <w:r w:rsidR="0013032F" w:rsidRPr="006210C6">
        <w:t xml:space="preserve"> </w:t>
      </w:r>
      <w:r w:rsidRPr="006210C6">
        <w:t>for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2023–24</w:t>
      </w:r>
      <w:r w:rsidR="0013032F" w:rsidRPr="006210C6">
        <w:t xml:space="preserve"> </w:t>
      </w:r>
      <w:r w:rsidRPr="006210C6">
        <w:t>financial</w:t>
      </w:r>
      <w:r w:rsidR="0013032F" w:rsidRPr="006210C6">
        <w:t xml:space="preserve"> </w:t>
      </w:r>
      <w:r w:rsidRPr="006210C6">
        <w:t>year.</w:t>
      </w:r>
    </w:p>
    <w:p w14:paraId="34E95898" w14:textId="74DD0B67" w:rsidR="00757772" w:rsidRPr="006210C6" w:rsidRDefault="00305D3C" w:rsidP="006210C6">
      <w:r w:rsidRPr="006210C6">
        <w:t>The</w:t>
      </w:r>
      <w:r w:rsidR="0013032F" w:rsidRPr="006210C6">
        <w:t xml:space="preserve"> </w:t>
      </w:r>
      <w:r w:rsidRPr="006210C6">
        <w:t>GCD’s</w:t>
      </w:r>
      <w:r w:rsidR="0013032F" w:rsidRPr="006210C6">
        <w:t xml:space="preserve"> </w:t>
      </w:r>
      <w:r w:rsidRPr="006210C6">
        <w:t>Shipwreck</w:t>
      </w:r>
      <w:r w:rsidR="0013032F" w:rsidRPr="006210C6">
        <w:t xml:space="preserve"> </w:t>
      </w:r>
      <w:r w:rsidRPr="006210C6">
        <w:t>Coast</w:t>
      </w:r>
      <w:r w:rsidR="0013032F" w:rsidRPr="006210C6">
        <w:t xml:space="preserve"> </w:t>
      </w:r>
      <w:r w:rsidRPr="006210C6">
        <w:t>Priority</w:t>
      </w:r>
      <w:r w:rsidR="0013032F" w:rsidRPr="006210C6">
        <w:t xml:space="preserve"> </w:t>
      </w:r>
      <w:r w:rsidRPr="006210C6">
        <w:t>Projects</w:t>
      </w:r>
      <w:r w:rsidR="0013032F" w:rsidRPr="006210C6">
        <w:t xml:space="preserve"> </w:t>
      </w:r>
      <w:r w:rsidRPr="006210C6">
        <w:t>commitment</w:t>
      </w:r>
      <w:r w:rsidR="0013032F" w:rsidRPr="006210C6">
        <w:t xml:space="preserve"> </w:t>
      </w:r>
      <w:r w:rsidRPr="006210C6">
        <w:t>also</w:t>
      </w:r>
      <w:r w:rsidR="0013032F" w:rsidRPr="006210C6">
        <w:t xml:space="preserve"> </w:t>
      </w:r>
      <w:r w:rsidRPr="006210C6">
        <w:t>includes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$23.4</w:t>
      </w:r>
      <w:r w:rsidR="0013032F" w:rsidRPr="006210C6">
        <w:t xml:space="preserve"> </w:t>
      </w:r>
      <w:r w:rsidRPr="006210C6">
        <w:t>million</w:t>
      </w:r>
      <w:r w:rsidR="0013032F" w:rsidRPr="006210C6">
        <w:t xml:space="preserve"> </w:t>
      </w:r>
      <w:r w:rsidRPr="006210C6">
        <w:t>Private</w:t>
      </w:r>
      <w:r w:rsidR="0013032F" w:rsidRPr="006210C6">
        <w:t xml:space="preserve"> </w:t>
      </w:r>
      <w:r w:rsidRPr="006210C6">
        <w:t>Sector</w:t>
      </w:r>
      <w:r w:rsidR="0013032F" w:rsidRPr="006210C6">
        <w:t xml:space="preserve"> </w:t>
      </w:r>
      <w:r w:rsidRPr="006210C6">
        <w:t>Business</w:t>
      </w:r>
      <w:r w:rsidR="0013032F" w:rsidRPr="006210C6">
        <w:t xml:space="preserve"> </w:t>
      </w:r>
      <w:r w:rsidRPr="006210C6">
        <w:t>Enablement</w:t>
      </w:r>
      <w:r w:rsidR="0013032F" w:rsidRPr="006210C6">
        <w:t xml:space="preserve"> </w:t>
      </w:r>
      <w:r w:rsidRPr="006210C6">
        <w:t>Fund</w:t>
      </w:r>
      <w:r w:rsidR="0013032F" w:rsidRPr="006210C6">
        <w:t xml:space="preserve"> </w:t>
      </w:r>
      <w:r w:rsidRPr="006210C6">
        <w:t>(PSBEF).</w:t>
      </w:r>
      <w:r w:rsidR="0013032F" w:rsidRPr="006210C6">
        <w:t xml:space="preserve"> </w:t>
      </w:r>
      <w:r w:rsidRPr="006210C6">
        <w:t>Projects</w:t>
      </w:r>
      <w:r w:rsidR="0013032F" w:rsidRPr="006210C6">
        <w:t xml:space="preserve"> </w:t>
      </w:r>
      <w:r w:rsidRPr="006210C6">
        <w:t>funded</w:t>
      </w:r>
      <w:r w:rsidR="0013032F" w:rsidRPr="006210C6">
        <w:t xml:space="preserve"> </w:t>
      </w:r>
      <w:r w:rsidRPr="006210C6">
        <w:t>under</w:t>
      </w:r>
      <w:r w:rsidR="0013032F" w:rsidRPr="006210C6">
        <w:t xml:space="preserve"> </w:t>
      </w:r>
      <w:r w:rsidRPr="006210C6">
        <w:t>Round</w:t>
      </w:r>
      <w:r w:rsidR="0013032F" w:rsidRPr="006210C6">
        <w:t xml:space="preserve"> </w:t>
      </w:r>
      <w:r w:rsidRPr="006210C6">
        <w:t>1</w:t>
      </w:r>
      <w:r w:rsidR="0013032F" w:rsidRPr="006210C6">
        <w:t xml:space="preserve"> </w:t>
      </w:r>
      <w:r w:rsidRPr="006210C6">
        <w:t>are</w:t>
      </w:r>
      <w:r w:rsidR="0013032F" w:rsidRPr="006210C6">
        <w:t xml:space="preserve"> </w:t>
      </w:r>
      <w:r w:rsidRPr="006210C6">
        <w:t>underway,</w:t>
      </w:r>
      <w:r w:rsidR="0013032F" w:rsidRPr="006210C6">
        <w:t xml:space="preserve"> </w:t>
      </w:r>
      <w:r w:rsidRPr="006210C6">
        <w:t>including</w:t>
      </w:r>
      <w:r w:rsidR="0013032F" w:rsidRPr="006210C6">
        <w:t xml:space="preserve"> </w:t>
      </w:r>
      <w:r w:rsidRPr="006210C6">
        <w:t>Princetown</w:t>
      </w:r>
      <w:r w:rsidR="0013032F" w:rsidRPr="006210C6">
        <w:t xml:space="preserve"> </w:t>
      </w:r>
      <w:r w:rsidRPr="006210C6">
        <w:t>Enabling</w:t>
      </w:r>
      <w:r w:rsidR="0013032F" w:rsidRPr="006210C6">
        <w:t xml:space="preserve"> </w:t>
      </w:r>
      <w:r w:rsidRPr="006210C6">
        <w:t>Public</w:t>
      </w:r>
      <w:r w:rsidR="0013032F" w:rsidRPr="006210C6">
        <w:t xml:space="preserve"> </w:t>
      </w:r>
      <w:r w:rsidRPr="006210C6">
        <w:t>Works;</w:t>
      </w:r>
      <w:r w:rsidR="0013032F" w:rsidRPr="006210C6">
        <w:t xml:space="preserve"> </w:t>
      </w:r>
      <w:r w:rsidRPr="006210C6">
        <w:t>Grea</w:t>
      </w:r>
      <w:r w:rsidRPr="006210C6">
        <w:t>t</w:t>
      </w:r>
      <w:r w:rsidR="0013032F" w:rsidRPr="006210C6">
        <w:t xml:space="preserve"> </w:t>
      </w:r>
      <w:r w:rsidRPr="006210C6">
        <w:t>Ocean</w:t>
      </w:r>
      <w:r w:rsidR="0013032F" w:rsidRPr="006210C6">
        <w:t xml:space="preserve"> </w:t>
      </w:r>
      <w:r w:rsidRPr="006210C6">
        <w:t>Road</w:t>
      </w:r>
      <w:r w:rsidR="0013032F" w:rsidRPr="006210C6">
        <w:t xml:space="preserve"> </w:t>
      </w:r>
      <w:r w:rsidRPr="006210C6">
        <w:t>Retreat;</w:t>
      </w:r>
      <w:r w:rsidR="0013032F" w:rsidRPr="006210C6">
        <w:t xml:space="preserve"> </w:t>
      </w:r>
      <w:r w:rsidRPr="006210C6">
        <w:t>and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12</w:t>
      </w:r>
      <w:r w:rsidR="0013032F" w:rsidRPr="006210C6">
        <w:t xml:space="preserve"> </w:t>
      </w:r>
      <w:r w:rsidRPr="006210C6">
        <w:t>Apostles</w:t>
      </w:r>
      <w:r w:rsidR="0013032F" w:rsidRPr="006210C6">
        <w:t xml:space="preserve"> </w:t>
      </w:r>
      <w:r w:rsidRPr="006210C6">
        <w:t>Hot</w:t>
      </w:r>
      <w:r w:rsidR="0013032F" w:rsidRPr="006210C6">
        <w:t xml:space="preserve"> </w:t>
      </w:r>
      <w:r w:rsidRPr="006210C6">
        <w:t>Springs</w:t>
      </w:r>
      <w:r w:rsidR="0013032F" w:rsidRPr="006210C6">
        <w:t xml:space="preserve"> </w:t>
      </w:r>
      <w:r w:rsidRPr="006210C6">
        <w:t>Resort.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first</w:t>
      </w:r>
      <w:r w:rsidR="0013032F" w:rsidRPr="006210C6">
        <w:t xml:space="preserve"> </w:t>
      </w:r>
      <w:r w:rsidRPr="006210C6">
        <w:t>Round</w:t>
      </w:r>
      <w:r w:rsidR="0013032F" w:rsidRPr="006210C6">
        <w:t xml:space="preserve"> </w:t>
      </w:r>
      <w:r w:rsidRPr="006210C6">
        <w:t>1</w:t>
      </w:r>
      <w:r w:rsidR="0013032F" w:rsidRPr="006210C6">
        <w:t xml:space="preserve"> </w:t>
      </w:r>
      <w:r w:rsidRPr="006210C6">
        <w:t>project</w:t>
      </w:r>
      <w:r w:rsidR="0013032F" w:rsidRPr="006210C6">
        <w:t xml:space="preserve"> </w:t>
      </w:r>
      <w:r w:rsidRPr="006210C6">
        <w:t>at</w:t>
      </w:r>
      <w:r w:rsidR="0013032F" w:rsidRPr="006210C6">
        <w:t xml:space="preserve"> </w:t>
      </w:r>
      <w:proofErr w:type="spellStart"/>
      <w:r w:rsidRPr="006210C6">
        <w:t>Kangaroobie</w:t>
      </w:r>
      <w:proofErr w:type="spellEnd"/>
      <w:r w:rsidR="0013032F" w:rsidRPr="006210C6">
        <w:t xml:space="preserve"> </w:t>
      </w:r>
      <w:r w:rsidRPr="006210C6">
        <w:t>Camp</w:t>
      </w:r>
      <w:r w:rsidR="0013032F" w:rsidRPr="006210C6">
        <w:t xml:space="preserve"> </w:t>
      </w:r>
      <w:r w:rsidRPr="006210C6">
        <w:t>was</w:t>
      </w:r>
      <w:r w:rsidR="0013032F" w:rsidRPr="006210C6">
        <w:t xml:space="preserve"> </w:t>
      </w:r>
      <w:r w:rsidRPr="006210C6">
        <w:t>completed</w:t>
      </w:r>
      <w:r w:rsidR="0013032F" w:rsidRPr="006210C6">
        <w:t xml:space="preserve"> </w:t>
      </w:r>
      <w:r w:rsidRPr="006210C6">
        <w:t>in</w:t>
      </w:r>
      <w:r w:rsidR="0013032F" w:rsidRPr="006210C6">
        <w:t xml:space="preserve"> </w:t>
      </w:r>
      <w:r w:rsidRPr="006210C6">
        <w:t>October</w:t>
      </w:r>
      <w:r w:rsidR="0013032F" w:rsidRPr="006210C6">
        <w:t xml:space="preserve"> </w:t>
      </w:r>
      <w:r w:rsidRPr="006210C6">
        <w:t>2022.</w:t>
      </w:r>
      <w:r w:rsidR="0013032F" w:rsidRPr="006210C6">
        <w:t xml:space="preserve"> </w:t>
      </w:r>
    </w:p>
    <w:p w14:paraId="360CB48D" w14:textId="3C6C60E9" w:rsidR="00757772" w:rsidRPr="006210C6" w:rsidRDefault="00305D3C" w:rsidP="006210C6">
      <w:pPr>
        <w:pStyle w:val="Normalbeforebullets"/>
        <w:rPr>
          <w:b/>
          <w:bCs/>
        </w:rPr>
      </w:pPr>
      <w:r w:rsidRPr="006210C6">
        <w:rPr>
          <w:b/>
          <w:bCs/>
        </w:rPr>
        <w:t>Progress</w:t>
      </w:r>
      <w:r w:rsidR="0013032F" w:rsidRPr="006210C6">
        <w:rPr>
          <w:b/>
          <w:bCs/>
        </w:rPr>
        <w:t xml:space="preserve"> </w:t>
      </w:r>
      <w:r w:rsidRPr="006210C6">
        <w:rPr>
          <w:b/>
          <w:bCs/>
        </w:rPr>
        <w:t>of</w:t>
      </w:r>
      <w:r w:rsidR="0013032F" w:rsidRPr="006210C6">
        <w:rPr>
          <w:b/>
          <w:bCs/>
        </w:rPr>
        <w:t xml:space="preserve"> </w:t>
      </w:r>
      <w:r w:rsidRPr="006210C6">
        <w:rPr>
          <w:b/>
          <w:bCs/>
        </w:rPr>
        <w:t>other</w:t>
      </w:r>
      <w:r w:rsidR="0013032F" w:rsidRPr="006210C6">
        <w:rPr>
          <w:b/>
          <w:bCs/>
        </w:rPr>
        <w:t xml:space="preserve"> </w:t>
      </w:r>
      <w:r w:rsidRPr="006210C6">
        <w:rPr>
          <w:b/>
          <w:bCs/>
        </w:rPr>
        <w:t>GCD</w:t>
      </w:r>
      <w:r w:rsidR="0013032F" w:rsidRPr="006210C6">
        <w:rPr>
          <w:b/>
          <w:bCs/>
        </w:rPr>
        <w:t xml:space="preserve"> </w:t>
      </w:r>
      <w:r w:rsidRPr="006210C6">
        <w:rPr>
          <w:b/>
          <w:bCs/>
        </w:rPr>
        <w:t>projects</w:t>
      </w:r>
      <w:r w:rsidR="0013032F" w:rsidRPr="006210C6">
        <w:rPr>
          <w:b/>
          <w:bCs/>
        </w:rPr>
        <w:t xml:space="preserve"> </w:t>
      </w:r>
      <w:r w:rsidRPr="006210C6">
        <w:rPr>
          <w:b/>
          <w:bCs/>
        </w:rPr>
        <w:t>underway</w:t>
      </w:r>
      <w:r w:rsidR="0013032F" w:rsidRPr="006210C6">
        <w:rPr>
          <w:b/>
          <w:bCs/>
        </w:rPr>
        <w:t xml:space="preserve"> </w:t>
      </w:r>
      <w:r w:rsidRPr="006210C6">
        <w:rPr>
          <w:b/>
          <w:bCs/>
        </w:rPr>
        <w:t>in</w:t>
      </w:r>
      <w:r w:rsidR="0013032F" w:rsidRPr="006210C6">
        <w:rPr>
          <w:b/>
          <w:bCs/>
        </w:rPr>
        <w:t xml:space="preserve"> </w:t>
      </w:r>
      <w:r w:rsidRPr="006210C6">
        <w:rPr>
          <w:b/>
          <w:bCs/>
        </w:rPr>
        <w:t>2022–23</w:t>
      </w:r>
    </w:p>
    <w:p w14:paraId="20774DFB" w14:textId="4FF2FF72" w:rsidR="00757772" w:rsidRDefault="00305D3C" w:rsidP="006210C6">
      <w:r>
        <w:t>Significant</w:t>
      </w:r>
      <w:r w:rsidR="0013032F">
        <w:t xml:space="preserve"> </w:t>
      </w:r>
      <w:r>
        <w:t>progress</w:t>
      </w:r>
      <w:r w:rsidR="0013032F">
        <w:t xml:space="preserve"> </w:t>
      </w:r>
      <w:r>
        <w:t>was</w:t>
      </w:r>
      <w:r w:rsidR="0013032F">
        <w:t xml:space="preserve"> </w:t>
      </w:r>
      <w:r>
        <w:t>made</w:t>
      </w:r>
      <w:r w:rsidR="0013032F">
        <w:t xml:space="preserve"> </w:t>
      </w:r>
      <w:r>
        <w:t>across</w:t>
      </w:r>
      <w:r w:rsidR="0013032F">
        <w:t xml:space="preserve"> </w:t>
      </w:r>
      <w:r>
        <w:t>the</w:t>
      </w:r>
      <w:r w:rsidR="0013032F">
        <w:t xml:space="preserve"> </w:t>
      </w:r>
      <w:r>
        <w:t>remaining</w:t>
      </w:r>
      <w:r w:rsidR="0013032F">
        <w:t xml:space="preserve"> </w:t>
      </w:r>
      <w:r>
        <w:t>GCD</w:t>
      </w:r>
      <w:r w:rsidR="0013032F">
        <w:t xml:space="preserve"> </w:t>
      </w:r>
      <w:r>
        <w:t>projects,</w:t>
      </w:r>
      <w:r w:rsidR="0013032F">
        <w:t xml:space="preserve"> </w:t>
      </w:r>
      <w:r>
        <w:t>including</w:t>
      </w:r>
      <w:r w:rsidR="0013032F">
        <w:t xml:space="preserve"> </w:t>
      </w:r>
      <w:r>
        <w:t>completion</w:t>
      </w:r>
      <w:r w:rsidR="0013032F">
        <w:t xml:space="preserve"> </w:t>
      </w:r>
      <w:r>
        <w:t>of</w:t>
      </w:r>
      <w:r w:rsidR="0013032F">
        <w:t xml:space="preserve"> </w:t>
      </w:r>
      <w:r>
        <w:t>the</w:t>
      </w:r>
      <w:r w:rsidR="0013032F">
        <w:t xml:space="preserve"> </w:t>
      </w:r>
      <w:r>
        <w:t>Laneways</w:t>
      </w:r>
      <w:r w:rsidR="0013032F">
        <w:t xml:space="preserve"> </w:t>
      </w:r>
      <w:r>
        <w:t>Breakthrough</w:t>
      </w:r>
      <w:r w:rsidR="0013032F">
        <w:t xml:space="preserve"> </w:t>
      </w:r>
      <w:r>
        <w:t>project</w:t>
      </w:r>
      <w:r w:rsidR="0013032F">
        <w:t xml:space="preserve"> </w:t>
      </w:r>
      <w:r>
        <w:t>and</w:t>
      </w:r>
      <w:r w:rsidR="0013032F">
        <w:t xml:space="preserve"> </w:t>
      </w:r>
      <w:r>
        <w:t>the</w:t>
      </w:r>
      <w:r w:rsidR="0013032F">
        <w:t xml:space="preserve"> </w:t>
      </w:r>
      <w:r>
        <w:t>Queenscliff</w:t>
      </w:r>
      <w:r w:rsidR="0013032F">
        <w:t xml:space="preserve"> </w:t>
      </w:r>
      <w:r>
        <w:t>Ferry</w:t>
      </w:r>
      <w:r w:rsidR="0013032F">
        <w:t xml:space="preserve"> </w:t>
      </w:r>
      <w:r>
        <w:t>Terminal</w:t>
      </w:r>
      <w:r w:rsidR="0013032F">
        <w:t xml:space="preserve"> </w:t>
      </w:r>
      <w:r>
        <w:t>Upgrade.</w:t>
      </w:r>
      <w:r w:rsidR="0013032F">
        <w:t xml:space="preserve"> </w:t>
      </w:r>
    </w:p>
    <w:p w14:paraId="1BF757F9" w14:textId="6E513257" w:rsidR="00757772" w:rsidRDefault="00305D3C" w:rsidP="006210C6">
      <w:pPr>
        <w:pStyle w:val="Bullet"/>
      </w:pPr>
      <w:r w:rsidRPr="006210C6">
        <w:rPr>
          <w:b/>
          <w:bCs/>
        </w:rPr>
        <w:t>Laneways</w:t>
      </w:r>
      <w:r w:rsidR="0013032F" w:rsidRPr="006210C6">
        <w:rPr>
          <w:b/>
          <w:bCs/>
        </w:rPr>
        <w:t xml:space="preserve"> </w:t>
      </w:r>
      <w:r w:rsidRPr="006210C6">
        <w:rPr>
          <w:b/>
          <w:bCs/>
        </w:rPr>
        <w:t>Breakthrough</w:t>
      </w:r>
      <w:r w:rsidR="0013032F" w:rsidRPr="006210C6">
        <w:rPr>
          <w:b/>
          <w:bCs/>
        </w:rPr>
        <w:t xml:space="preserve"> </w:t>
      </w:r>
      <w:r w:rsidRPr="006210C6">
        <w:rPr>
          <w:b/>
          <w:bCs/>
        </w:rPr>
        <w:t>project</w:t>
      </w:r>
      <w:r w:rsidR="0013032F">
        <w:rPr>
          <w:rStyle w:val="SEMIBOLD"/>
          <w:rFonts w:ascii="VIC SemiBold" w:hAnsi="VIC SemiBold" w:cs="VIC SemiBold"/>
          <w:b w:val="0"/>
          <w:bCs w:val="0"/>
        </w:rPr>
        <w:t xml:space="preserve"> </w:t>
      </w:r>
      <w:r>
        <w:t>–</w:t>
      </w:r>
      <w:r w:rsidR="0013032F">
        <w:t xml:space="preserve"> </w:t>
      </w:r>
      <w:r>
        <w:t>completed</w:t>
      </w:r>
      <w:r w:rsidR="0013032F">
        <w:t xml:space="preserve"> </w:t>
      </w:r>
      <w:r>
        <w:t>in</w:t>
      </w:r>
      <w:r w:rsidR="0013032F">
        <w:t xml:space="preserve"> </w:t>
      </w:r>
      <w:r>
        <w:t>March</w:t>
      </w:r>
      <w:r w:rsidR="0013032F">
        <w:t xml:space="preserve"> </w:t>
      </w:r>
      <w:r>
        <w:t>2023,</w:t>
      </w:r>
      <w:r w:rsidR="0013032F">
        <w:t xml:space="preserve"> </w:t>
      </w:r>
      <w:r>
        <w:t>it</w:t>
      </w:r>
      <w:r w:rsidR="0013032F">
        <w:t xml:space="preserve"> </w:t>
      </w:r>
      <w:r>
        <w:t>provides</w:t>
      </w:r>
      <w:r w:rsidR="0013032F">
        <w:t xml:space="preserve"> </w:t>
      </w:r>
      <w:r>
        <w:t>a</w:t>
      </w:r>
      <w:r w:rsidR="0013032F">
        <w:t xml:space="preserve"> </w:t>
      </w:r>
      <w:r>
        <w:t>direct</w:t>
      </w:r>
      <w:r w:rsidR="0013032F">
        <w:t xml:space="preserve"> </w:t>
      </w:r>
      <w:r>
        <w:t>link</w:t>
      </w:r>
      <w:r w:rsidR="0013032F">
        <w:t xml:space="preserve"> </w:t>
      </w:r>
      <w:r>
        <w:t>from</w:t>
      </w:r>
      <w:r w:rsidR="0013032F">
        <w:t xml:space="preserve"> </w:t>
      </w:r>
      <w:r>
        <w:t>Malop</w:t>
      </w:r>
      <w:r w:rsidR="0013032F">
        <w:t xml:space="preserve"> </w:t>
      </w:r>
      <w:r>
        <w:t>Street</w:t>
      </w:r>
      <w:r w:rsidR="0013032F">
        <w:t xml:space="preserve"> </w:t>
      </w:r>
      <w:r>
        <w:t>to</w:t>
      </w:r>
      <w:r w:rsidR="0013032F">
        <w:t xml:space="preserve"> </w:t>
      </w:r>
      <w:r>
        <w:t>Geelong’s</w:t>
      </w:r>
      <w:r w:rsidR="0013032F">
        <w:t xml:space="preserve"> </w:t>
      </w:r>
      <w:r>
        <w:t>exciting</w:t>
      </w:r>
      <w:r w:rsidR="0013032F">
        <w:t xml:space="preserve"> </w:t>
      </w:r>
      <w:r>
        <w:t>Little</w:t>
      </w:r>
      <w:r w:rsidR="0013032F">
        <w:t xml:space="preserve"> </w:t>
      </w:r>
      <w:r>
        <w:t>Malop</w:t>
      </w:r>
      <w:r w:rsidR="0013032F">
        <w:t xml:space="preserve"> </w:t>
      </w:r>
      <w:r>
        <w:t>Street</w:t>
      </w:r>
      <w:r w:rsidR="0013032F">
        <w:t xml:space="preserve"> </w:t>
      </w:r>
      <w:r>
        <w:t>restaurant,</w:t>
      </w:r>
      <w:r w:rsidR="0013032F">
        <w:t xml:space="preserve"> </w:t>
      </w:r>
      <w:r>
        <w:t>bar</w:t>
      </w:r>
      <w:r w:rsidR="0013032F">
        <w:t xml:space="preserve"> </w:t>
      </w:r>
      <w:r>
        <w:t>and</w:t>
      </w:r>
      <w:r w:rsidR="0013032F">
        <w:t xml:space="preserve"> </w:t>
      </w:r>
      <w:r>
        <w:t>retail</w:t>
      </w:r>
      <w:r w:rsidR="0013032F">
        <w:t xml:space="preserve"> </w:t>
      </w:r>
      <w:r>
        <w:t>precinct</w:t>
      </w:r>
      <w:r w:rsidR="0013032F">
        <w:t xml:space="preserve"> </w:t>
      </w:r>
    </w:p>
    <w:p w14:paraId="7AF6B15D" w14:textId="03BC3DC9" w:rsidR="00757772" w:rsidRDefault="00305D3C" w:rsidP="006210C6">
      <w:pPr>
        <w:pStyle w:val="Bulletlast"/>
      </w:pPr>
      <w:r w:rsidRPr="006210C6">
        <w:rPr>
          <w:b/>
          <w:bCs/>
        </w:rPr>
        <w:t>Queenscliff</w:t>
      </w:r>
      <w:r w:rsidR="0013032F" w:rsidRPr="006210C6">
        <w:rPr>
          <w:b/>
          <w:bCs/>
        </w:rPr>
        <w:t xml:space="preserve"> </w:t>
      </w:r>
      <w:r w:rsidRPr="006210C6">
        <w:rPr>
          <w:b/>
          <w:bCs/>
        </w:rPr>
        <w:t>Ferry</w:t>
      </w:r>
      <w:r w:rsidR="0013032F" w:rsidRPr="006210C6">
        <w:rPr>
          <w:b/>
          <w:bCs/>
        </w:rPr>
        <w:t xml:space="preserve"> </w:t>
      </w:r>
      <w:r w:rsidRPr="006210C6">
        <w:rPr>
          <w:b/>
          <w:bCs/>
        </w:rPr>
        <w:t>Terminal</w:t>
      </w:r>
      <w:r w:rsidR="0013032F" w:rsidRPr="006210C6">
        <w:rPr>
          <w:b/>
          <w:bCs/>
        </w:rPr>
        <w:t xml:space="preserve"> </w:t>
      </w:r>
      <w:r w:rsidRPr="006210C6">
        <w:rPr>
          <w:b/>
          <w:bCs/>
        </w:rPr>
        <w:t>Upgrade</w:t>
      </w:r>
      <w:r w:rsidR="0013032F">
        <w:t xml:space="preserve"> </w:t>
      </w:r>
      <w:r>
        <w:t>–</w:t>
      </w:r>
      <w:r w:rsidR="0013032F">
        <w:t xml:space="preserve"> </w:t>
      </w:r>
      <w:r>
        <w:t>construction</w:t>
      </w:r>
      <w:r w:rsidR="0013032F">
        <w:t xml:space="preserve"> </w:t>
      </w:r>
      <w:r>
        <w:t>was</w:t>
      </w:r>
      <w:r w:rsidR="0013032F">
        <w:t xml:space="preserve"> </w:t>
      </w:r>
      <w:r>
        <w:t>completed</w:t>
      </w:r>
      <w:r w:rsidR="0013032F">
        <w:t xml:space="preserve"> </w:t>
      </w:r>
      <w:r>
        <w:t>in</w:t>
      </w:r>
      <w:r w:rsidR="0013032F">
        <w:t xml:space="preserve"> </w:t>
      </w:r>
      <w:r>
        <w:t>late</w:t>
      </w:r>
      <w:r w:rsidR="0013032F">
        <w:t xml:space="preserve"> </w:t>
      </w:r>
      <w:r>
        <w:t>2022</w:t>
      </w:r>
      <w:r w:rsidR="0013032F">
        <w:t xml:space="preserve"> </w:t>
      </w:r>
      <w:r>
        <w:t>and</w:t>
      </w:r>
      <w:r w:rsidR="0013032F">
        <w:t xml:space="preserve"> </w:t>
      </w:r>
      <w:r>
        <w:t>the</w:t>
      </w:r>
      <w:r w:rsidR="0013032F">
        <w:t xml:space="preserve"> </w:t>
      </w:r>
      <w:r>
        <w:t>terminal</w:t>
      </w:r>
      <w:r w:rsidR="0013032F">
        <w:t xml:space="preserve"> </w:t>
      </w:r>
      <w:r>
        <w:t>officially</w:t>
      </w:r>
      <w:r w:rsidR="0013032F">
        <w:t xml:space="preserve"> </w:t>
      </w:r>
      <w:r>
        <w:t>opened</w:t>
      </w:r>
      <w:r w:rsidR="0013032F">
        <w:t xml:space="preserve"> </w:t>
      </w:r>
      <w:r>
        <w:t>in</w:t>
      </w:r>
      <w:r w:rsidR="0013032F">
        <w:t xml:space="preserve"> </w:t>
      </w:r>
      <w:r>
        <w:t>April</w:t>
      </w:r>
      <w:r w:rsidR="0013032F">
        <w:t xml:space="preserve"> </w:t>
      </w:r>
      <w:r>
        <w:t>2023,</w:t>
      </w:r>
      <w:r w:rsidR="0013032F">
        <w:t xml:space="preserve"> </w:t>
      </w:r>
      <w:r>
        <w:t>offering</w:t>
      </w:r>
      <w:r w:rsidR="0013032F">
        <w:t xml:space="preserve"> </w:t>
      </w:r>
      <w:r>
        <w:t>passengers</w:t>
      </w:r>
      <w:r w:rsidR="0013032F">
        <w:t xml:space="preserve"> </w:t>
      </w:r>
      <w:r>
        <w:t>a</w:t>
      </w:r>
      <w:r w:rsidR="0013032F">
        <w:t xml:space="preserve"> </w:t>
      </w:r>
      <w:r>
        <w:t>world</w:t>
      </w:r>
      <w:r>
        <w:noBreakHyphen/>
        <w:t>class</w:t>
      </w:r>
      <w:r w:rsidR="0013032F">
        <w:t xml:space="preserve"> </w:t>
      </w:r>
      <w:r>
        <w:t>gateway</w:t>
      </w:r>
      <w:r w:rsidR="0013032F">
        <w:t xml:space="preserve"> </w:t>
      </w:r>
      <w:r>
        <w:t>to</w:t>
      </w:r>
      <w:r w:rsidR="0013032F">
        <w:t xml:space="preserve"> </w:t>
      </w:r>
      <w:r>
        <w:t>Geelong,</w:t>
      </w:r>
      <w:r w:rsidR="0013032F">
        <w:t xml:space="preserve"> </w:t>
      </w:r>
      <w:r>
        <w:t>the</w:t>
      </w:r>
      <w:r w:rsidR="0013032F">
        <w:t xml:space="preserve"> </w:t>
      </w:r>
      <w:r>
        <w:t>Bellarine</w:t>
      </w:r>
      <w:r w:rsidR="0013032F">
        <w:t xml:space="preserve"> </w:t>
      </w:r>
      <w:r>
        <w:t>and</w:t>
      </w:r>
      <w:r w:rsidR="0013032F">
        <w:t xml:space="preserve"> </w:t>
      </w:r>
      <w:r>
        <w:t>the</w:t>
      </w:r>
      <w:r w:rsidR="0013032F">
        <w:t xml:space="preserve"> </w:t>
      </w:r>
      <w:r>
        <w:t>Great</w:t>
      </w:r>
      <w:r w:rsidR="0013032F">
        <w:t xml:space="preserve"> </w:t>
      </w:r>
      <w:r>
        <w:t>Ocean</w:t>
      </w:r>
      <w:r w:rsidR="0013032F">
        <w:t xml:space="preserve"> </w:t>
      </w:r>
      <w:r>
        <w:t>Road.</w:t>
      </w:r>
      <w:r w:rsidR="0013032F">
        <w:t xml:space="preserve"> </w:t>
      </w:r>
    </w:p>
    <w:p w14:paraId="2BC88AA2" w14:textId="016BE77B" w:rsidR="00757772" w:rsidRDefault="00305D3C" w:rsidP="006210C6">
      <w:pPr>
        <w:pStyle w:val="Normalbeforebullets"/>
      </w:pPr>
      <w:r>
        <w:t>Other</w:t>
      </w:r>
      <w:r w:rsidR="0013032F">
        <w:t xml:space="preserve"> </w:t>
      </w:r>
      <w:r>
        <w:t>key</w:t>
      </w:r>
      <w:r w:rsidR="0013032F">
        <w:t xml:space="preserve"> </w:t>
      </w:r>
      <w:r>
        <w:t>project</w:t>
      </w:r>
      <w:r w:rsidR="0013032F">
        <w:t xml:space="preserve"> </w:t>
      </w:r>
      <w:r>
        <w:t>progress</w:t>
      </w:r>
      <w:r w:rsidR="0013032F">
        <w:t xml:space="preserve"> </w:t>
      </w:r>
      <w:r>
        <w:t>in</w:t>
      </w:r>
      <w:r w:rsidR="0013032F">
        <w:t xml:space="preserve"> </w:t>
      </w:r>
      <w:r>
        <w:t>2022–23</w:t>
      </w:r>
      <w:r w:rsidR="0013032F">
        <w:t xml:space="preserve"> </w:t>
      </w:r>
      <w:r>
        <w:t>included:</w:t>
      </w:r>
    </w:p>
    <w:p w14:paraId="477B2026" w14:textId="011385C7" w:rsidR="00757772" w:rsidRDefault="00305D3C" w:rsidP="006210C6">
      <w:pPr>
        <w:pStyle w:val="Bullet"/>
      </w:pPr>
      <w:r w:rsidRPr="006210C6">
        <w:rPr>
          <w:b/>
          <w:bCs/>
        </w:rPr>
        <w:t>Deakin</w:t>
      </w:r>
      <w:r w:rsidR="0013032F" w:rsidRPr="006210C6">
        <w:rPr>
          <w:b/>
          <w:bCs/>
        </w:rPr>
        <w:t xml:space="preserve"> </w:t>
      </w:r>
      <w:r w:rsidRPr="006210C6">
        <w:rPr>
          <w:b/>
          <w:bCs/>
        </w:rPr>
        <w:t>University</w:t>
      </w:r>
      <w:r w:rsidR="0013032F" w:rsidRPr="006210C6">
        <w:rPr>
          <w:b/>
          <w:bCs/>
        </w:rPr>
        <w:t xml:space="preserve"> </w:t>
      </w:r>
      <w:r w:rsidRPr="006210C6">
        <w:rPr>
          <w:b/>
          <w:bCs/>
        </w:rPr>
        <w:t>Geelong</w:t>
      </w:r>
      <w:r w:rsidR="0013032F" w:rsidRPr="006210C6">
        <w:rPr>
          <w:b/>
          <w:bCs/>
        </w:rPr>
        <w:t xml:space="preserve"> </w:t>
      </w:r>
      <w:r w:rsidRPr="006210C6">
        <w:rPr>
          <w:b/>
          <w:bCs/>
        </w:rPr>
        <w:t>Future</w:t>
      </w:r>
      <w:r w:rsidR="0013032F" w:rsidRPr="006210C6">
        <w:rPr>
          <w:b/>
          <w:bCs/>
        </w:rPr>
        <w:t xml:space="preserve"> </w:t>
      </w:r>
      <w:r w:rsidRPr="006210C6">
        <w:rPr>
          <w:b/>
          <w:bCs/>
        </w:rPr>
        <w:t>Economy</w:t>
      </w:r>
      <w:r w:rsidR="0013032F" w:rsidRPr="006210C6">
        <w:rPr>
          <w:b/>
          <w:bCs/>
        </w:rPr>
        <w:t xml:space="preserve"> </w:t>
      </w:r>
      <w:r w:rsidRPr="006210C6">
        <w:rPr>
          <w:b/>
          <w:bCs/>
        </w:rPr>
        <w:t>Precinct</w:t>
      </w:r>
      <w:r w:rsidR="0013032F" w:rsidRPr="006210C6">
        <w:rPr>
          <w:b/>
          <w:bCs/>
        </w:rPr>
        <w:t xml:space="preserve"> </w:t>
      </w:r>
      <w:r w:rsidRPr="006210C6">
        <w:rPr>
          <w:b/>
          <w:bCs/>
        </w:rPr>
        <w:t>Road</w:t>
      </w:r>
      <w:r w:rsidR="0013032F" w:rsidRPr="006210C6">
        <w:rPr>
          <w:b/>
          <w:bCs/>
        </w:rPr>
        <w:t xml:space="preserve"> </w:t>
      </w:r>
      <w:r w:rsidRPr="006210C6">
        <w:rPr>
          <w:b/>
          <w:bCs/>
        </w:rPr>
        <w:t>Upgrade</w:t>
      </w:r>
      <w:r w:rsidR="0013032F" w:rsidRPr="006210C6">
        <w:rPr>
          <w:b/>
          <w:bCs/>
        </w:rPr>
        <w:t xml:space="preserve"> </w:t>
      </w:r>
      <w:r w:rsidRPr="006210C6">
        <w:rPr>
          <w:b/>
          <w:bCs/>
        </w:rPr>
        <w:t>project</w:t>
      </w:r>
      <w:r w:rsidR="0013032F" w:rsidRPr="006210C6">
        <w:rPr>
          <w:b/>
          <w:bCs/>
        </w:rPr>
        <w:t xml:space="preserve"> </w:t>
      </w:r>
      <w:r>
        <w:t>–</w:t>
      </w:r>
      <w:r w:rsidR="0013032F">
        <w:t xml:space="preserve"> </w:t>
      </w:r>
      <w:r>
        <w:t>Epworth</w:t>
      </w:r>
      <w:r w:rsidR="0013032F">
        <w:t xml:space="preserve"> </w:t>
      </w:r>
      <w:r>
        <w:t>Place</w:t>
      </w:r>
      <w:r w:rsidR="0013032F">
        <w:t xml:space="preserve"> </w:t>
      </w:r>
      <w:r>
        <w:t>extension</w:t>
      </w:r>
      <w:r w:rsidR="0013032F">
        <w:t xml:space="preserve"> </w:t>
      </w:r>
      <w:r>
        <w:t>reached</w:t>
      </w:r>
      <w:r w:rsidR="0013032F">
        <w:t xml:space="preserve"> </w:t>
      </w:r>
      <w:r>
        <w:t>practical</w:t>
      </w:r>
      <w:r w:rsidR="0013032F">
        <w:t xml:space="preserve"> </w:t>
      </w:r>
      <w:r>
        <w:t>completion</w:t>
      </w:r>
      <w:r w:rsidR="0013032F">
        <w:t xml:space="preserve"> </w:t>
      </w:r>
      <w:r>
        <w:t>and</w:t>
      </w:r>
      <w:r w:rsidR="0013032F">
        <w:t xml:space="preserve"> </w:t>
      </w:r>
      <w:r>
        <w:t>will</w:t>
      </w:r>
      <w:r w:rsidR="0013032F">
        <w:t xml:space="preserve"> </w:t>
      </w:r>
      <w:r>
        <w:t>be</w:t>
      </w:r>
      <w:r w:rsidR="0013032F">
        <w:t xml:space="preserve"> </w:t>
      </w:r>
      <w:r>
        <w:t>opened</w:t>
      </w:r>
      <w:r w:rsidR="0013032F">
        <w:t xml:space="preserve"> </w:t>
      </w:r>
      <w:r>
        <w:t>to</w:t>
      </w:r>
      <w:r w:rsidR="0013032F">
        <w:t xml:space="preserve"> </w:t>
      </w:r>
      <w:r>
        <w:t>the</w:t>
      </w:r>
      <w:r w:rsidR="0013032F">
        <w:t xml:space="preserve"> </w:t>
      </w:r>
      <w:r>
        <w:t>public</w:t>
      </w:r>
      <w:r w:rsidR="0013032F">
        <w:t xml:space="preserve"> </w:t>
      </w:r>
      <w:r>
        <w:t>following</w:t>
      </w:r>
      <w:r w:rsidR="0013032F">
        <w:t xml:space="preserve"> </w:t>
      </w:r>
      <w:r>
        <w:t>finalisation</w:t>
      </w:r>
      <w:r w:rsidR="0013032F">
        <w:t xml:space="preserve"> </w:t>
      </w:r>
      <w:r>
        <w:t>of</w:t>
      </w:r>
      <w:r w:rsidR="0013032F">
        <w:t xml:space="preserve"> </w:t>
      </w:r>
      <w:r>
        <w:t>all</w:t>
      </w:r>
      <w:r w:rsidR="0013032F">
        <w:t xml:space="preserve"> </w:t>
      </w:r>
      <w:r>
        <w:t>local</w:t>
      </w:r>
      <w:r w:rsidR="0013032F">
        <w:t xml:space="preserve"> </w:t>
      </w:r>
      <w:r>
        <w:t>government</w:t>
      </w:r>
      <w:r w:rsidR="0013032F">
        <w:t xml:space="preserve"> </w:t>
      </w:r>
      <w:r>
        <w:t>requirements</w:t>
      </w:r>
      <w:r w:rsidR="0013032F">
        <w:t xml:space="preserve"> </w:t>
      </w:r>
    </w:p>
    <w:p w14:paraId="598D2D97" w14:textId="64FFC8FB" w:rsidR="00757772" w:rsidRDefault="00305D3C" w:rsidP="006210C6">
      <w:pPr>
        <w:pStyle w:val="Bullet"/>
      </w:pPr>
      <w:r w:rsidRPr="006210C6">
        <w:rPr>
          <w:b/>
          <w:bCs/>
        </w:rPr>
        <w:t>Geelong</w:t>
      </w:r>
      <w:r w:rsidR="0013032F" w:rsidRPr="006210C6">
        <w:rPr>
          <w:b/>
          <w:bCs/>
        </w:rPr>
        <w:t xml:space="preserve"> </w:t>
      </w:r>
      <w:r w:rsidRPr="006210C6">
        <w:rPr>
          <w:b/>
          <w:bCs/>
        </w:rPr>
        <w:t>Arts</w:t>
      </w:r>
      <w:r w:rsidR="0013032F" w:rsidRPr="006210C6">
        <w:rPr>
          <w:b/>
          <w:bCs/>
        </w:rPr>
        <w:t xml:space="preserve"> </w:t>
      </w:r>
      <w:r w:rsidRPr="006210C6">
        <w:rPr>
          <w:b/>
          <w:bCs/>
        </w:rPr>
        <w:t>and</w:t>
      </w:r>
      <w:r w:rsidR="0013032F" w:rsidRPr="006210C6">
        <w:rPr>
          <w:b/>
          <w:bCs/>
        </w:rPr>
        <w:t xml:space="preserve"> </w:t>
      </w:r>
      <w:r w:rsidRPr="006210C6">
        <w:rPr>
          <w:b/>
          <w:bCs/>
        </w:rPr>
        <w:t>Culture</w:t>
      </w:r>
      <w:r w:rsidR="0013032F" w:rsidRPr="006210C6">
        <w:rPr>
          <w:b/>
          <w:bCs/>
        </w:rPr>
        <w:t xml:space="preserve"> </w:t>
      </w:r>
      <w:r w:rsidRPr="006210C6">
        <w:rPr>
          <w:b/>
          <w:bCs/>
        </w:rPr>
        <w:t>Precinct</w:t>
      </w:r>
      <w:r w:rsidR="0013032F" w:rsidRPr="006210C6">
        <w:rPr>
          <w:b/>
          <w:bCs/>
        </w:rPr>
        <w:t xml:space="preserve"> </w:t>
      </w:r>
      <w:r w:rsidRPr="006210C6">
        <w:rPr>
          <w:b/>
          <w:bCs/>
        </w:rPr>
        <w:t>Public</w:t>
      </w:r>
      <w:r w:rsidR="0013032F" w:rsidRPr="006210C6">
        <w:rPr>
          <w:b/>
          <w:bCs/>
        </w:rPr>
        <w:t xml:space="preserve"> </w:t>
      </w:r>
      <w:r w:rsidRPr="006210C6">
        <w:rPr>
          <w:b/>
          <w:bCs/>
        </w:rPr>
        <w:t>Realm</w:t>
      </w:r>
      <w:r w:rsidR="0013032F">
        <w:t xml:space="preserve"> </w:t>
      </w:r>
      <w:r>
        <w:t>–</w:t>
      </w:r>
      <w:r w:rsidR="0013032F">
        <w:t xml:space="preserve"> </w:t>
      </w:r>
      <w:r>
        <w:t>construction</w:t>
      </w:r>
      <w:r w:rsidR="0013032F">
        <w:t xml:space="preserve"> </w:t>
      </w:r>
      <w:r>
        <w:t>took</w:t>
      </w:r>
      <w:r w:rsidR="0013032F">
        <w:t xml:space="preserve"> </w:t>
      </w:r>
      <w:r>
        <w:t>place</w:t>
      </w:r>
      <w:r w:rsidR="0013032F">
        <w:t xml:space="preserve"> </w:t>
      </w:r>
      <w:r>
        <w:t>in</w:t>
      </w:r>
      <w:r w:rsidR="0013032F">
        <w:t xml:space="preserve"> </w:t>
      </w:r>
      <w:r>
        <w:t>2022–23</w:t>
      </w:r>
      <w:r w:rsidR="0013032F">
        <w:t xml:space="preserve"> </w:t>
      </w:r>
      <w:r>
        <w:t>and</w:t>
      </w:r>
      <w:r w:rsidR="0013032F">
        <w:t xml:space="preserve"> </w:t>
      </w:r>
      <w:r>
        <w:t>is</w:t>
      </w:r>
      <w:r w:rsidR="0013032F">
        <w:t xml:space="preserve"> </w:t>
      </w:r>
      <w:r>
        <w:t>pending</w:t>
      </w:r>
      <w:r w:rsidR="0013032F">
        <w:t xml:space="preserve"> </w:t>
      </w:r>
      <w:r>
        <w:t>final</w:t>
      </w:r>
      <w:r w:rsidR="0013032F">
        <w:t xml:space="preserve"> </w:t>
      </w:r>
      <w:r>
        <w:t>completion</w:t>
      </w:r>
    </w:p>
    <w:p w14:paraId="181AE741" w14:textId="5C2FBBA8" w:rsidR="00757772" w:rsidRDefault="00305D3C" w:rsidP="006210C6">
      <w:pPr>
        <w:pStyle w:val="Bullet"/>
      </w:pPr>
      <w:r w:rsidRPr="006210C6">
        <w:rPr>
          <w:b/>
          <w:bCs/>
        </w:rPr>
        <w:t>Green</w:t>
      </w:r>
      <w:r w:rsidR="0013032F" w:rsidRPr="006210C6">
        <w:rPr>
          <w:b/>
          <w:bCs/>
        </w:rPr>
        <w:t xml:space="preserve"> </w:t>
      </w:r>
      <w:r w:rsidRPr="006210C6">
        <w:rPr>
          <w:b/>
          <w:bCs/>
        </w:rPr>
        <w:t>Spine</w:t>
      </w:r>
      <w:r w:rsidR="0013032F">
        <w:t xml:space="preserve"> </w:t>
      </w:r>
      <w:r>
        <w:t>–</w:t>
      </w:r>
      <w:r w:rsidR="0013032F">
        <w:t xml:space="preserve"> </w:t>
      </w:r>
      <w:r>
        <w:t>Block</w:t>
      </w:r>
      <w:r w:rsidR="0013032F">
        <w:t xml:space="preserve"> </w:t>
      </w:r>
      <w:r>
        <w:t>3</w:t>
      </w:r>
      <w:r w:rsidR="0013032F">
        <w:t xml:space="preserve"> </w:t>
      </w:r>
      <w:r>
        <w:t>started</w:t>
      </w:r>
      <w:r w:rsidR="0013032F">
        <w:t xml:space="preserve"> </w:t>
      </w:r>
      <w:r>
        <w:t>preliminary</w:t>
      </w:r>
      <w:r w:rsidR="0013032F">
        <w:t xml:space="preserve"> </w:t>
      </w:r>
      <w:r>
        <w:t>works</w:t>
      </w:r>
      <w:r w:rsidR="0013032F">
        <w:t xml:space="preserve"> </w:t>
      </w:r>
      <w:r>
        <w:t>in</w:t>
      </w:r>
      <w:r w:rsidR="0013032F">
        <w:t xml:space="preserve"> </w:t>
      </w:r>
      <w:r>
        <w:t>June</w:t>
      </w:r>
      <w:r w:rsidR="0013032F">
        <w:t xml:space="preserve"> </w:t>
      </w:r>
      <w:r>
        <w:t>2022.</w:t>
      </w:r>
      <w:r w:rsidR="0013032F">
        <w:t xml:space="preserve"> </w:t>
      </w:r>
      <w:r>
        <w:t>Construction</w:t>
      </w:r>
      <w:r w:rsidR="0013032F">
        <w:t xml:space="preserve"> </w:t>
      </w:r>
      <w:r>
        <w:t>is</w:t>
      </w:r>
      <w:r w:rsidR="0013032F">
        <w:t xml:space="preserve"> </w:t>
      </w:r>
      <w:r>
        <w:t>expected</w:t>
      </w:r>
      <w:r w:rsidR="0013032F">
        <w:t xml:space="preserve"> </w:t>
      </w:r>
      <w:r>
        <w:t>to</w:t>
      </w:r>
      <w:r w:rsidR="0013032F">
        <w:t xml:space="preserve"> </w:t>
      </w:r>
      <w:r>
        <w:t>be</w:t>
      </w:r>
      <w:r w:rsidR="0013032F">
        <w:t xml:space="preserve"> </w:t>
      </w:r>
      <w:r>
        <w:t>completed</w:t>
      </w:r>
      <w:r w:rsidR="0013032F">
        <w:t xml:space="preserve"> </w:t>
      </w:r>
      <w:r>
        <w:t>in</w:t>
      </w:r>
      <w:r w:rsidR="0013032F">
        <w:t xml:space="preserve"> </w:t>
      </w:r>
      <w:r>
        <w:t>2023–24</w:t>
      </w:r>
    </w:p>
    <w:p w14:paraId="5B266395" w14:textId="57A28E21" w:rsidR="00757772" w:rsidRDefault="00305D3C" w:rsidP="006210C6">
      <w:pPr>
        <w:pStyle w:val="Bullet"/>
      </w:pPr>
      <w:r w:rsidRPr="006210C6">
        <w:rPr>
          <w:b/>
          <w:bCs/>
        </w:rPr>
        <w:lastRenderedPageBreak/>
        <w:t>Moolap</w:t>
      </w:r>
      <w:r w:rsidR="0013032F" w:rsidRPr="006210C6">
        <w:rPr>
          <w:b/>
          <w:bCs/>
        </w:rPr>
        <w:t xml:space="preserve"> </w:t>
      </w:r>
      <w:r w:rsidRPr="006210C6">
        <w:rPr>
          <w:b/>
          <w:bCs/>
        </w:rPr>
        <w:t>Management</w:t>
      </w:r>
      <w:r w:rsidR="0013032F" w:rsidRPr="006210C6">
        <w:rPr>
          <w:b/>
          <w:bCs/>
        </w:rPr>
        <w:t xml:space="preserve"> </w:t>
      </w:r>
      <w:r w:rsidRPr="006210C6">
        <w:rPr>
          <w:b/>
          <w:bCs/>
        </w:rPr>
        <w:t>Masterplan</w:t>
      </w:r>
      <w:r w:rsidR="0013032F">
        <w:rPr>
          <w:spacing w:val="-3"/>
        </w:rPr>
        <w:t xml:space="preserve"> </w:t>
      </w:r>
      <w:r>
        <w:rPr>
          <w:spacing w:val="-3"/>
        </w:rPr>
        <w:t>–</w:t>
      </w:r>
      <w:r w:rsidR="0013032F">
        <w:rPr>
          <w:spacing w:val="-3"/>
        </w:rPr>
        <w:t xml:space="preserve"> </w:t>
      </w:r>
      <w:r>
        <w:rPr>
          <w:spacing w:val="-3"/>
        </w:rPr>
        <w:t>the</w:t>
      </w:r>
      <w:r w:rsidR="0013032F">
        <w:rPr>
          <w:spacing w:val="-3"/>
        </w:rPr>
        <w:t xml:space="preserve"> </w:t>
      </w:r>
      <w:r>
        <w:rPr>
          <w:spacing w:val="-3"/>
        </w:rPr>
        <w:t>RFP</w:t>
      </w:r>
      <w:r w:rsidR="0013032F">
        <w:rPr>
          <w:spacing w:val="-3"/>
        </w:rPr>
        <w:t xml:space="preserve"> </w:t>
      </w:r>
      <w:r>
        <w:rPr>
          <w:spacing w:val="-3"/>
        </w:rPr>
        <w:t>to</w:t>
      </w:r>
      <w:r w:rsidR="0013032F">
        <w:rPr>
          <w:spacing w:val="-3"/>
        </w:rPr>
        <w:t xml:space="preserve"> </w:t>
      </w:r>
      <w:r>
        <w:rPr>
          <w:spacing w:val="-3"/>
        </w:rPr>
        <w:t>appoint</w:t>
      </w:r>
      <w:r w:rsidR="0013032F">
        <w:rPr>
          <w:spacing w:val="-3"/>
        </w:rPr>
        <w:t xml:space="preserve"> </w:t>
      </w:r>
      <w:r>
        <w:t>professional</w:t>
      </w:r>
      <w:r w:rsidR="0013032F">
        <w:t xml:space="preserve"> </w:t>
      </w:r>
      <w:r>
        <w:t>services</w:t>
      </w:r>
      <w:r w:rsidR="0013032F">
        <w:t xml:space="preserve"> </w:t>
      </w:r>
      <w:r>
        <w:t>to</w:t>
      </w:r>
      <w:r w:rsidR="0013032F">
        <w:t xml:space="preserve"> </w:t>
      </w:r>
      <w:r>
        <w:t>support</w:t>
      </w:r>
      <w:r w:rsidR="0013032F">
        <w:t xml:space="preserve"> </w:t>
      </w:r>
      <w:r>
        <w:t>the</w:t>
      </w:r>
      <w:r w:rsidR="0013032F">
        <w:t xml:space="preserve"> </w:t>
      </w:r>
      <w:r>
        <w:t>preparation</w:t>
      </w:r>
      <w:r w:rsidR="0013032F">
        <w:t xml:space="preserve"> </w:t>
      </w:r>
      <w:r>
        <w:t>of</w:t>
      </w:r>
      <w:r w:rsidR="0013032F">
        <w:t xml:space="preserve"> </w:t>
      </w:r>
      <w:r>
        <w:t>the</w:t>
      </w:r>
      <w:r w:rsidR="0013032F">
        <w:t xml:space="preserve"> </w:t>
      </w:r>
      <w:r>
        <w:t>masterplan</w:t>
      </w:r>
      <w:r w:rsidR="0013032F">
        <w:t xml:space="preserve"> </w:t>
      </w:r>
      <w:r>
        <w:t>was</w:t>
      </w:r>
      <w:r w:rsidR="0013032F">
        <w:t xml:space="preserve"> </w:t>
      </w:r>
      <w:r>
        <w:t>released</w:t>
      </w:r>
      <w:r w:rsidR="0013032F">
        <w:t xml:space="preserve"> </w:t>
      </w:r>
      <w:r>
        <w:t>in</w:t>
      </w:r>
      <w:r w:rsidR="0013032F">
        <w:t xml:space="preserve"> </w:t>
      </w:r>
      <w:r>
        <w:t>September</w:t>
      </w:r>
      <w:r w:rsidR="0013032F">
        <w:t xml:space="preserve"> </w:t>
      </w:r>
      <w:r>
        <w:t>2022</w:t>
      </w:r>
      <w:r w:rsidR="0013032F">
        <w:t xml:space="preserve"> </w:t>
      </w:r>
      <w:r>
        <w:t>and</w:t>
      </w:r>
      <w:r w:rsidR="0013032F">
        <w:t xml:space="preserve"> </w:t>
      </w:r>
      <w:r>
        <w:t>evaluation</w:t>
      </w:r>
      <w:r w:rsidR="0013032F">
        <w:t xml:space="preserve"> </w:t>
      </w:r>
      <w:r>
        <w:t>is</w:t>
      </w:r>
      <w:r w:rsidR="0013032F">
        <w:t xml:space="preserve"> </w:t>
      </w:r>
      <w:r>
        <w:t>currently</w:t>
      </w:r>
      <w:r w:rsidR="0013032F">
        <w:t xml:space="preserve"> </w:t>
      </w:r>
      <w:r>
        <w:t>underway</w:t>
      </w:r>
    </w:p>
    <w:p w14:paraId="6AC72318" w14:textId="0747332F" w:rsidR="00757772" w:rsidRDefault="00305D3C" w:rsidP="006210C6">
      <w:pPr>
        <w:pStyle w:val="Bulletlast"/>
      </w:pPr>
      <w:r w:rsidRPr="006210C6">
        <w:rPr>
          <w:b/>
          <w:bCs/>
        </w:rPr>
        <w:t>Great</w:t>
      </w:r>
      <w:r w:rsidR="0013032F" w:rsidRPr="006210C6">
        <w:rPr>
          <w:b/>
          <w:bCs/>
        </w:rPr>
        <w:t xml:space="preserve"> </w:t>
      </w:r>
      <w:r w:rsidRPr="006210C6">
        <w:rPr>
          <w:b/>
          <w:bCs/>
        </w:rPr>
        <w:t>Ocean</w:t>
      </w:r>
      <w:r w:rsidR="0013032F" w:rsidRPr="006210C6">
        <w:rPr>
          <w:b/>
          <w:bCs/>
        </w:rPr>
        <w:t xml:space="preserve"> </w:t>
      </w:r>
      <w:r w:rsidRPr="006210C6">
        <w:rPr>
          <w:b/>
          <w:bCs/>
        </w:rPr>
        <w:t>Road</w:t>
      </w:r>
      <w:r w:rsidR="0013032F" w:rsidRPr="006210C6">
        <w:rPr>
          <w:b/>
          <w:bCs/>
        </w:rPr>
        <w:t xml:space="preserve"> </w:t>
      </w:r>
      <w:r w:rsidRPr="006210C6">
        <w:rPr>
          <w:b/>
          <w:bCs/>
        </w:rPr>
        <w:t>projects</w:t>
      </w:r>
      <w:r w:rsidR="0013032F">
        <w:t xml:space="preserve"> </w:t>
      </w:r>
      <w:r>
        <w:t>–</w:t>
      </w:r>
      <w:r w:rsidR="0013032F">
        <w:t xml:space="preserve"> </w:t>
      </w:r>
      <w:r>
        <w:t>An</w:t>
      </w:r>
      <w:r w:rsidR="0013032F">
        <w:t xml:space="preserve"> </w:t>
      </w:r>
      <w:r>
        <w:t>extensive</w:t>
      </w:r>
      <w:r w:rsidR="0013032F">
        <w:t xml:space="preserve"> </w:t>
      </w:r>
      <w:r>
        <w:t>review</w:t>
      </w:r>
      <w:r w:rsidR="0013032F">
        <w:t xml:space="preserve"> </w:t>
      </w:r>
      <w:r>
        <w:t>of</w:t>
      </w:r>
      <w:r w:rsidR="0013032F">
        <w:t xml:space="preserve"> </w:t>
      </w:r>
      <w:r>
        <w:t>GCD</w:t>
      </w:r>
      <w:r w:rsidR="0013032F">
        <w:t xml:space="preserve"> </w:t>
      </w:r>
      <w:r>
        <w:t>Great</w:t>
      </w:r>
      <w:r w:rsidR="0013032F">
        <w:t xml:space="preserve"> </w:t>
      </w:r>
      <w:r>
        <w:t>Ocean</w:t>
      </w:r>
      <w:r w:rsidR="0013032F">
        <w:t xml:space="preserve"> </w:t>
      </w:r>
      <w:r>
        <w:t>Road-based</w:t>
      </w:r>
      <w:r w:rsidR="0013032F">
        <w:t xml:space="preserve"> </w:t>
      </w:r>
      <w:r>
        <w:t>projects</w:t>
      </w:r>
      <w:r w:rsidR="0013032F">
        <w:t xml:space="preserve"> </w:t>
      </w:r>
      <w:r>
        <w:t>was</w:t>
      </w:r>
      <w:r w:rsidR="0013032F">
        <w:t xml:space="preserve"> </w:t>
      </w:r>
      <w:r>
        <w:rPr>
          <w:spacing w:val="-3"/>
        </w:rPr>
        <w:t>undertaken</w:t>
      </w:r>
      <w:r w:rsidR="0013032F">
        <w:rPr>
          <w:spacing w:val="-3"/>
        </w:rPr>
        <w:t xml:space="preserve"> </w:t>
      </w:r>
      <w:r>
        <w:rPr>
          <w:spacing w:val="-3"/>
        </w:rPr>
        <w:t>in</w:t>
      </w:r>
      <w:r w:rsidR="0013032F">
        <w:rPr>
          <w:spacing w:val="-3"/>
        </w:rPr>
        <w:t xml:space="preserve"> </w:t>
      </w:r>
      <w:r>
        <w:rPr>
          <w:spacing w:val="-3"/>
        </w:rPr>
        <w:t>2022</w:t>
      </w:r>
      <w:r w:rsidR="0013032F">
        <w:rPr>
          <w:spacing w:val="-3"/>
        </w:rPr>
        <w:t xml:space="preserve"> </w:t>
      </w:r>
      <w:r>
        <w:rPr>
          <w:spacing w:val="-3"/>
        </w:rPr>
        <w:t>to</w:t>
      </w:r>
      <w:r w:rsidR="0013032F">
        <w:rPr>
          <w:spacing w:val="-3"/>
        </w:rPr>
        <w:t xml:space="preserve"> </w:t>
      </w:r>
      <w:r>
        <w:rPr>
          <w:spacing w:val="-3"/>
        </w:rPr>
        <w:t>address</w:t>
      </w:r>
      <w:r w:rsidR="0013032F">
        <w:rPr>
          <w:spacing w:val="-3"/>
        </w:rPr>
        <w:t xml:space="preserve"> </w:t>
      </w:r>
      <w:r>
        <w:rPr>
          <w:spacing w:val="-3"/>
        </w:rPr>
        <w:t>environmental,</w:t>
      </w:r>
      <w:r w:rsidR="0013032F">
        <w:rPr>
          <w:spacing w:val="-3"/>
        </w:rPr>
        <w:t xml:space="preserve"> </w:t>
      </w:r>
      <w:r>
        <w:rPr>
          <w:spacing w:val="-3"/>
        </w:rPr>
        <w:t>planning</w:t>
      </w:r>
      <w:r w:rsidR="0013032F">
        <w:rPr>
          <w:spacing w:val="-3"/>
        </w:rPr>
        <w:t xml:space="preserve"> </w:t>
      </w:r>
      <w:r>
        <w:t>and</w:t>
      </w:r>
      <w:r w:rsidR="0013032F">
        <w:t xml:space="preserve"> </w:t>
      </w:r>
      <w:r>
        <w:t>budget</w:t>
      </w:r>
      <w:r w:rsidR="0013032F">
        <w:t xml:space="preserve"> </w:t>
      </w:r>
      <w:r>
        <w:t>concerns.</w:t>
      </w:r>
      <w:r w:rsidR="0013032F">
        <w:t xml:space="preserve"> </w:t>
      </w:r>
      <w:r>
        <w:t>It</w:t>
      </w:r>
      <w:r w:rsidR="0013032F">
        <w:t xml:space="preserve"> </w:t>
      </w:r>
      <w:r>
        <w:t>resulted</w:t>
      </w:r>
      <w:r w:rsidR="0013032F">
        <w:t xml:space="preserve"> </w:t>
      </w:r>
      <w:r>
        <w:t>in</w:t>
      </w:r>
      <w:r w:rsidR="0013032F">
        <w:t xml:space="preserve"> </w:t>
      </w:r>
      <w:r>
        <w:t>GORCAPA,</w:t>
      </w:r>
      <w:r w:rsidR="0013032F">
        <w:t xml:space="preserve"> </w:t>
      </w:r>
      <w:r>
        <w:t>as</w:t>
      </w:r>
      <w:r w:rsidR="0013032F">
        <w:t xml:space="preserve"> </w:t>
      </w:r>
      <w:r>
        <w:t>the</w:t>
      </w:r>
      <w:r w:rsidR="0013032F">
        <w:t xml:space="preserve"> </w:t>
      </w:r>
      <w:r>
        <w:t>relevant</w:t>
      </w:r>
      <w:r w:rsidR="0013032F">
        <w:t xml:space="preserve"> </w:t>
      </w:r>
      <w:r>
        <w:t>land</w:t>
      </w:r>
      <w:r w:rsidR="0013032F">
        <w:t xml:space="preserve"> </w:t>
      </w:r>
      <w:r>
        <w:t>manager,</w:t>
      </w:r>
      <w:r w:rsidR="0013032F">
        <w:t xml:space="preserve"> </w:t>
      </w:r>
      <w:r>
        <w:t>taking</w:t>
      </w:r>
      <w:r w:rsidR="0013032F">
        <w:t xml:space="preserve"> </w:t>
      </w:r>
      <w:r>
        <w:t>over</w:t>
      </w:r>
      <w:r w:rsidR="0013032F">
        <w:t xml:space="preserve"> </w:t>
      </w:r>
      <w:r>
        <w:t>delivery</w:t>
      </w:r>
      <w:r w:rsidR="0013032F">
        <w:t xml:space="preserve"> </w:t>
      </w:r>
      <w:r>
        <w:t>responsibility.</w:t>
      </w:r>
      <w:r w:rsidR="0013032F">
        <w:t xml:space="preserve"> </w:t>
      </w:r>
      <w:r>
        <w:t>In</w:t>
      </w:r>
      <w:r w:rsidR="0013032F">
        <w:t xml:space="preserve"> </w:t>
      </w:r>
      <w:r>
        <w:t>2022–23,</w:t>
      </w:r>
      <w:r w:rsidR="0013032F">
        <w:t xml:space="preserve"> </w:t>
      </w:r>
      <w:r>
        <w:t>the</w:t>
      </w:r>
      <w:r w:rsidR="0013032F">
        <w:t xml:space="preserve"> </w:t>
      </w:r>
      <w:r>
        <w:t>GCD</w:t>
      </w:r>
      <w:r w:rsidR="0013032F">
        <w:t xml:space="preserve"> </w:t>
      </w:r>
      <w:r>
        <w:t>team</w:t>
      </w:r>
      <w:r w:rsidR="0013032F">
        <w:t xml:space="preserve"> </w:t>
      </w:r>
      <w:r>
        <w:t>worked</w:t>
      </w:r>
      <w:r w:rsidR="0013032F">
        <w:t xml:space="preserve"> </w:t>
      </w:r>
      <w:r>
        <w:t>closely</w:t>
      </w:r>
      <w:r w:rsidR="0013032F">
        <w:t xml:space="preserve"> </w:t>
      </w:r>
      <w:r>
        <w:t>with</w:t>
      </w:r>
      <w:r w:rsidR="0013032F">
        <w:t xml:space="preserve"> </w:t>
      </w:r>
      <w:r>
        <w:t>key</w:t>
      </w:r>
      <w:r w:rsidR="0013032F">
        <w:t xml:space="preserve"> </w:t>
      </w:r>
      <w:r>
        <w:t>stakeholders</w:t>
      </w:r>
      <w:r w:rsidR="0013032F">
        <w:t xml:space="preserve"> </w:t>
      </w:r>
      <w:r>
        <w:t>to</w:t>
      </w:r>
      <w:r w:rsidR="0013032F">
        <w:t xml:space="preserve"> </w:t>
      </w:r>
      <w:r>
        <w:t>ensure</w:t>
      </w:r>
      <w:r w:rsidR="0013032F">
        <w:t xml:space="preserve"> </w:t>
      </w:r>
      <w:r>
        <w:t>the</w:t>
      </w:r>
      <w:r w:rsidR="0013032F">
        <w:t xml:space="preserve"> </w:t>
      </w:r>
      <w:r>
        <w:t>overall</w:t>
      </w:r>
      <w:r w:rsidR="0013032F">
        <w:t xml:space="preserve"> </w:t>
      </w:r>
      <w:r>
        <w:rPr>
          <w:spacing w:val="-3"/>
        </w:rPr>
        <w:t>and</w:t>
      </w:r>
      <w:r w:rsidR="0013032F">
        <w:rPr>
          <w:spacing w:val="-3"/>
        </w:rPr>
        <w:t xml:space="preserve"> </w:t>
      </w:r>
      <w:r>
        <w:rPr>
          <w:spacing w:val="-3"/>
        </w:rPr>
        <w:t>intended</w:t>
      </w:r>
      <w:r w:rsidR="0013032F">
        <w:rPr>
          <w:spacing w:val="-3"/>
        </w:rPr>
        <w:t xml:space="preserve"> </w:t>
      </w:r>
      <w:r>
        <w:rPr>
          <w:spacing w:val="-3"/>
        </w:rPr>
        <w:t>outcomes</w:t>
      </w:r>
      <w:r w:rsidR="0013032F">
        <w:rPr>
          <w:spacing w:val="-3"/>
        </w:rPr>
        <w:t xml:space="preserve"> </w:t>
      </w:r>
      <w:r>
        <w:rPr>
          <w:spacing w:val="-3"/>
        </w:rPr>
        <w:t>of</w:t>
      </w:r>
      <w:r w:rsidR="0013032F">
        <w:rPr>
          <w:spacing w:val="-3"/>
        </w:rPr>
        <w:t xml:space="preserve"> </w:t>
      </w:r>
      <w:r>
        <w:rPr>
          <w:spacing w:val="-3"/>
        </w:rPr>
        <w:t>the</w:t>
      </w:r>
      <w:r w:rsidR="0013032F">
        <w:rPr>
          <w:spacing w:val="-3"/>
        </w:rPr>
        <w:t xml:space="preserve"> </w:t>
      </w:r>
      <w:r>
        <w:rPr>
          <w:spacing w:val="-3"/>
        </w:rPr>
        <w:t>projects</w:t>
      </w:r>
      <w:r w:rsidR="0013032F">
        <w:rPr>
          <w:spacing w:val="-3"/>
        </w:rPr>
        <w:t xml:space="preserve"> </w:t>
      </w:r>
      <w:r>
        <w:rPr>
          <w:spacing w:val="-3"/>
        </w:rPr>
        <w:t>were</w:t>
      </w:r>
      <w:r w:rsidR="0013032F">
        <w:rPr>
          <w:spacing w:val="-3"/>
        </w:rPr>
        <w:t xml:space="preserve"> </w:t>
      </w:r>
      <w:r>
        <w:rPr>
          <w:spacing w:val="-3"/>
        </w:rPr>
        <w:t>achieved</w:t>
      </w:r>
      <w:r w:rsidR="0013032F">
        <w:rPr>
          <w:spacing w:val="-3"/>
        </w:rPr>
        <w:t xml:space="preserve"> </w:t>
      </w:r>
      <w:r>
        <w:t>for</w:t>
      </w:r>
      <w:r w:rsidR="0013032F">
        <w:t xml:space="preserve"> </w:t>
      </w:r>
      <w:r>
        <w:t>this</w:t>
      </w:r>
      <w:r w:rsidR="0013032F">
        <w:t xml:space="preserve"> </w:t>
      </w:r>
      <w:r>
        <w:t>iconic</w:t>
      </w:r>
      <w:r w:rsidR="0013032F">
        <w:t xml:space="preserve"> </w:t>
      </w:r>
      <w:r>
        <w:t>visitor</w:t>
      </w:r>
      <w:r w:rsidR="0013032F">
        <w:t xml:space="preserve"> </w:t>
      </w:r>
      <w:r>
        <w:t>destination,</w:t>
      </w:r>
      <w:r w:rsidR="0013032F">
        <w:t xml:space="preserve"> </w:t>
      </w:r>
      <w:r>
        <w:t>while</w:t>
      </w:r>
      <w:r w:rsidR="0013032F">
        <w:t xml:space="preserve"> </w:t>
      </w:r>
      <w:r>
        <w:t>balancing</w:t>
      </w:r>
      <w:r w:rsidR="0013032F">
        <w:t xml:space="preserve"> </w:t>
      </w:r>
      <w:r>
        <w:t>the</w:t>
      </w:r>
      <w:r w:rsidR="0013032F">
        <w:t xml:space="preserve"> </w:t>
      </w:r>
      <w:r>
        <w:t>environmental</w:t>
      </w:r>
      <w:r w:rsidR="0013032F">
        <w:t xml:space="preserve"> </w:t>
      </w:r>
      <w:r>
        <w:t>needs</w:t>
      </w:r>
      <w:r w:rsidR="0013032F">
        <w:t xml:space="preserve"> </w:t>
      </w:r>
      <w:r>
        <w:t>of</w:t>
      </w:r>
      <w:r w:rsidR="0013032F">
        <w:t xml:space="preserve"> </w:t>
      </w:r>
      <w:r>
        <w:t>the</w:t>
      </w:r>
      <w:r w:rsidR="0013032F">
        <w:t xml:space="preserve"> </w:t>
      </w:r>
      <w:r>
        <w:t>sensitive</w:t>
      </w:r>
      <w:r w:rsidR="0013032F">
        <w:t xml:space="preserve"> </w:t>
      </w:r>
      <w:r>
        <w:t>coastline.</w:t>
      </w:r>
      <w:r w:rsidR="0013032F">
        <w:t xml:space="preserve"> </w:t>
      </w:r>
    </w:p>
    <w:p w14:paraId="749A32FF" w14:textId="76860140" w:rsidR="00757772" w:rsidRDefault="00305D3C" w:rsidP="006210C6">
      <w:pPr>
        <w:pStyle w:val="Heading1"/>
      </w:pPr>
      <w:bookmarkStart w:id="39" w:name="_Toc149566585"/>
      <w:r>
        <w:lastRenderedPageBreak/>
        <w:t>2022</w:t>
      </w:r>
      <w:r w:rsidR="0013032F">
        <w:t xml:space="preserve"> </w:t>
      </w:r>
      <w:r>
        <w:t>Victorian</w:t>
      </w:r>
      <w:r w:rsidR="0013032F">
        <w:t xml:space="preserve"> </w:t>
      </w:r>
      <w:r>
        <w:t>flood</w:t>
      </w:r>
      <w:r w:rsidR="0013032F">
        <w:t xml:space="preserve"> </w:t>
      </w:r>
      <w:r>
        <w:t>recovery</w:t>
      </w:r>
      <w:bookmarkEnd w:id="39"/>
    </w:p>
    <w:p w14:paraId="5AA35466" w14:textId="5C3665E8" w:rsidR="00757772" w:rsidRDefault="00305D3C" w:rsidP="006210C6">
      <w:r>
        <w:t>Under</w:t>
      </w:r>
      <w:r w:rsidR="0013032F">
        <w:t xml:space="preserve"> </w:t>
      </w:r>
      <w:r>
        <w:t>state</w:t>
      </w:r>
      <w:r w:rsidR="0013032F">
        <w:t xml:space="preserve"> </w:t>
      </w:r>
      <w:r>
        <w:t>emergency</w:t>
      </w:r>
      <w:r w:rsidR="0013032F">
        <w:t xml:space="preserve"> </w:t>
      </w:r>
      <w:r>
        <w:t>management</w:t>
      </w:r>
      <w:r w:rsidR="0013032F">
        <w:t xml:space="preserve"> </w:t>
      </w:r>
      <w:r>
        <w:t>arrangements,</w:t>
      </w:r>
      <w:r w:rsidR="0013032F">
        <w:t xml:space="preserve"> </w:t>
      </w:r>
      <w:r>
        <w:t>the</w:t>
      </w:r>
      <w:r w:rsidR="0013032F">
        <w:t xml:space="preserve"> </w:t>
      </w:r>
      <w:r>
        <w:t>Department</w:t>
      </w:r>
      <w:r w:rsidR="0013032F">
        <w:t xml:space="preserve"> </w:t>
      </w:r>
      <w:r>
        <w:t>of</w:t>
      </w:r>
      <w:r w:rsidR="0013032F">
        <w:t xml:space="preserve"> </w:t>
      </w:r>
      <w:r>
        <w:t>Jobs,</w:t>
      </w:r>
      <w:r w:rsidR="0013032F">
        <w:t xml:space="preserve"> </w:t>
      </w:r>
      <w:r>
        <w:t>Skills,</w:t>
      </w:r>
      <w:r w:rsidR="0013032F">
        <w:t xml:space="preserve"> </w:t>
      </w:r>
      <w:r>
        <w:t>Industry</w:t>
      </w:r>
      <w:r w:rsidR="0013032F">
        <w:t xml:space="preserve"> </w:t>
      </w:r>
      <w:r>
        <w:t>and</w:t>
      </w:r>
      <w:r w:rsidR="0013032F">
        <w:t xml:space="preserve"> </w:t>
      </w:r>
      <w:r>
        <w:t>Regions</w:t>
      </w:r>
      <w:r w:rsidR="0013032F">
        <w:t xml:space="preserve"> </w:t>
      </w:r>
      <w:r>
        <w:t>(DJSIR)</w:t>
      </w:r>
      <w:r w:rsidR="0013032F">
        <w:t xml:space="preserve"> </w:t>
      </w:r>
      <w:r>
        <w:t>works</w:t>
      </w:r>
      <w:r w:rsidR="0013032F">
        <w:t xml:space="preserve"> </w:t>
      </w:r>
      <w:r>
        <w:t>with</w:t>
      </w:r>
      <w:r w:rsidR="0013032F">
        <w:t xml:space="preserve"> </w:t>
      </w:r>
      <w:r>
        <w:t>communities,</w:t>
      </w:r>
      <w:r w:rsidR="0013032F">
        <w:t xml:space="preserve"> </w:t>
      </w:r>
      <w:r>
        <w:t>business</w:t>
      </w:r>
      <w:r w:rsidR="0013032F">
        <w:t xml:space="preserve"> </w:t>
      </w:r>
      <w:r>
        <w:t>and</w:t>
      </w:r>
      <w:r w:rsidR="0013032F">
        <w:t xml:space="preserve"> </w:t>
      </w:r>
      <w:r>
        <w:t>industry</w:t>
      </w:r>
      <w:r w:rsidR="0013032F">
        <w:t xml:space="preserve"> </w:t>
      </w:r>
      <w:r>
        <w:t>partners</w:t>
      </w:r>
      <w:r w:rsidR="0013032F">
        <w:t xml:space="preserve"> </w:t>
      </w:r>
      <w:r>
        <w:t>impacted</w:t>
      </w:r>
      <w:r w:rsidR="0013032F">
        <w:t xml:space="preserve"> </w:t>
      </w:r>
      <w:r>
        <w:t>by</w:t>
      </w:r>
      <w:r w:rsidR="0013032F">
        <w:t xml:space="preserve"> </w:t>
      </w:r>
      <w:r>
        <w:t>emergency</w:t>
      </w:r>
      <w:r w:rsidR="0013032F">
        <w:t xml:space="preserve"> </w:t>
      </w:r>
      <w:r>
        <w:t>events.</w:t>
      </w:r>
      <w:r w:rsidR="0013032F">
        <w:t xml:space="preserve"> </w:t>
      </w:r>
    </w:p>
    <w:p w14:paraId="46E9BF52" w14:textId="2137D619" w:rsidR="00757772" w:rsidRDefault="00305D3C" w:rsidP="006210C6">
      <w:r>
        <w:t>The</w:t>
      </w:r>
      <w:r w:rsidR="0013032F">
        <w:t xml:space="preserve"> </w:t>
      </w:r>
      <w:r>
        <w:t>consequences</w:t>
      </w:r>
      <w:r w:rsidR="0013032F">
        <w:t xml:space="preserve"> </w:t>
      </w:r>
      <w:r>
        <w:t>of</w:t>
      </w:r>
      <w:r w:rsidR="0013032F">
        <w:t xml:space="preserve"> </w:t>
      </w:r>
      <w:r>
        <w:t>emergencies</w:t>
      </w:r>
      <w:r w:rsidR="0013032F">
        <w:t xml:space="preserve"> </w:t>
      </w:r>
      <w:r>
        <w:t>and</w:t>
      </w:r>
      <w:r w:rsidR="0013032F">
        <w:t xml:space="preserve"> </w:t>
      </w:r>
      <w:r>
        <w:t>economic</w:t>
      </w:r>
      <w:r w:rsidR="0013032F">
        <w:t xml:space="preserve"> </w:t>
      </w:r>
      <w:r>
        <w:t>shocks</w:t>
      </w:r>
      <w:r w:rsidR="0013032F">
        <w:t xml:space="preserve"> </w:t>
      </w:r>
      <w:r>
        <w:t>are</w:t>
      </w:r>
      <w:r w:rsidR="0013032F">
        <w:t xml:space="preserve"> </w:t>
      </w:r>
      <w:r>
        <w:t>particularly</w:t>
      </w:r>
      <w:r w:rsidR="0013032F">
        <w:t xml:space="preserve"> </w:t>
      </w:r>
      <w:r>
        <w:t>challenging</w:t>
      </w:r>
      <w:r w:rsidR="0013032F">
        <w:t xml:space="preserve"> </w:t>
      </w:r>
      <w:r>
        <w:t>for</w:t>
      </w:r>
      <w:r w:rsidR="0013032F">
        <w:t xml:space="preserve"> </w:t>
      </w:r>
      <w:r>
        <w:t>parts</w:t>
      </w:r>
      <w:r w:rsidR="0013032F">
        <w:t xml:space="preserve"> </w:t>
      </w:r>
      <w:r>
        <w:t>of</w:t>
      </w:r>
      <w:r w:rsidR="0013032F">
        <w:t xml:space="preserve"> </w:t>
      </w:r>
      <w:r>
        <w:t>rural</w:t>
      </w:r>
      <w:r w:rsidR="0013032F">
        <w:t xml:space="preserve"> </w:t>
      </w:r>
      <w:r>
        <w:t>and</w:t>
      </w:r>
      <w:r w:rsidR="0013032F">
        <w:t xml:space="preserve"> </w:t>
      </w:r>
      <w:r>
        <w:t>regional</w:t>
      </w:r>
      <w:r w:rsidR="0013032F">
        <w:t xml:space="preserve"> </w:t>
      </w:r>
      <w:r>
        <w:t>Victoria</w:t>
      </w:r>
      <w:r w:rsidR="0013032F">
        <w:t xml:space="preserve"> </w:t>
      </w:r>
      <w:r>
        <w:t>that</w:t>
      </w:r>
      <w:r w:rsidR="0013032F">
        <w:t xml:space="preserve"> </w:t>
      </w:r>
      <w:r>
        <w:t>have</w:t>
      </w:r>
      <w:r w:rsidR="0013032F">
        <w:t xml:space="preserve"> </w:t>
      </w:r>
      <w:r>
        <w:t>a</w:t>
      </w:r>
      <w:r w:rsidR="0013032F">
        <w:t xml:space="preserve"> </w:t>
      </w:r>
      <w:r>
        <w:t>narrower</w:t>
      </w:r>
      <w:r w:rsidR="0013032F">
        <w:t xml:space="preserve"> </w:t>
      </w:r>
      <w:r>
        <w:t>economic</w:t>
      </w:r>
      <w:r w:rsidR="0013032F">
        <w:t xml:space="preserve"> </w:t>
      </w:r>
      <w:r>
        <w:t>base,</w:t>
      </w:r>
      <w:r w:rsidR="0013032F">
        <w:t xml:space="preserve"> </w:t>
      </w:r>
      <w:r>
        <w:t>smaller</w:t>
      </w:r>
      <w:r w:rsidR="0013032F">
        <w:t xml:space="preserve"> </w:t>
      </w:r>
      <w:r>
        <w:t>numbers</w:t>
      </w:r>
      <w:r w:rsidR="0013032F">
        <w:t xml:space="preserve"> </w:t>
      </w:r>
      <w:r>
        <w:t>of</w:t>
      </w:r>
      <w:r w:rsidR="0013032F">
        <w:t xml:space="preserve"> </w:t>
      </w:r>
      <w:r>
        <w:t>key</w:t>
      </w:r>
      <w:r w:rsidR="0013032F">
        <w:t xml:space="preserve"> </w:t>
      </w:r>
      <w:r>
        <w:t>or</w:t>
      </w:r>
      <w:r w:rsidR="0013032F">
        <w:t xml:space="preserve"> </w:t>
      </w:r>
      <w:r>
        <w:t>anchor</w:t>
      </w:r>
      <w:r w:rsidR="0013032F">
        <w:t xml:space="preserve"> </w:t>
      </w:r>
      <w:r>
        <w:t>businesses,</w:t>
      </w:r>
      <w:r w:rsidR="0013032F">
        <w:t xml:space="preserve"> </w:t>
      </w:r>
      <w:r>
        <w:t>and</w:t>
      </w:r>
      <w:r w:rsidR="0013032F">
        <w:t xml:space="preserve"> </w:t>
      </w:r>
      <w:r>
        <w:t>more</w:t>
      </w:r>
      <w:r w:rsidR="0013032F">
        <w:t xml:space="preserve"> </w:t>
      </w:r>
      <w:r>
        <w:t>limited</w:t>
      </w:r>
      <w:r w:rsidR="0013032F">
        <w:t xml:space="preserve"> </w:t>
      </w:r>
      <w:r>
        <w:t>access</w:t>
      </w:r>
      <w:r w:rsidR="0013032F">
        <w:t xml:space="preserve"> </w:t>
      </w:r>
      <w:r>
        <w:t>to</w:t>
      </w:r>
      <w:r w:rsidR="0013032F">
        <w:t xml:space="preserve"> </w:t>
      </w:r>
      <w:r>
        <w:t>staff,</w:t>
      </w:r>
      <w:r w:rsidR="0013032F">
        <w:t xml:space="preserve"> </w:t>
      </w:r>
      <w:r>
        <w:t>resources</w:t>
      </w:r>
      <w:r w:rsidR="0013032F">
        <w:t xml:space="preserve"> </w:t>
      </w:r>
      <w:r>
        <w:t>and</w:t>
      </w:r>
      <w:r w:rsidR="0013032F">
        <w:t xml:space="preserve"> </w:t>
      </w:r>
      <w:r>
        <w:t>digital</w:t>
      </w:r>
      <w:r w:rsidR="0013032F">
        <w:t xml:space="preserve"> </w:t>
      </w:r>
      <w:r>
        <w:t>connectivity.</w:t>
      </w:r>
    </w:p>
    <w:p w14:paraId="105D86B5" w14:textId="55611D36" w:rsidR="00757772" w:rsidRDefault="00305D3C" w:rsidP="006210C6">
      <w:r>
        <w:t>Following</w:t>
      </w:r>
      <w:r w:rsidR="0013032F">
        <w:t xml:space="preserve"> </w:t>
      </w:r>
      <w:r>
        <w:t>major</w:t>
      </w:r>
      <w:r w:rsidR="0013032F">
        <w:t xml:space="preserve"> </w:t>
      </w:r>
      <w:r>
        <w:t>floods</w:t>
      </w:r>
      <w:r w:rsidR="0013032F">
        <w:t xml:space="preserve"> </w:t>
      </w:r>
      <w:r>
        <w:t>in</w:t>
      </w:r>
      <w:r w:rsidR="0013032F">
        <w:t xml:space="preserve"> </w:t>
      </w:r>
      <w:r>
        <w:t>October</w:t>
      </w:r>
      <w:r w:rsidR="0013032F">
        <w:t xml:space="preserve"> </w:t>
      </w:r>
      <w:r>
        <w:t>2022,</w:t>
      </w:r>
      <w:r w:rsidR="0013032F">
        <w:t xml:space="preserve"> </w:t>
      </w:r>
      <w:r>
        <w:t>RDV</w:t>
      </w:r>
      <w:r w:rsidR="0013032F">
        <w:t xml:space="preserve"> </w:t>
      </w:r>
      <w:r>
        <w:t>worked</w:t>
      </w:r>
      <w:r w:rsidR="0013032F">
        <w:t xml:space="preserve"> </w:t>
      </w:r>
      <w:r>
        <w:t>with</w:t>
      </w:r>
      <w:r w:rsidR="0013032F">
        <w:t xml:space="preserve"> </w:t>
      </w:r>
      <w:r>
        <w:t>partners</w:t>
      </w:r>
      <w:r w:rsidR="0013032F">
        <w:t xml:space="preserve"> </w:t>
      </w:r>
      <w:r>
        <w:t>on</w:t>
      </w:r>
      <w:r w:rsidR="0013032F">
        <w:t xml:space="preserve"> </w:t>
      </w:r>
      <w:r>
        <w:t>the</w:t>
      </w:r>
      <w:r w:rsidR="0013032F">
        <w:t xml:space="preserve"> </w:t>
      </w:r>
      <w:r>
        <w:t>ground,</w:t>
      </w:r>
      <w:r w:rsidR="0013032F">
        <w:t xml:space="preserve"> </w:t>
      </w:r>
      <w:r>
        <w:t>including</w:t>
      </w:r>
      <w:r w:rsidR="0013032F">
        <w:t xml:space="preserve"> </w:t>
      </w:r>
      <w:r>
        <w:t>local</w:t>
      </w:r>
      <w:r w:rsidR="0013032F">
        <w:t xml:space="preserve"> </w:t>
      </w:r>
      <w:r>
        <w:t>government</w:t>
      </w:r>
      <w:r w:rsidR="0013032F">
        <w:t xml:space="preserve"> </w:t>
      </w:r>
      <w:r>
        <w:t>and</w:t>
      </w:r>
      <w:r w:rsidR="0013032F">
        <w:t xml:space="preserve"> </w:t>
      </w:r>
      <w:r>
        <w:t>business</w:t>
      </w:r>
      <w:r w:rsidR="0013032F">
        <w:t xml:space="preserve"> </w:t>
      </w:r>
      <w:r>
        <w:t>associations,</w:t>
      </w:r>
      <w:r w:rsidR="0013032F">
        <w:t xml:space="preserve"> </w:t>
      </w:r>
      <w:r>
        <w:t>to</w:t>
      </w:r>
      <w:r w:rsidR="0013032F">
        <w:t xml:space="preserve"> </w:t>
      </w:r>
      <w:r>
        <w:t>ensure</w:t>
      </w:r>
      <w:r w:rsidR="0013032F">
        <w:t xml:space="preserve"> </w:t>
      </w:r>
      <w:r>
        <w:t>support</w:t>
      </w:r>
      <w:r w:rsidR="0013032F">
        <w:t xml:space="preserve"> </w:t>
      </w:r>
      <w:r>
        <w:t>was</w:t>
      </w:r>
      <w:r w:rsidR="0013032F">
        <w:t xml:space="preserve"> </w:t>
      </w:r>
      <w:r>
        <w:t>available</w:t>
      </w:r>
      <w:r w:rsidR="0013032F">
        <w:t xml:space="preserve"> </w:t>
      </w:r>
      <w:r>
        <w:t>to</w:t>
      </w:r>
      <w:r w:rsidR="0013032F">
        <w:t xml:space="preserve"> </w:t>
      </w:r>
      <w:r>
        <w:t>aid</w:t>
      </w:r>
      <w:r w:rsidR="0013032F">
        <w:t xml:space="preserve"> </w:t>
      </w:r>
      <w:r>
        <w:t>the</w:t>
      </w:r>
      <w:r w:rsidR="0013032F">
        <w:t xml:space="preserve"> </w:t>
      </w:r>
      <w:r>
        <w:t>economic</w:t>
      </w:r>
      <w:r w:rsidR="0013032F">
        <w:t xml:space="preserve"> </w:t>
      </w:r>
      <w:r>
        <w:t>recovery</w:t>
      </w:r>
      <w:r w:rsidR="0013032F">
        <w:t xml:space="preserve"> </w:t>
      </w:r>
      <w:r>
        <w:t>of</w:t>
      </w:r>
      <w:r w:rsidR="0013032F">
        <w:t xml:space="preserve"> </w:t>
      </w:r>
      <w:r>
        <w:t>regional</w:t>
      </w:r>
      <w:r w:rsidR="0013032F">
        <w:t xml:space="preserve"> </w:t>
      </w:r>
      <w:r>
        <w:t>businesses</w:t>
      </w:r>
      <w:r w:rsidR="0013032F">
        <w:t xml:space="preserve"> </w:t>
      </w:r>
      <w:r>
        <w:t>and</w:t>
      </w:r>
      <w:r w:rsidR="0013032F">
        <w:t xml:space="preserve"> </w:t>
      </w:r>
      <w:r>
        <w:t>communities.</w:t>
      </w:r>
      <w:r w:rsidR="0013032F">
        <w:t xml:space="preserve"> </w:t>
      </w:r>
      <w:r>
        <w:t>This</w:t>
      </w:r>
      <w:r w:rsidR="0013032F">
        <w:t xml:space="preserve"> </w:t>
      </w:r>
      <w:r>
        <w:t>included</w:t>
      </w:r>
      <w:r w:rsidR="0013032F">
        <w:t xml:space="preserve"> </w:t>
      </w:r>
      <w:r>
        <w:t>extra</w:t>
      </w:r>
      <w:r w:rsidR="0013032F">
        <w:t xml:space="preserve"> </w:t>
      </w:r>
      <w:r>
        <w:t>support</w:t>
      </w:r>
      <w:r w:rsidR="0013032F">
        <w:t xml:space="preserve"> </w:t>
      </w:r>
      <w:r>
        <w:t>for</w:t>
      </w:r>
      <w:r w:rsidR="0013032F">
        <w:t xml:space="preserve"> </w:t>
      </w:r>
      <w:r>
        <w:t>the</w:t>
      </w:r>
      <w:r w:rsidR="0013032F">
        <w:t xml:space="preserve"> </w:t>
      </w:r>
      <w:r>
        <w:t>hardest</w:t>
      </w:r>
      <w:r w:rsidR="0013032F">
        <w:t xml:space="preserve"> </w:t>
      </w:r>
      <w:r>
        <w:t>hit</w:t>
      </w:r>
      <w:r w:rsidR="0013032F">
        <w:t xml:space="preserve"> </w:t>
      </w:r>
      <w:r>
        <w:t>towns</w:t>
      </w:r>
      <w:r w:rsidR="0013032F">
        <w:t xml:space="preserve"> </w:t>
      </w:r>
      <w:r>
        <w:t>such</w:t>
      </w:r>
      <w:r w:rsidR="0013032F">
        <w:t xml:space="preserve"> </w:t>
      </w:r>
      <w:r>
        <w:t>as</w:t>
      </w:r>
      <w:r w:rsidR="0013032F">
        <w:t xml:space="preserve"> </w:t>
      </w:r>
      <w:r>
        <w:t>Rochester</w:t>
      </w:r>
      <w:r w:rsidR="0013032F">
        <w:t xml:space="preserve"> </w:t>
      </w:r>
      <w:r>
        <w:t>and</w:t>
      </w:r>
      <w:r w:rsidR="0013032F">
        <w:t xml:space="preserve"> </w:t>
      </w:r>
      <w:r>
        <w:t>Falls</w:t>
      </w:r>
      <w:r w:rsidR="0013032F">
        <w:t xml:space="preserve"> </w:t>
      </w:r>
      <w:r>
        <w:t>Creek,</w:t>
      </w:r>
      <w:r w:rsidR="0013032F">
        <w:t xml:space="preserve"> </w:t>
      </w:r>
      <w:r>
        <w:t>to</w:t>
      </w:r>
      <w:r w:rsidR="0013032F">
        <w:t xml:space="preserve"> </w:t>
      </w:r>
      <w:r>
        <w:t>facilitate</w:t>
      </w:r>
      <w:r w:rsidR="0013032F">
        <w:t xml:space="preserve"> </w:t>
      </w:r>
      <w:r>
        <w:t>the</w:t>
      </w:r>
      <w:r w:rsidR="0013032F">
        <w:t xml:space="preserve"> </w:t>
      </w:r>
      <w:r>
        <w:t>supply</w:t>
      </w:r>
      <w:r w:rsidR="0013032F">
        <w:t xml:space="preserve"> </w:t>
      </w:r>
      <w:r>
        <w:t>of</w:t>
      </w:r>
      <w:r w:rsidR="0013032F">
        <w:t xml:space="preserve"> </w:t>
      </w:r>
      <w:r>
        <w:t>essential</w:t>
      </w:r>
      <w:r w:rsidR="0013032F">
        <w:t xml:space="preserve"> </w:t>
      </w:r>
      <w:r>
        <w:t>goods</w:t>
      </w:r>
      <w:r w:rsidR="0013032F">
        <w:t xml:space="preserve"> </w:t>
      </w:r>
      <w:r>
        <w:t>and</w:t>
      </w:r>
      <w:r w:rsidR="0013032F">
        <w:t xml:space="preserve"> </w:t>
      </w:r>
      <w:r>
        <w:t>support</w:t>
      </w:r>
      <w:r w:rsidR="0013032F">
        <w:t xml:space="preserve"> </w:t>
      </w:r>
      <w:r>
        <w:t>business</w:t>
      </w:r>
      <w:r w:rsidR="0013032F">
        <w:t xml:space="preserve"> </w:t>
      </w:r>
      <w:r>
        <w:t>viability</w:t>
      </w:r>
      <w:r w:rsidR="0013032F">
        <w:t xml:space="preserve"> </w:t>
      </w:r>
      <w:r>
        <w:t>and</w:t>
      </w:r>
      <w:r w:rsidR="0013032F">
        <w:t xml:space="preserve"> </w:t>
      </w:r>
      <w:r>
        <w:t>recovery.</w:t>
      </w:r>
    </w:p>
    <w:p w14:paraId="410D882D" w14:textId="6D64DDF3" w:rsidR="00757772" w:rsidRDefault="00305D3C" w:rsidP="006210C6">
      <w:pPr>
        <w:pStyle w:val="Heading1"/>
      </w:pPr>
      <w:bookmarkStart w:id="40" w:name="_Toc149566586"/>
      <w:r>
        <w:lastRenderedPageBreak/>
        <w:t>Regional</w:t>
      </w:r>
      <w:r w:rsidR="0013032F">
        <w:t xml:space="preserve"> </w:t>
      </w:r>
      <w:r>
        <w:t>report</w:t>
      </w:r>
      <w:bookmarkEnd w:id="40"/>
    </w:p>
    <w:p w14:paraId="3F2DF519" w14:textId="7CDA68EB" w:rsidR="00757772" w:rsidRDefault="00305D3C" w:rsidP="006210C6">
      <w:pPr>
        <w:pStyle w:val="Heading2"/>
      </w:pPr>
      <w:bookmarkStart w:id="41" w:name="_Toc149566587"/>
      <w:r>
        <w:t>Barwon</w:t>
      </w:r>
      <w:r w:rsidR="0013032F">
        <w:t xml:space="preserve"> </w:t>
      </w:r>
      <w:r>
        <w:t>South</w:t>
      </w:r>
      <w:r w:rsidR="0013032F">
        <w:t xml:space="preserve"> </w:t>
      </w:r>
      <w:r>
        <w:t>West</w:t>
      </w:r>
      <w:bookmarkEnd w:id="41"/>
    </w:p>
    <w:p w14:paraId="6120963F" w14:textId="7680563B" w:rsidR="00757772" w:rsidRDefault="00305D3C" w:rsidP="006210C6">
      <w:pPr>
        <w:pStyle w:val="Heading3"/>
      </w:pPr>
      <w:r>
        <w:t>Regional</w:t>
      </w:r>
      <w:r w:rsidR="0013032F">
        <w:t xml:space="preserve"> </w:t>
      </w:r>
      <w:r>
        <w:t>Director’s</w:t>
      </w:r>
      <w:r w:rsidR="0013032F">
        <w:t xml:space="preserve"> </w:t>
      </w:r>
      <w:r>
        <w:t>report</w:t>
      </w:r>
      <w:r w:rsidR="0013032F">
        <w:t xml:space="preserve"> </w:t>
      </w:r>
    </w:p>
    <w:p w14:paraId="3A30EABE" w14:textId="476BD1BB" w:rsidR="00757772" w:rsidRPr="006210C6" w:rsidRDefault="00305D3C" w:rsidP="006210C6">
      <w:r w:rsidRPr="006210C6">
        <w:t>The</w:t>
      </w:r>
      <w:r w:rsidR="0013032F" w:rsidRPr="006210C6">
        <w:t xml:space="preserve"> </w:t>
      </w:r>
      <w:r w:rsidRPr="006210C6">
        <w:t>Barwon</w:t>
      </w:r>
      <w:r w:rsidR="0013032F" w:rsidRPr="006210C6">
        <w:t xml:space="preserve"> </w:t>
      </w:r>
      <w:r w:rsidRPr="006210C6">
        <w:t>South</w:t>
      </w:r>
      <w:r w:rsidR="0013032F" w:rsidRPr="006210C6">
        <w:t xml:space="preserve"> </w:t>
      </w:r>
      <w:r w:rsidRPr="006210C6">
        <w:t>West</w:t>
      </w:r>
      <w:r w:rsidR="0013032F" w:rsidRPr="006210C6">
        <w:t xml:space="preserve"> </w:t>
      </w:r>
      <w:r w:rsidRPr="006210C6">
        <w:t>(BSW)</w:t>
      </w:r>
      <w:r w:rsidR="0013032F" w:rsidRPr="006210C6">
        <w:t xml:space="preserve"> </w:t>
      </w:r>
      <w:r w:rsidRPr="006210C6">
        <w:t>region</w:t>
      </w:r>
      <w:r w:rsidR="0013032F" w:rsidRPr="006210C6">
        <w:t xml:space="preserve"> </w:t>
      </w:r>
      <w:r w:rsidRPr="006210C6">
        <w:t>is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smallest</w:t>
      </w:r>
      <w:r w:rsidR="0013032F" w:rsidRPr="006210C6">
        <w:t xml:space="preserve"> </w:t>
      </w:r>
      <w:r w:rsidRPr="006210C6">
        <w:t>of</w:t>
      </w:r>
      <w:r w:rsidR="0013032F" w:rsidRPr="006210C6">
        <w:t xml:space="preserve"> </w:t>
      </w:r>
      <w:r w:rsidRPr="006210C6">
        <w:t>Victoria’s</w:t>
      </w:r>
      <w:r w:rsidR="0013032F" w:rsidRPr="006210C6">
        <w:t xml:space="preserve"> </w:t>
      </w:r>
      <w:r w:rsidRPr="006210C6">
        <w:t>regions</w:t>
      </w:r>
      <w:r w:rsidR="0013032F" w:rsidRPr="006210C6">
        <w:t xml:space="preserve"> </w:t>
      </w:r>
      <w:r w:rsidRPr="006210C6">
        <w:t>in</w:t>
      </w:r>
      <w:r w:rsidR="0013032F" w:rsidRPr="006210C6">
        <w:t xml:space="preserve"> </w:t>
      </w:r>
      <w:r w:rsidRPr="006210C6">
        <w:t>geographic</w:t>
      </w:r>
      <w:r w:rsidR="0013032F" w:rsidRPr="006210C6">
        <w:t xml:space="preserve"> </w:t>
      </w:r>
      <w:r w:rsidRPr="006210C6">
        <w:t>area</w:t>
      </w:r>
      <w:r w:rsidR="0013032F" w:rsidRPr="006210C6">
        <w:t xml:space="preserve"> </w:t>
      </w:r>
      <w:r w:rsidRPr="006210C6">
        <w:t>but</w:t>
      </w:r>
      <w:r w:rsidR="0013032F" w:rsidRPr="006210C6">
        <w:t xml:space="preserve"> </w:t>
      </w:r>
      <w:r w:rsidRPr="006210C6">
        <w:t>has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largest</w:t>
      </w:r>
      <w:r w:rsidR="0013032F" w:rsidRPr="006210C6">
        <w:t xml:space="preserve"> </w:t>
      </w:r>
      <w:r w:rsidRPr="006210C6">
        <w:t>population</w:t>
      </w:r>
      <w:r w:rsidR="0013032F" w:rsidRPr="006210C6">
        <w:t xml:space="preserve"> </w:t>
      </w:r>
      <w:r w:rsidRPr="006210C6">
        <w:t>of</w:t>
      </w:r>
      <w:r w:rsidR="0013032F" w:rsidRPr="006210C6">
        <w:t xml:space="preserve"> </w:t>
      </w:r>
      <w:r w:rsidRPr="006210C6">
        <w:t>445,454</w:t>
      </w:r>
      <w:r w:rsidR="0013032F" w:rsidRPr="006210C6">
        <w:t xml:space="preserve"> </w:t>
      </w:r>
      <w:r w:rsidRPr="006210C6">
        <w:t>and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largest</w:t>
      </w:r>
      <w:r w:rsidR="0013032F" w:rsidRPr="006210C6">
        <w:t xml:space="preserve"> </w:t>
      </w:r>
      <w:r w:rsidRPr="006210C6">
        <w:t>economy</w:t>
      </w:r>
      <w:r w:rsidR="0013032F" w:rsidRPr="006210C6">
        <w:t xml:space="preserve"> </w:t>
      </w:r>
      <w:r w:rsidRPr="006210C6">
        <w:t>with</w:t>
      </w:r>
      <w:r w:rsidR="0013032F" w:rsidRPr="006210C6">
        <w:t xml:space="preserve"> </w:t>
      </w:r>
      <w:r w:rsidRPr="006210C6">
        <w:t>225,535</w:t>
      </w:r>
      <w:r w:rsidR="0013032F" w:rsidRPr="006210C6">
        <w:t xml:space="preserve"> </w:t>
      </w:r>
      <w:r w:rsidRPr="006210C6">
        <w:t>jobs.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region</w:t>
      </w:r>
      <w:r w:rsidR="0013032F" w:rsidRPr="006210C6">
        <w:t xml:space="preserve"> </w:t>
      </w:r>
      <w:r w:rsidRPr="006210C6">
        <w:t>had</w:t>
      </w:r>
      <w:r w:rsidR="0013032F" w:rsidRPr="006210C6">
        <w:t xml:space="preserve"> </w:t>
      </w:r>
      <w:r w:rsidRPr="006210C6">
        <w:t>$28.0</w:t>
      </w:r>
      <w:r w:rsidR="0013032F" w:rsidRPr="006210C6">
        <w:t xml:space="preserve"> </w:t>
      </w:r>
      <w:r w:rsidRPr="006210C6">
        <w:t>billion</w:t>
      </w:r>
      <w:r w:rsidR="0013032F" w:rsidRPr="006210C6">
        <w:t xml:space="preserve"> </w:t>
      </w:r>
      <w:r w:rsidRPr="006210C6">
        <w:t>in</w:t>
      </w:r>
      <w:r w:rsidR="0013032F" w:rsidRPr="006210C6">
        <w:t xml:space="preserve"> </w:t>
      </w:r>
      <w:r w:rsidRPr="006210C6">
        <w:t>Gross</w:t>
      </w:r>
      <w:r w:rsidR="0013032F" w:rsidRPr="006210C6">
        <w:t xml:space="preserve"> </w:t>
      </w:r>
      <w:r w:rsidRPr="006210C6">
        <w:t>Regional</w:t>
      </w:r>
      <w:r w:rsidR="0013032F" w:rsidRPr="006210C6">
        <w:t xml:space="preserve"> </w:t>
      </w:r>
      <w:r w:rsidRPr="006210C6">
        <w:t>Product</w:t>
      </w:r>
      <w:r w:rsidR="0013032F" w:rsidRPr="006210C6">
        <w:t xml:space="preserve"> </w:t>
      </w:r>
      <w:r w:rsidRPr="006210C6">
        <w:t>in</w:t>
      </w:r>
      <w:r w:rsidR="0013032F" w:rsidRPr="006210C6">
        <w:t xml:space="preserve"> </w:t>
      </w:r>
      <w:r w:rsidRPr="006210C6">
        <w:t>2022.</w:t>
      </w:r>
    </w:p>
    <w:p w14:paraId="01AA5E88" w14:textId="70AF1A32" w:rsidR="00757772" w:rsidRPr="006210C6" w:rsidRDefault="00305D3C" w:rsidP="006210C6">
      <w:r w:rsidRPr="006210C6">
        <w:t>In</w:t>
      </w:r>
      <w:r w:rsidR="0013032F" w:rsidRPr="006210C6">
        <w:t xml:space="preserve"> </w:t>
      </w:r>
      <w:r w:rsidRPr="006210C6">
        <w:t>2022–23,</w:t>
      </w:r>
      <w:r w:rsidR="0013032F" w:rsidRPr="006210C6">
        <w:t xml:space="preserve"> </w:t>
      </w:r>
      <w:r w:rsidRPr="006210C6">
        <w:t>RDV</w:t>
      </w:r>
      <w:r w:rsidR="0013032F" w:rsidRPr="006210C6">
        <w:t xml:space="preserve"> </w:t>
      </w:r>
      <w:r w:rsidRPr="006210C6">
        <w:t>Barwon</w:t>
      </w:r>
      <w:r w:rsidR="0013032F" w:rsidRPr="006210C6">
        <w:t xml:space="preserve"> </w:t>
      </w:r>
      <w:r w:rsidRPr="006210C6">
        <w:t>South</w:t>
      </w:r>
      <w:r w:rsidR="0013032F" w:rsidRPr="006210C6">
        <w:t xml:space="preserve"> </w:t>
      </w:r>
      <w:r w:rsidRPr="006210C6">
        <w:t>West</w:t>
      </w:r>
      <w:r w:rsidR="0013032F" w:rsidRPr="006210C6">
        <w:t xml:space="preserve"> </w:t>
      </w:r>
      <w:r w:rsidRPr="006210C6">
        <w:t>worked</w:t>
      </w:r>
      <w:r w:rsidR="0013032F" w:rsidRPr="006210C6">
        <w:t xml:space="preserve"> </w:t>
      </w:r>
      <w:r w:rsidRPr="006210C6">
        <w:t>with</w:t>
      </w:r>
      <w:r w:rsidR="0013032F" w:rsidRPr="006210C6">
        <w:t xml:space="preserve"> </w:t>
      </w:r>
      <w:r w:rsidRPr="006210C6">
        <w:t>regional</w:t>
      </w:r>
      <w:r w:rsidR="0013032F" w:rsidRPr="006210C6">
        <w:t xml:space="preserve"> </w:t>
      </w:r>
      <w:r w:rsidRPr="006210C6">
        <w:t>businesses</w:t>
      </w:r>
      <w:r w:rsidR="0013032F" w:rsidRPr="006210C6">
        <w:t xml:space="preserve"> </w:t>
      </w:r>
      <w:r w:rsidRPr="006210C6">
        <w:t>to</w:t>
      </w:r>
      <w:r w:rsidR="0013032F" w:rsidRPr="006210C6">
        <w:t xml:space="preserve"> </w:t>
      </w:r>
      <w:r w:rsidRPr="006210C6">
        <w:t>help</w:t>
      </w:r>
      <w:r w:rsidR="0013032F" w:rsidRPr="006210C6">
        <w:t xml:space="preserve"> </w:t>
      </w:r>
      <w:r w:rsidRPr="006210C6">
        <w:t>create</w:t>
      </w:r>
      <w:r w:rsidR="0013032F" w:rsidRPr="006210C6">
        <w:t xml:space="preserve"> </w:t>
      </w:r>
      <w:r w:rsidRPr="006210C6">
        <w:t>171</w:t>
      </w:r>
      <w:r w:rsidR="0013032F" w:rsidRPr="006210C6">
        <w:t xml:space="preserve"> </w:t>
      </w:r>
      <w:r w:rsidRPr="006210C6">
        <w:t>jobs</w:t>
      </w:r>
      <w:r w:rsidR="0013032F" w:rsidRPr="006210C6">
        <w:t xml:space="preserve"> </w:t>
      </w:r>
      <w:r w:rsidRPr="006210C6">
        <w:t>and</w:t>
      </w:r>
      <w:r w:rsidR="0013032F" w:rsidRPr="006210C6">
        <w:t xml:space="preserve"> </w:t>
      </w:r>
      <w:r w:rsidRPr="006210C6">
        <w:t>generate</w:t>
      </w:r>
      <w:r w:rsidR="0013032F" w:rsidRPr="006210C6">
        <w:t xml:space="preserve"> </w:t>
      </w:r>
      <w:r w:rsidRPr="006210C6">
        <w:t>almost</w:t>
      </w:r>
      <w:r w:rsidR="0013032F" w:rsidRPr="006210C6">
        <w:t xml:space="preserve"> </w:t>
      </w:r>
      <w:r w:rsidRPr="006210C6">
        <w:t>$96</w:t>
      </w:r>
      <w:r w:rsidR="0013032F" w:rsidRPr="006210C6">
        <w:t xml:space="preserve"> </w:t>
      </w:r>
      <w:r w:rsidRPr="006210C6">
        <w:t>million</w:t>
      </w:r>
      <w:r w:rsidR="0013032F" w:rsidRPr="006210C6">
        <w:t xml:space="preserve"> </w:t>
      </w:r>
      <w:r w:rsidRPr="006210C6">
        <w:t>in</w:t>
      </w:r>
      <w:r w:rsidR="0013032F" w:rsidRPr="006210C6">
        <w:t xml:space="preserve"> </w:t>
      </w:r>
      <w:r w:rsidRPr="006210C6">
        <w:t>investment.</w:t>
      </w:r>
    </w:p>
    <w:p w14:paraId="7FF94345" w14:textId="0730BE67" w:rsidR="00757772" w:rsidRPr="006210C6" w:rsidRDefault="00305D3C" w:rsidP="006210C6">
      <w:r w:rsidRPr="006210C6">
        <w:t>The</w:t>
      </w:r>
      <w:r w:rsidR="0013032F" w:rsidRPr="006210C6">
        <w:t xml:space="preserve"> </w:t>
      </w:r>
      <w:r w:rsidRPr="006210C6">
        <w:t>Portland</w:t>
      </w:r>
      <w:r w:rsidR="0013032F" w:rsidRPr="006210C6">
        <w:t xml:space="preserve"> </w:t>
      </w:r>
      <w:r w:rsidRPr="006210C6">
        <w:t>office</w:t>
      </w:r>
      <w:r w:rsidR="0013032F" w:rsidRPr="006210C6">
        <w:t xml:space="preserve"> </w:t>
      </w:r>
      <w:r w:rsidRPr="006210C6">
        <w:t>continued</w:t>
      </w:r>
      <w:r w:rsidR="0013032F" w:rsidRPr="006210C6">
        <w:t xml:space="preserve"> </w:t>
      </w:r>
      <w:r w:rsidRPr="006210C6">
        <w:t>to</w:t>
      </w:r>
      <w:r w:rsidR="0013032F" w:rsidRPr="006210C6">
        <w:t xml:space="preserve"> </w:t>
      </w:r>
      <w:r w:rsidRPr="006210C6">
        <w:t>work</w:t>
      </w:r>
      <w:r w:rsidR="0013032F" w:rsidRPr="006210C6">
        <w:t xml:space="preserve"> </w:t>
      </w:r>
      <w:r w:rsidRPr="006210C6">
        <w:t>closely</w:t>
      </w:r>
      <w:r w:rsidR="0013032F" w:rsidRPr="006210C6">
        <w:t xml:space="preserve"> </w:t>
      </w:r>
      <w:r w:rsidRPr="006210C6">
        <w:t>with</w:t>
      </w:r>
      <w:r w:rsidR="0013032F" w:rsidRPr="006210C6">
        <w:t xml:space="preserve"> </w:t>
      </w:r>
      <w:r w:rsidRPr="006210C6">
        <w:t>industry</w:t>
      </w:r>
      <w:r w:rsidR="0013032F" w:rsidRPr="006210C6">
        <w:t xml:space="preserve"> </w:t>
      </w:r>
      <w:r w:rsidRPr="006210C6">
        <w:t>and</w:t>
      </w:r>
      <w:r w:rsidR="0013032F" w:rsidRPr="006210C6">
        <w:t xml:space="preserve"> </w:t>
      </w:r>
      <w:r w:rsidRPr="006210C6">
        <w:t>government</w:t>
      </w:r>
      <w:r w:rsidR="0013032F" w:rsidRPr="006210C6">
        <w:t xml:space="preserve"> </w:t>
      </w:r>
      <w:r w:rsidRPr="006210C6">
        <w:t>agencies</w:t>
      </w:r>
      <w:r w:rsidR="0013032F" w:rsidRPr="006210C6">
        <w:t xml:space="preserve"> </w:t>
      </w:r>
      <w:r w:rsidRPr="006210C6">
        <w:t>to</w:t>
      </w:r>
      <w:r w:rsidR="0013032F" w:rsidRPr="006210C6">
        <w:t xml:space="preserve"> </w:t>
      </w:r>
      <w:r w:rsidRPr="006210C6">
        <w:t>identify</w:t>
      </w:r>
      <w:r w:rsidR="0013032F" w:rsidRPr="006210C6">
        <w:t xml:space="preserve"> </w:t>
      </w:r>
      <w:r w:rsidRPr="006210C6">
        <w:t>and</w:t>
      </w:r>
      <w:r w:rsidR="0013032F" w:rsidRPr="006210C6">
        <w:t xml:space="preserve"> </w:t>
      </w:r>
      <w:r w:rsidRPr="006210C6">
        <w:t>deliver</w:t>
      </w:r>
      <w:r w:rsidR="0013032F" w:rsidRPr="006210C6">
        <w:t xml:space="preserve"> </w:t>
      </w:r>
      <w:r w:rsidRPr="006210C6">
        <w:t>initiatives</w:t>
      </w:r>
      <w:r w:rsidR="0013032F" w:rsidRPr="006210C6">
        <w:t xml:space="preserve"> </w:t>
      </w:r>
      <w:r w:rsidRPr="006210C6">
        <w:t>to</w:t>
      </w:r>
      <w:r w:rsidR="0013032F" w:rsidRPr="006210C6">
        <w:t xml:space="preserve"> </w:t>
      </w:r>
      <w:r w:rsidRPr="006210C6">
        <w:t>support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region.</w:t>
      </w:r>
      <w:r w:rsidR="0013032F" w:rsidRPr="006210C6">
        <w:t xml:space="preserve"> </w:t>
      </w:r>
      <w:r w:rsidRPr="006210C6">
        <w:t>This</w:t>
      </w:r>
      <w:r w:rsidR="0013032F" w:rsidRPr="006210C6">
        <w:t xml:space="preserve"> </w:t>
      </w:r>
      <w:r w:rsidRPr="006210C6">
        <w:t>included</w:t>
      </w:r>
      <w:r w:rsidR="0013032F" w:rsidRPr="006210C6">
        <w:t xml:space="preserve"> </w:t>
      </w:r>
      <w:r w:rsidRPr="006210C6">
        <w:t>support</w:t>
      </w:r>
      <w:r w:rsidR="0013032F" w:rsidRPr="006210C6">
        <w:t xml:space="preserve"> </w:t>
      </w:r>
      <w:r w:rsidRPr="006210C6">
        <w:t>for</w:t>
      </w:r>
      <w:r w:rsidR="0013032F" w:rsidRPr="006210C6">
        <w:t xml:space="preserve"> </w:t>
      </w:r>
      <w:r w:rsidRPr="006210C6">
        <w:t>regio</w:t>
      </w:r>
      <w:r w:rsidRPr="006210C6">
        <w:t>nal</w:t>
      </w:r>
      <w:r w:rsidR="0013032F" w:rsidRPr="006210C6">
        <w:t xml:space="preserve"> </w:t>
      </w:r>
      <w:r w:rsidRPr="006210C6">
        <w:t>manufacturer</w:t>
      </w:r>
      <w:r w:rsidR="0013032F" w:rsidRPr="006210C6">
        <w:t xml:space="preserve"> </w:t>
      </w:r>
      <w:proofErr w:type="spellStart"/>
      <w:r w:rsidRPr="006210C6">
        <w:t>FormFlow</w:t>
      </w:r>
      <w:proofErr w:type="spellEnd"/>
      <w:r w:rsidR="0013032F" w:rsidRPr="006210C6">
        <w:t xml:space="preserve"> </w:t>
      </w:r>
      <w:r w:rsidRPr="006210C6">
        <w:t>to</w:t>
      </w:r>
      <w:r w:rsidR="0013032F" w:rsidRPr="006210C6">
        <w:t xml:space="preserve"> </w:t>
      </w:r>
      <w:r w:rsidRPr="006210C6">
        <w:t>establish</w:t>
      </w:r>
      <w:r w:rsidR="0013032F" w:rsidRPr="006210C6">
        <w:t xml:space="preserve"> </w:t>
      </w:r>
      <w:r w:rsidRPr="006210C6">
        <w:t>a</w:t>
      </w:r>
      <w:r w:rsidR="0013032F" w:rsidRPr="006210C6">
        <w:t xml:space="preserve"> </w:t>
      </w:r>
      <w:r w:rsidRPr="006210C6">
        <w:t>facility</w:t>
      </w:r>
      <w:r w:rsidR="0013032F" w:rsidRPr="006210C6">
        <w:t xml:space="preserve"> </w:t>
      </w:r>
      <w:r w:rsidRPr="006210C6">
        <w:t>to</w:t>
      </w:r>
      <w:r w:rsidR="0013032F" w:rsidRPr="006210C6">
        <w:t xml:space="preserve"> </w:t>
      </w:r>
      <w:r w:rsidRPr="006210C6">
        <w:t>build</w:t>
      </w:r>
      <w:r w:rsidR="0013032F" w:rsidRPr="006210C6">
        <w:t xml:space="preserve"> </w:t>
      </w:r>
      <w:r w:rsidRPr="006210C6">
        <w:t>relocatable</w:t>
      </w:r>
      <w:r w:rsidR="0013032F" w:rsidRPr="006210C6">
        <w:t xml:space="preserve"> </w:t>
      </w:r>
      <w:r w:rsidRPr="006210C6">
        <w:t>houses</w:t>
      </w:r>
      <w:r w:rsidR="0013032F" w:rsidRPr="006210C6">
        <w:t xml:space="preserve"> </w:t>
      </w:r>
      <w:r w:rsidRPr="006210C6">
        <w:t>to</w:t>
      </w:r>
      <w:r w:rsidR="0013032F" w:rsidRPr="006210C6">
        <w:t xml:space="preserve"> </w:t>
      </w:r>
      <w:r w:rsidRPr="006210C6">
        <w:t>address</w:t>
      </w:r>
      <w:r w:rsidR="0013032F" w:rsidRPr="006210C6">
        <w:t xml:space="preserve"> </w:t>
      </w:r>
      <w:r w:rsidRPr="006210C6">
        <w:t>regional</w:t>
      </w:r>
      <w:r w:rsidR="0013032F" w:rsidRPr="006210C6">
        <w:t xml:space="preserve"> </w:t>
      </w:r>
      <w:r w:rsidRPr="006210C6">
        <w:t>housing</w:t>
      </w:r>
      <w:r w:rsidR="0013032F" w:rsidRPr="006210C6">
        <w:t xml:space="preserve"> </w:t>
      </w:r>
      <w:r w:rsidRPr="006210C6">
        <w:t>challenges.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office</w:t>
      </w:r>
      <w:r w:rsidR="0013032F" w:rsidRPr="006210C6">
        <w:t xml:space="preserve"> </w:t>
      </w:r>
      <w:r w:rsidRPr="006210C6">
        <w:t>also</w:t>
      </w:r>
      <w:r w:rsidR="0013032F" w:rsidRPr="006210C6">
        <w:t xml:space="preserve"> </w:t>
      </w:r>
      <w:r w:rsidRPr="006210C6">
        <w:t>hosted</w:t>
      </w:r>
      <w:r w:rsidR="0013032F" w:rsidRPr="006210C6">
        <w:t xml:space="preserve"> </w:t>
      </w:r>
      <w:r w:rsidRPr="006210C6">
        <w:t>staff</w:t>
      </w:r>
      <w:r w:rsidR="0013032F" w:rsidRPr="006210C6">
        <w:t xml:space="preserve"> </w:t>
      </w:r>
      <w:r w:rsidRPr="006210C6">
        <w:t>from</w:t>
      </w:r>
      <w:r w:rsidR="0013032F" w:rsidRPr="006210C6">
        <w:t xml:space="preserve"> </w:t>
      </w:r>
      <w:r w:rsidRPr="006210C6">
        <w:t>Glenelg</w:t>
      </w:r>
      <w:r w:rsidR="0013032F" w:rsidRPr="006210C6">
        <w:t xml:space="preserve"> </w:t>
      </w:r>
      <w:r w:rsidRPr="006210C6">
        <w:t>Shire</w:t>
      </w:r>
      <w:r w:rsidR="0013032F" w:rsidRPr="006210C6">
        <w:t xml:space="preserve"> </w:t>
      </w:r>
      <w:r w:rsidRPr="006210C6">
        <w:t>Council</w:t>
      </w:r>
      <w:r w:rsidR="0013032F" w:rsidRPr="006210C6">
        <w:t xml:space="preserve"> </w:t>
      </w:r>
      <w:r w:rsidRPr="006210C6">
        <w:t>during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year</w:t>
      </w:r>
      <w:r w:rsidR="0013032F" w:rsidRPr="006210C6">
        <w:t xml:space="preserve"> </w:t>
      </w:r>
      <w:r w:rsidRPr="006210C6">
        <w:t>after</w:t>
      </w:r>
      <w:r w:rsidR="0013032F" w:rsidRPr="006210C6">
        <w:t xml:space="preserve"> </w:t>
      </w:r>
      <w:r w:rsidRPr="006210C6">
        <w:t>significant</w:t>
      </w:r>
      <w:r w:rsidR="0013032F" w:rsidRPr="006210C6">
        <w:t xml:space="preserve"> </w:t>
      </w:r>
      <w:r w:rsidRPr="006210C6">
        <w:t>storm</w:t>
      </w:r>
      <w:r w:rsidR="0013032F" w:rsidRPr="006210C6">
        <w:t xml:space="preserve"> </w:t>
      </w:r>
      <w:r w:rsidRPr="006210C6">
        <w:t>damage</w:t>
      </w:r>
      <w:r w:rsidR="0013032F" w:rsidRPr="006210C6">
        <w:t xml:space="preserve"> </w:t>
      </w:r>
      <w:r w:rsidRPr="006210C6">
        <w:t>to</w:t>
      </w:r>
      <w:r w:rsidR="0013032F" w:rsidRPr="006210C6">
        <w:t xml:space="preserve"> </w:t>
      </w:r>
      <w:r w:rsidRPr="006210C6">
        <w:t>Glenelg</w:t>
      </w:r>
      <w:r w:rsidR="0013032F" w:rsidRPr="006210C6">
        <w:t xml:space="preserve"> </w:t>
      </w:r>
      <w:r w:rsidRPr="006210C6">
        <w:t>Shire’s</w:t>
      </w:r>
      <w:r w:rsidR="0013032F" w:rsidRPr="006210C6">
        <w:t xml:space="preserve"> </w:t>
      </w:r>
      <w:r w:rsidRPr="006210C6">
        <w:t>head</w:t>
      </w:r>
      <w:r w:rsidR="0013032F" w:rsidRPr="006210C6">
        <w:t xml:space="preserve"> </w:t>
      </w:r>
      <w:r w:rsidRPr="006210C6">
        <w:t>office.</w:t>
      </w:r>
    </w:p>
    <w:p w14:paraId="1896B34B" w14:textId="3ECE3B8B" w:rsidR="00757772" w:rsidRPr="006210C6" w:rsidRDefault="00305D3C" w:rsidP="006210C6">
      <w:r w:rsidRPr="006210C6">
        <w:t>We</w:t>
      </w:r>
      <w:r w:rsidR="0013032F" w:rsidRPr="006210C6">
        <w:t xml:space="preserve"> </w:t>
      </w:r>
      <w:r w:rsidRPr="006210C6">
        <w:t>worked</w:t>
      </w:r>
      <w:r w:rsidR="0013032F" w:rsidRPr="006210C6">
        <w:t xml:space="preserve"> </w:t>
      </w:r>
      <w:r w:rsidRPr="006210C6">
        <w:t>in</w:t>
      </w:r>
      <w:r w:rsidR="0013032F" w:rsidRPr="006210C6">
        <w:t xml:space="preserve"> </w:t>
      </w:r>
      <w:r w:rsidRPr="006210C6">
        <w:t>partnership</w:t>
      </w:r>
      <w:r w:rsidR="0013032F" w:rsidRPr="006210C6">
        <w:t xml:space="preserve"> </w:t>
      </w:r>
      <w:r w:rsidRPr="006210C6">
        <w:t>with</w:t>
      </w:r>
      <w:r w:rsidR="0013032F" w:rsidRPr="006210C6">
        <w:t xml:space="preserve"> </w:t>
      </w:r>
      <w:proofErr w:type="spellStart"/>
      <w:r w:rsidRPr="006210C6">
        <w:t>Gunditjmara</w:t>
      </w:r>
      <w:proofErr w:type="spellEnd"/>
      <w:r w:rsidR="0013032F" w:rsidRPr="006210C6">
        <w:t xml:space="preserve"> </w:t>
      </w:r>
      <w:r w:rsidRPr="006210C6">
        <w:t>Traditional</w:t>
      </w:r>
      <w:r w:rsidR="0013032F" w:rsidRPr="006210C6">
        <w:t xml:space="preserve"> </w:t>
      </w:r>
      <w:r w:rsidRPr="006210C6">
        <w:t>Owners</w:t>
      </w:r>
      <w:r w:rsidR="0013032F" w:rsidRPr="006210C6">
        <w:t xml:space="preserve"> </w:t>
      </w:r>
      <w:r w:rsidRPr="006210C6">
        <w:t>on</w:t>
      </w:r>
      <w:r w:rsidR="0013032F" w:rsidRPr="006210C6">
        <w:t xml:space="preserve"> </w:t>
      </w:r>
      <w:r w:rsidRPr="006210C6">
        <w:t>significant</w:t>
      </w:r>
      <w:r w:rsidR="0013032F" w:rsidRPr="006210C6">
        <w:t xml:space="preserve"> </w:t>
      </w:r>
      <w:r w:rsidRPr="006210C6">
        <w:t>projects</w:t>
      </w:r>
      <w:r w:rsidR="0013032F" w:rsidRPr="006210C6">
        <w:t xml:space="preserve"> </w:t>
      </w:r>
      <w:r w:rsidRPr="006210C6">
        <w:t>to</w:t>
      </w:r>
      <w:r w:rsidR="0013032F" w:rsidRPr="006210C6">
        <w:t xml:space="preserve"> </w:t>
      </w:r>
      <w:r w:rsidRPr="006210C6">
        <w:t>develop</w:t>
      </w:r>
      <w:r w:rsidR="0013032F" w:rsidRPr="006210C6">
        <w:t xml:space="preserve"> </w:t>
      </w:r>
      <w:r w:rsidRPr="006210C6">
        <w:t>and</w:t>
      </w:r>
      <w:r w:rsidR="0013032F" w:rsidRPr="006210C6">
        <w:t xml:space="preserve"> </w:t>
      </w:r>
      <w:r w:rsidRPr="006210C6">
        <w:t>protect</w:t>
      </w:r>
      <w:r w:rsidR="0013032F" w:rsidRPr="006210C6">
        <w:t xml:space="preserve"> </w:t>
      </w:r>
      <w:r w:rsidRPr="006210C6">
        <w:t>cultural</w:t>
      </w:r>
      <w:r w:rsidR="0013032F" w:rsidRPr="006210C6">
        <w:t xml:space="preserve"> </w:t>
      </w:r>
      <w:r w:rsidRPr="006210C6">
        <w:t>landscapes</w:t>
      </w:r>
      <w:r w:rsidR="0013032F" w:rsidRPr="006210C6">
        <w:t xml:space="preserve"> </w:t>
      </w:r>
      <w:r w:rsidRPr="006210C6">
        <w:t>at</w:t>
      </w:r>
      <w:r w:rsidR="0013032F" w:rsidRPr="006210C6">
        <w:t xml:space="preserve"> </w:t>
      </w:r>
      <w:proofErr w:type="spellStart"/>
      <w:r w:rsidRPr="006210C6">
        <w:t>Budj</w:t>
      </w:r>
      <w:proofErr w:type="spellEnd"/>
      <w:r w:rsidR="0013032F" w:rsidRPr="006210C6">
        <w:t xml:space="preserve"> </w:t>
      </w:r>
      <w:proofErr w:type="spellStart"/>
      <w:r w:rsidRPr="006210C6">
        <w:t>Bim</w:t>
      </w:r>
      <w:proofErr w:type="spellEnd"/>
      <w:r w:rsidR="0013032F" w:rsidRPr="006210C6">
        <w:t xml:space="preserve"> </w:t>
      </w:r>
      <w:r w:rsidRPr="006210C6">
        <w:t>and</w:t>
      </w:r>
      <w:r w:rsidR="0013032F" w:rsidRPr="006210C6">
        <w:t xml:space="preserve"> </w:t>
      </w:r>
      <w:r w:rsidRPr="006210C6">
        <w:t>Tower</w:t>
      </w:r>
      <w:r w:rsidR="0013032F" w:rsidRPr="006210C6">
        <w:t xml:space="preserve"> </w:t>
      </w:r>
      <w:r w:rsidRPr="006210C6">
        <w:t>Hill.</w:t>
      </w:r>
      <w:r w:rsidR="0013032F" w:rsidRPr="006210C6">
        <w:t xml:space="preserve"> </w:t>
      </w:r>
      <w:r w:rsidRPr="006210C6">
        <w:t>We</w:t>
      </w:r>
      <w:r w:rsidR="0013032F" w:rsidRPr="006210C6">
        <w:t xml:space="preserve"> </w:t>
      </w:r>
      <w:r w:rsidRPr="006210C6">
        <w:t>are</w:t>
      </w:r>
      <w:r w:rsidR="0013032F" w:rsidRPr="006210C6">
        <w:t xml:space="preserve"> </w:t>
      </w:r>
      <w:r w:rsidRPr="006210C6">
        <w:t>supporting</w:t>
      </w:r>
      <w:r w:rsidR="0013032F" w:rsidRPr="006210C6">
        <w:t xml:space="preserve"> </w:t>
      </w:r>
      <w:proofErr w:type="spellStart"/>
      <w:r w:rsidRPr="006210C6">
        <w:t>Wadawurrung</w:t>
      </w:r>
      <w:proofErr w:type="spellEnd"/>
      <w:r w:rsidR="0013032F" w:rsidRPr="006210C6">
        <w:t xml:space="preserve"> </w:t>
      </w:r>
      <w:r w:rsidRPr="006210C6">
        <w:t>Traditional</w:t>
      </w:r>
      <w:r w:rsidR="0013032F" w:rsidRPr="006210C6">
        <w:t xml:space="preserve"> </w:t>
      </w:r>
      <w:r w:rsidRPr="006210C6">
        <w:t>Owners</w:t>
      </w:r>
      <w:r w:rsidR="0013032F" w:rsidRPr="006210C6">
        <w:t xml:space="preserve"> </w:t>
      </w:r>
      <w:r w:rsidRPr="006210C6">
        <w:t>to</w:t>
      </w:r>
      <w:r w:rsidR="0013032F" w:rsidRPr="006210C6">
        <w:t xml:space="preserve"> </w:t>
      </w:r>
      <w:r w:rsidRPr="006210C6">
        <w:t>assess</w:t>
      </w:r>
      <w:r w:rsidR="0013032F" w:rsidRPr="006210C6">
        <w:t xml:space="preserve"> </w:t>
      </w:r>
      <w:r w:rsidRPr="006210C6">
        <w:t>their</w:t>
      </w:r>
      <w:r w:rsidR="0013032F" w:rsidRPr="006210C6">
        <w:t xml:space="preserve"> </w:t>
      </w:r>
      <w:r w:rsidRPr="006210C6">
        <w:t>cultural</w:t>
      </w:r>
      <w:r w:rsidR="0013032F" w:rsidRPr="006210C6">
        <w:t xml:space="preserve"> </w:t>
      </w:r>
      <w:r w:rsidRPr="006210C6">
        <w:t>assets</w:t>
      </w:r>
      <w:r w:rsidR="0013032F" w:rsidRPr="006210C6">
        <w:t xml:space="preserve"> </w:t>
      </w:r>
      <w:r w:rsidRPr="006210C6">
        <w:t>and</w:t>
      </w:r>
      <w:r w:rsidR="0013032F" w:rsidRPr="006210C6">
        <w:t xml:space="preserve"> </w:t>
      </w:r>
      <w:r w:rsidRPr="006210C6">
        <w:t>develop</w:t>
      </w:r>
      <w:r w:rsidR="0013032F" w:rsidRPr="006210C6">
        <w:t xml:space="preserve"> </w:t>
      </w:r>
      <w:r w:rsidRPr="006210C6">
        <w:t>a</w:t>
      </w:r>
      <w:r w:rsidR="0013032F" w:rsidRPr="006210C6">
        <w:t xml:space="preserve"> </w:t>
      </w:r>
      <w:r w:rsidRPr="006210C6">
        <w:t>cultural</w:t>
      </w:r>
      <w:r w:rsidR="0013032F" w:rsidRPr="006210C6">
        <w:t xml:space="preserve"> </w:t>
      </w:r>
      <w:r w:rsidRPr="006210C6">
        <w:t>tourism</w:t>
      </w:r>
      <w:r w:rsidR="0013032F" w:rsidRPr="006210C6">
        <w:t xml:space="preserve"> </w:t>
      </w:r>
      <w:r w:rsidRPr="006210C6">
        <w:t>plan.</w:t>
      </w:r>
      <w:r w:rsidR="0013032F" w:rsidRPr="006210C6">
        <w:t xml:space="preserve"> </w:t>
      </w:r>
      <w:r w:rsidRPr="006210C6">
        <w:t>We</w:t>
      </w:r>
      <w:r w:rsidR="0013032F" w:rsidRPr="006210C6">
        <w:t xml:space="preserve"> </w:t>
      </w:r>
      <w:r w:rsidRPr="006210C6">
        <w:t>also</w:t>
      </w:r>
      <w:r w:rsidR="0013032F" w:rsidRPr="006210C6">
        <w:t xml:space="preserve"> </w:t>
      </w:r>
      <w:r w:rsidRPr="006210C6">
        <w:t>continued</w:t>
      </w:r>
      <w:r w:rsidR="0013032F" w:rsidRPr="006210C6">
        <w:t xml:space="preserve"> </w:t>
      </w:r>
      <w:r w:rsidRPr="006210C6">
        <w:t>to</w:t>
      </w:r>
      <w:r w:rsidR="0013032F" w:rsidRPr="006210C6">
        <w:t xml:space="preserve"> </w:t>
      </w:r>
      <w:r w:rsidRPr="006210C6">
        <w:t>support</w:t>
      </w:r>
      <w:r w:rsidR="0013032F" w:rsidRPr="006210C6">
        <w:t xml:space="preserve"> </w:t>
      </w:r>
      <w:r w:rsidRPr="006210C6">
        <w:t>and</w:t>
      </w:r>
      <w:r w:rsidR="0013032F" w:rsidRPr="006210C6">
        <w:t xml:space="preserve"> </w:t>
      </w:r>
      <w:r w:rsidRPr="006210C6">
        <w:t>promote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work</w:t>
      </w:r>
      <w:r w:rsidR="0013032F" w:rsidRPr="006210C6">
        <w:t xml:space="preserve"> </w:t>
      </w:r>
      <w:r w:rsidRPr="006210C6">
        <w:t>of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Geelong</w:t>
      </w:r>
      <w:r w:rsidR="0013032F" w:rsidRPr="006210C6">
        <w:t xml:space="preserve"> </w:t>
      </w:r>
      <w:r w:rsidRPr="006210C6">
        <w:t>Aboriginal</w:t>
      </w:r>
      <w:r w:rsidR="0013032F" w:rsidRPr="006210C6">
        <w:t xml:space="preserve"> </w:t>
      </w:r>
      <w:r w:rsidRPr="006210C6">
        <w:t>Employment</w:t>
      </w:r>
      <w:r w:rsidR="0013032F" w:rsidRPr="006210C6">
        <w:t xml:space="preserve"> </w:t>
      </w:r>
      <w:r w:rsidRPr="006210C6">
        <w:t>Taskforce</w:t>
      </w:r>
      <w:r w:rsidR="0013032F" w:rsidRPr="006210C6">
        <w:t xml:space="preserve"> </w:t>
      </w:r>
      <w:r w:rsidRPr="006210C6">
        <w:t>which</w:t>
      </w:r>
      <w:r w:rsidR="0013032F" w:rsidRPr="006210C6">
        <w:t xml:space="preserve"> </w:t>
      </w:r>
      <w:r w:rsidRPr="006210C6">
        <w:t>brings</w:t>
      </w:r>
      <w:r w:rsidR="0013032F" w:rsidRPr="006210C6">
        <w:t xml:space="preserve"> </w:t>
      </w:r>
      <w:r w:rsidRPr="006210C6">
        <w:t>together</w:t>
      </w:r>
      <w:r w:rsidR="0013032F" w:rsidRPr="006210C6">
        <w:t xml:space="preserve"> </w:t>
      </w:r>
      <w:r w:rsidRPr="006210C6">
        <w:t>local</w:t>
      </w:r>
      <w:r w:rsidR="0013032F" w:rsidRPr="006210C6">
        <w:t xml:space="preserve"> </w:t>
      </w:r>
      <w:r w:rsidRPr="006210C6">
        <w:t>Aboriginal</w:t>
      </w:r>
      <w:r w:rsidR="0013032F" w:rsidRPr="006210C6">
        <w:t xml:space="preserve"> </w:t>
      </w:r>
      <w:r w:rsidRPr="006210C6">
        <w:t>community</w:t>
      </w:r>
      <w:r w:rsidR="0013032F" w:rsidRPr="006210C6">
        <w:t xml:space="preserve"> </w:t>
      </w:r>
      <w:r w:rsidRPr="006210C6">
        <w:t>representatives,</w:t>
      </w:r>
      <w:r w:rsidR="0013032F" w:rsidRPr="006210C6">
        <w:t xml:space="preserve"> </w:t>
      </w:r>
      <w:r w:rsidRPr="006210C6">
        <w:t>employer</w:t>
      </w:r>
      <w:r w:rsidR="0013032F" w:rsidRPr="006210C6">
        <w:t xml:space="preserve"> </w:t>
      </w:r>
      <w:r w:rsidRPr="006210C6">
        <w:t>groups</w:t>
      </w:r>
      <w:r w:rsidR="0013032F" w:rsidRPr="006210C6">
        <w:t xml:space="preserve"> </w:t>
      </w:r>
      <w:r w:rsidRPr="006210C6">
        <w:t>and</w:t>
      </w:r>
      <w:r w:rsidR="0013032F" w:rsidRPr="006210C6">
        <w:t xml:space="preserve"> </w:t>
      </w:r>
      <w:r w:rsidRPr="006210C6">
        <w:t>businesses</w:t>
      </w:r>
      <w:r w:rsidR="0013032F" w:rsidRPr="006210C6">
        <w:t xml:space="preserve"> </w:t>
      </w:r>
      <w:r w:rsidRPr="006210C6">
        <w:t>to</w:t>
      </w:r>
      <w:r w:rsidR="0013032F" w:rsidRPr="006210C6">
        <w:t xml:space="preserve"> </w:t>
      </w:r>
      <w:r w:rsidRPr="006210C6">
        <w:t>drive</w:t>
      </w:r>
      <w:r w:rsidR="0013032F" w:rsidRPr="006210C6">
        <w:t xml:space="preserve"> </w:t>
      </w:r>
      <w:r w:rsidRPr="006210C6">
        <w:t>better</w:t>
      </w:r>
      <w:r w:rsidR="0013032F" w:rsidRPr="006210C6">
        <w:t xml:space="preserve"> </w:t>
      </w:r>
      <w:r w:rsidRPr="006210C6">
        <w:t>employment</w:t>
      </w:r>
      <w:r w:rsidR="0013032F" w:rsidRPr="006210C6">
        <w:t xml:space="preserve"> </w:t>
      </w:r>
      <w:r w:rsidRPr="006210C6">
        <w:t>outcomes</w:t>
      </w:r>
      <w:r w:rsidR="0013032F" w:rsidRPr="006210C6">
        <w:t xml:space="preserve"> </w:t>
      </w:r>
      <w:r w:rsidRPr="006210C6">
        <w:t>for</w:t>
      </w:r>
      <w:r w:rsidR="0013032F" w:rsidRPr="006210C6">
        <w:t xml:space="preserve"> </w:t>
      </w:r>
      <w:r w:rsidRPr="006210C6">
        <w:t>Aboriginal</w:t>
      </w:r>
      <w:r w:rsidR="0013032F" w:rsidRPr="006210C6">
        <w:t xml:space="preserve"> </w:t>
      </w:r>
      <w:r w:rsidRPr="006210C6">
        <w:t>people.</w:t>
      </w:r>
    </w:p>
    <w:p w14:paraId="1F6FB4CF" w14:textId="7C815652" w:rsidR="00757772" w:rsidRPr="006210C6" w:rsidRDefault="00305D3C" w:rsidP="006210C6">
      <w:r w:rsidRPr="006210C6">
        <w:t>The</w:t>
      </w:r>
      <w:r w:rsidR="0013032F" w:rsidRPr="006210C6">
        <w:t xml:space="preserve"> </w:t>
      </w:r>
      <w:r w:rsidRPr="006210C6">
        <w:t>team</w:t>
      </w:r>
      <w:r w:rsidR="0013032F" w:rsidRPr="006210C6">
        <w:t xml:space="preserve"> </w:t>
      </w:r>
      <w:r w:rsidRPr="006210C6">
        <w:t>continued</w:t>
      </w:r>
      <w:r w:rsidR="0013032F" w:rsidRPr="006210C6">
        <w:t xml:space="preserve"> </w:t>
      </w:r>
      <w:r w:rsidRPr="006210C6">
        <w:t>to</w:t>
      </w:r>
      <w:r w:rsidR="0013032F" w:rsidRPr="006210C6">
        <w:t xml:space="preserve"> </w:t>
      </w:r>
      <w:r w:rsidRPr="006210C6">
        <w:t>work</w:t>
      </w:r>
      <w:r w:rsidR="0013032F" w:rsidRPr="006210C6">
        <w:t xml:space="preserve"> </w:t>
      </w:r>
      <w:r w:rsidRPr="006210C6">
        <w:t>across</w:t>
      </w:r>
      <w:r w:rsidR="0013032F" w:rsidRPr="006210C6">
        <w:t xml:space="preserve"> </w:t>
      </w:r>
      <w:r w:rsidRPr="006210C6">
        <w:t>government</w:t>
      </w:r>
      <w:r w:rsidR="0013032F" w:rsidRPr="006210C6">
        <w:t xml:space="preserve"> </w:t>
      </w:r>
      <w:r w:rsidRPr="006210C6">
        <w:t>portfolios</w:t>
      </w:r>
      <w:r w:rsidR="0013032F" w:rsidRPr="006210C6">
        <w:t xml:space="preserve"> </w:t>
      </w:r>
      <w:r w:rsidRPr="006210C6">
        <w:t>to</w:t>
      </w:r>
      <w:r w:rsidR="0013032F" w:rsidRPr="006210C6">
        <w:t xml:space="preserve"> </w:t>
      </w:r>
      <w:r w:rsidRPr="006210C6">
        <w:t>support</w:t>
      </w:r>
      <w:r w:rsidR="0013032F" w:rsidRPr="006210C6">
        <w:t xml:space="preserve"> </w:t>
      </w:r>
      <w:r w:rsidRPr="006210C6">
        <w:t>Regional</w:t>
      </w:r>
      <w:r w:rsidR="0013032F" w:rsidRPr="006210C6">
        <w:t xml:space="preserve"> </w:t>
      </w:r>
      <w:r w:rsidRPr="006210C6">
        <w:t>Partnerships</w:t>
      </w:r>
      <w:r w:rsidR="0013032F" w:rsidRPr="006210C6">
        <w:t xml:space="preserve"> </w:t>
      </w:r>
      <w:r w:rsidRPr="006210C6">
        <w:t>and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RDA</w:t>
      </w:r>
      <w:r w:rsidR="0013032F" w:rsidRPr="006210C6">
        <w:t xml:space="preserve"> </w:t>
      </w:r>
      <w:r w:rsidRPr="006210C6">
        <w:t>Barwon</w:t>
      </w:r>
      <w:r w:rsidR="0013032F" w:rsidRPr="006210C6">
        <w:t xml:space="preserve"> </w:t>
      </w:r>
      <w:r w:rsidRPr="006210C6">
        <w:t>South</w:t>
      </w:r>
      <w:r w:rsidR="0013032F" w:rsidRPr="006210C6">
        <w:t xml:space="preserve"> </w:t>
      </w:r>
      <w:r w:rsidRPr="006210C6">
        <w:t>West</w:t>
      </w:r>
      <w:r w:rsidR="0013032F" w:rsidRPr="006210C6">
        <w:t xml:space="preserve"> </w:t>
      </w:r>
      <w:r w:rsidRPr="006210C6">
        <w:t>Committee</w:t>
      </w:r>
      <w:r w:rsidR="0013032F" w:rsidRPr="006210C6">
        <w:t xml:space="preserve"> </w:t>
      </w:r>
      <w:r w:rsidRPr="006210C6">
        <w:t>to</w:t>
      </w:r>
      <w:r w:rsidR="0013032F" w:rsidRPr="006210C6">
        <w:t xml:space="preserve"> </w:t>
      </w:r>
      <w:r w:rsidRPr="006210C6">
        <w:t>help</w:t>
      </w:r>
      <w:r w:rsidR="0013032F" w:rsidRPr="006210C6">
        <w:t xml:space="preserve"> </w:t>
      </w:r>
      <w:r w:rsidRPr="006210C6">
        <w:t>facilitate</w:t>
      </w:r>
      <w:r w:rsidR="0013032F" w:rsidRPr="006210C6">
        <w:t xml:space="preserve"> </w:t>
      </w:r>
      <w:r w:rsidRPr="006210C6">
        <w:t>positive</w:t>
      </w:r>
      <w:r w:rsidR="0013032F" w:rsidRPr="006210C6">
        <w:t xml:space="preserve"> </w:t>
      </w:r>
      <w:r w:rsidRPr="006210C6">
        <w:t>outcomes</w:t>
      </w:r>
      <w:r w:rsidR="0013032F" w:rsidRPr="006210C6">
        <w:t xml:space="preserve"> </w:t>
      </w:r>
      <w:r w:rsidRPr="006210C6">
        <w:t>for</w:t>
      </w:r>
      <w:r w:rsidR="0013032F" w:rsidRPr="006210C6">
        <w:t xml:space="preserve"> </w:t>
      </w:r>
      <w:r w:rsidRPr="006210C6">
        <w:t>regional</w:t>
      </w:r>
      <w:r w:rsidR="0013032F" w:rsidRPr="006210C6">
        <w:t xml:space="preserve"> </w:t>
      </w:r>
      <w:r w:rsidRPr="006210C6">
        <w:t>communities</w:t>
      </w:r>
      <w:r w:rsidR="0013032F" w:rsidRPr="006210C6">
        <w:t xml:space="preserve"> </w:t>
      </w:r>
      <w:r w:rsidRPr="006210C6">
        <w:t>and</w:t>
      </w:r>
      <w:r w:rsidR="0013032F" w:rsidRPr="006210C6">
        <w:t xml:space="preserve"> </w:t>
      </w:r>
      <w:r w:rsidRPr="006210C6">
        <w:t>progress</w:t>
      </w:r>
      <w:r w:rsidR="0013032F" w:rsidRPr="006210C6">
        <w:t xml:space="preserve"> </w:t>
      </w:r>
      <w:r w:rsidRPr="006210C6">
        <w:t>our</w:t>
      </w:r>
      <w:r w:rsidR="0013032F" w:rsidRPr="006210C6">
        <w:t xml:space="preserve"> </w:t>
      </w:r>
      <w:r w:rsidRPr="006210C6">
        <w:t>regional</w:t>
      </w:r>
      <w:r w:rsidR="0013032F" w:rsidRPr="006210C6">
        <w:t xml:space="preserve"> </w:t>
      </w:r>
      <w:r w:rsidRPr="006210C6">
        <w:t>priorities.</w:t>
      </w:r>
    </w:p>
    <w:p w14:paraId="1B783BB3" w14:textId="42779D73" w:rsidR="00757772" w:rsidRPr="006210C6" w:rsidRDefault="00305D3C" w:rsidP="006210C6">
      <w:r w:rsidRPr="006210C6">
        <w:t>It</w:t>
      </w:r>
      <w:r w:rsidR="0013032F" w:rsidRPr="006210C6">
        <w:t xml:space="preserve"> </w:t>
      </w:r>
      <w:r w:rsidRPr="006210C6">
        <w:t>was</w:t>
      </w:r>
      <w:r w:rsidR="0013032F" w:rsidRPr="006210C6">
        <w:t xml:space="preserve"> </w:t>
      </w:r>
      <w:r w:rsidRPr="006210C6">
        <w:t>exciting</w:t>
      </w:r>
      <w:r w:rsidR="0013032F" w:rsidRPr="006210C6">
        <w:t xml:space="preserve"> </w:t>
      </w:r>
      <w:r w:rsidRPr="006210C6">
        <w:t>to</w:t>
      </w:r>
      <w:r w:rsidR="0013032F" w:rsidRPr="006210C6">
        <w:t xml:space="preserve"> </w:t>
      </w:r>
      <w:r w:rsidRPr="006210C6">
        <w:t>see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Spirit</w:t>
      </w:r>
      <w:r w:rsidR="0013032F" w:rsidRPr="006210C6">
        <w:t xml:space="preserve"> </w:t>
      </w:r>
      <w:r w:rsidRPr="006210C6">
        <w:t>of</w:t>
      </w:r>
      <w:r w:rsidR="0013032F" w:rsidRPr="006210C6">
        <w:t xml:space="preserve"> </w:t>
      </w:r>
      <w:r w:rsidRPr="006210C6">
        <w:t>Tasmania</w:t>
      </w:r>
      <w:r w:rsidR="0013032F" w:rsidRPr="006210C6">
        <w:t xml:space="preserve"> </w:t>
      </w:r>
      <w:r w:rsidRPr="006210C6">
        <w:t>commence</w:t>
      </w:r>
      <w:r w:rsidR="0013032F" w:rsidRPr="006210C6">
        <w:t xml:space="preserve"> </w:t>
      </w:r>
      <w:r w:rsidRPr="006210C6">
        <w:t>daily</w:t>
      </w:r>
      <w:r w:rsidR="0013032F" w:rsidRPr="006210C6">
        <w:t xml:space="preserve"> </w:t>
      </w:r>
      <w:r w:rsidRPr="006210C6">
        <w:t>services</w:t>
      </w:r>
      <w:r w:rsidR="0013032F" w:rsidRPr="006210C6">
        <w:t xml:space="preserve"> </w:t>
      </w:r>
      <w:r w:rsidRPr="006210C6">
        <w:t>from</w:t>
      </w:r>
      <w:r w:rsidR="0013032F" w:rsidRPr="006210C6">
        <w:t xml:space="preserve"> </w:t>
      </w:r>
      <w:r w:rsidRPr="006210C6">
        <w:t>its</w:t>
      </w:r>
      <w:r w:rsidR="0013032F" w:rsidRPr="006210C6">
        <w:t xml:space="preserve"> </w:t>
      </w:r>
      <w:r w:rsidRPr="006210C6">
        <w:t>new</w:t>
      </w:r>
      <w:r w:rsidR="0013032F" w:rsidRPr="006210C6">
        <w:t xml:space="preserve"> </w:t>
      </w:r>
      <w:r w:rsidRPr="006210C6">
        <w:t>home</w:t>
      </w:r>
      <w:r w:rsidR="0013032F" w:rsidRPr="006210C6">
        <w:t xml:space="preserve"> </w:t>
      </w:r>
      <w:r w:rsidRPr="006210C6">
        <w:t>port</w:t>
      </w:r>
      <w:r w:rsidR="0013032F" w:rsidRPr="006210C6">
        <w:t xml:space="preserve"> </w:t>
      </w:r>
      <w:r w:rsidRPr="006210C6">
        <w:t>in</w:t>
      </w:r>
      <w:r w:rsidR="0013032F" w:rsidRPr="006210C6">
        <w:t xml:space="preserve"> </w:t>
      </w:r>
      <w:r w:rsidRPr="006210C6">
        <w:t>Geelong.</w:t>
      </w:r>
      <w:r w:rsidR="0013032F" w:rsidRPr="006210C6">
        <w:t xml:space="preserve"> </w:t>
      </w:r>
      <w:r w:rsidRPr="006210C6">
        <w:t>RDA</w:t>
      </w:r>
      <w:r w:rsidR="0013032F" w:rsidRPr="006210C6">
        <w:t xml:space="preserve"> </w:t>
      </w:r>
      <w:r w:rsidRPr="006210C6">
        <w:t>BSW</w:t>
      </w:r>
      <w:r w:rsidR="0013032F" w:rsidRPr="006210C6">
        <w:t xml:space="preserve"> </w:t>
      </w:r>
      <w:r w:rsidRPr="006210C6">
        <w:t>led</w:t>
      </w:r>
      <w:r w:rsidR="0013032F" w:rsidRPr="006210C6">
        <w:t xml:space="preserve"> </w:t>
      </w:r>
      <w:r w:rsidRPr="006210C6">
        <w:t>two</w:t>
      </w:r>
      <w:r w:rsidR="0013032F" w:rsidRPr="006210C6">
        <w:t xml:space="preserve"> </w:t>
      </w:r>
      <w:r w:rsidRPr="006210C6">
        <w:t>studies</w:t>
      </w:r>
      <w:r w:rsidR="0013032F" w:rsidRPr="006210C6">
        <w:t xml:space="preserve"> </w:t>
      </w:r>
      <w:r w:rsidRPr="006210C6">
        <w:t>to</w:t>
      </w:r>
      <w:r w:rsidR="0013032F" w:rsidRPr="006210C6">
        <w:t xml:space="preserve"> </w:t>
      </w:r>
      <w:r w:rsidRPr="006210C6">
        <w:t>assess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economic</w:t>
      </w:r>
      <w:r w:rsidR="0013032F" w:rsidRPr="006210C6">
        <w:t xml:space="preserve"> </w:t>
      </w:r>
      <w:r w:rsidRPr="006210C6">
        <w:t>impact</w:t>
      </w:r>
      <w:r w:rsidR="0013032F" w:rsidRPr="006210C6">
        <w:t xml:space="preserve"> </w:t>
      </w:r>
      <w:r w:rsidRPr="006210C6">
        <w:t>opportunities</w:t>
      </w:r>
      <w:r w:rsidR="0013032F" w:rsidRPr="006210C6">
        <w:t xml:space="preserve"> </w:t>
      </w:r>
      <w:r w:rsidRPr="006210C6">
        <w:t>arising</w:t>
      </w:r>
      <w:r w:rsidR="0013032F" w:rsidRPr="006210C6">
        <w:t xml:space="preserve"> </w:t>
      </w:r>
      <w:r w:rsidRPr="006210C6">
        <w:t>from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relocation.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studies</w:t>
      </w:r>
      <w:r w:rsidR="0013032F" w:rsidRPr="006210C6">
        <w:t xml:space="preserve"> </w:t>
      </w:r>
      <w:r w:rsidRPr="006210C6">
        <w:t>are</w:t>
      </w:r>
      <w:r w:rsidR="0013032F" w:rsidRPr="006210C6">
        <w:t xml:space="preserve"> </w:t>
      </w:r>
      <w:r w:rsidRPr="006210C6">
        <w:t>ongoing.</w:t>
      </w:r>
    </w:p>
    <w:p w14:paraId="6E96F4FA" w14:textId="38A1DDBA" w:rsidR="00757772" w:rsidRPr="006210C6" w:rsidRDefault="00305D3C" w:rsidP="006210C6">
      <w:r w:rsidRPr="006210C6">
        <w:rPr>
          <w:b/>
          <w:bCs/>
        </w:rPr>
        <w:t>Brett</w:t>
      </w:r>
      <w:r w:rsidR="0013032F" w:rsidRPr="006210C6">
        <w:rPr>
          <w:b/>
          <w:bCs/>
        </w:rPr>
        <w:t xml:space="preserve"> </w:t>
      </w:r>
      <w:r w:rsidRPr="006210C6">
        <w:rPr>
          <w:b/>
          <w:bCs/>
        </w:rPr>
        <w:t>Ince</w:t>
      </w:r>
      <w:r w:rsidRPr="006210C6">
        <w:rPr>
          <w:b/>
          <w:bCs/>
        </w:rPr>
        <w:br/>
      </w:r>
      <w:r w:rsidRPr="006210C6">
        <w:t>Regional</w:t>
      </w:r>
      <w:r w:rsidR="0013032F" w:rsidRPr="006210C6">
        <w:t xml:space="preserve"> </w:t>
      </w:r>
      <w:r w:rsidRPr="006210C6">
        <w:t>Director,</w:t>
      </w:r>
      <w:r w:rsidR="0013032F" w:rsidRPr="006210C6">
        <w:t xml:space="preserve"> </w:t>
      </w:r>
      <w:r w:rsidRPr="006210C6">
        <w:t>Barwon</w:t>
      </w:r>
      <w:r w:rsidR="0013032F" w:rsidRPr="006210C6">
        <w:t xml:space="preserve"> </w:t>
      </w:r>
      <w:r w:rsidRPr="006210C6">
        <w:t>South</w:t>
      </w:r>
      <w:r w:rsidR="0013032F" w:rsidRPr="006210C6">
        <w:t xml:space="preserve"> </w:t>
      </w:r>
      <w:r w:rsidRPr="006210C6">
        <w:t>West</w:t>
      </w:r>
    </w:p>
    <w:p w14:paraId="30410871" w14:textId="5FEDAFB0" w:rsidR="00757772" w:rsidRDefault="00305D3C" w:rsidP="006210C6">
      <w:pPr>
        <w:pStyle w:val="Heading2"/>
      </w:pPr>
      <w:bookmarkStart w:id="42" w:name="_Toc149566588"/>
      <w:r>
        <w:lastRenderedPageBreak/>
        <w:t>Regional</w:t>
      </w:r>
      <w:r w:rsidR="0013032F">
        <w:t xml:space="preserve"> </w:t>
      </w:r>
      <w:r>
        <w:t>highlights</w:t>
      </w:r>
      <w:bookmarkEnd w:id="42"/>
    </w:p>
    <w:p w14:paraId="49EDA700" w14:textId="30C56399" w:rsidR="00757772" w:rsidRPr="006210C6" w:rsidRDefault="00305D3C" w:rsidP="006210C6">
      <w:pPr>
        <w:pStyle w:val="Bullet"/>
        <w:keepNext/>
        <w:keepLines/>
      </w:pPr>
      <w:r w:rsidRPr="006210C6">
        <w:t>Facilitated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proofErr w:type="spellStart"/>
      <w:r w:rsidRPr="006210C6">
        <w:t>FormFlow</w:t>
      </w:r>
      <w:proofErr w:type="spellEnd"/>
      <w:r w:rsidR="0013032F" w:rsidRPr="006210C6">
        <w:t xml:space="preserve"> </w:t>
      </w:r>
      <w:r w:rsidRPr="006210C6">
        <w:t>housing</w:t>
      </w:r>
      <w:r w:rsidR="0013032F" w:rsidRPr="006210C6">
        <w:t xml:space="preserve"> </w:t>
      </w:r>
      <w:r w:rsidRPr="006210C6">
        <w:t>facility</w:t>
      </w:r>
      <w:r w:rsidR="0013032F" w:rsidRPr="006210C6">
        <w:t xml:space="preserve"> </w:t>
      </w:r>
      <w:r w:rsidRPr="006210C6">
        <w:t>project</w:t>
      </w:r>
      <w:r w:rsidR="0013032F" w:rsidRPr="006210C6">
        <w:t xml:space="preserve"> </w:t>
      </w:r>
      <w:r w:rsidRPr="006210C6">
        <w:t>in</w:t>
      </w:r>
      <w:r w:rsidR="0013032F" w:rsidRPr="006210C6">
        <w:t xml:space="preserve"> </w:t>
      </w:r>
      <w:r w:rsidRPr="006210C6">
        <w:t>Portland,</w:t>
      </w:r>
      <w:r w:rsidR="0013032F" w:rsidRPr="006210C6">
        <w:t xml:space="preserve"> </w:t>
      </w:r>
      <w:r w:rsidRPr="006210C6">
        <w:t>with</w:t>
      </w:r>
      <w:r w:rsidR="0013032F" w:rsidRPr="006210C6">
        <w:t xml:space="preserve"> </w:t>
      </w:r>
      <w:r w:rsidRPr="006210C6">
        <w:t>funding</w:t>
      </w:r>
      <w:r w:rsidR="0013032F" w:rsidRPr="006210C6">
        <w:t xml:space="preserve"> </w:t>
      </w:r>
      <w:r w:rsidRPr="006210C6">
        <w:t>from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Portland</w:t>
      </w:r>
      <w:r w:rsidR="0013032F" w:rsidRPr="006210C6">
        <w:t xml:space="preserve"> </w:t>
      </w:r>
      <w:r w:rsidRPr="006210C6">
        <w:t>Diversification</w:t>
      </w:r>
      <w:r w:rsidR="0013032F" w:rsidRPr="006210C6">
        <w:t xml:space="preserve"> </w:t>
      </w:r>
      <w:r w:rsidRPr="006210C6">
        <w:t>Fund.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project</w:t>
      </w:r>
      <w:r w:rsidR="0013032F" w:rsidRPr="006210C6">
        <w:t xml:space="preserve"> </w:t>
      </w:r>
      <w:r w:rsidRPr="006210C6">
        <w:t>will</w:t>
      </w:r>
      <w:r w:rsidR="0013032F" w:rsidRPr="006210C6">
        <w:t xml:space="preserve"> </w:t>
      </w:r>
      <w:r w:rsidRPr="006210C6">
        <w:t>transform</w:t>
      </w:r>
      <w:r w:rsidR="0013032F" w:rsidRPr="006210C6">
        <w:t xml:space="preserve"> </w:t>
      </w:r>
      <w:r w:rsidRPr="006210C6">
        <w:t>an</w:t>
      </w:r>
      <w:r w:rsidR="0013032F" w:rsidRPr="006210C6">
        <w:t xml:space="preserve"> </w:t>
      </w:r>
      <w:r w:rsidRPr="006210C6">
        <w:t>unused</w:t>
      </w:r>
      <w:r w:rsidR="0013032F" w:rsidRPr="006210C6">
        <w:t xml:space="preserve"> </w:t>
      </w:r>
      <w:r w:rsidRPr="006210C6">
        <w:t>Portland</w:t>
      </w:r>
      <w:r w:rsidR="0013032F" w:rsidRPr="006210C6">
        <w:t xml:space="preserve"> </w:t>
      </w:r>
      <w:r w:rsidRPr="006210C6">
        <w:t>airport</w:t>
      </w:r>
      <w:r w:rsidR="0013032F" w:rsidRPr="006210C6">
        <w:t xml:space="preserve"> </w:t>
      </w:r>
      <w:r w:rsidRPr="006210C6">
        <w:t>hangar</w:t>
      </w:r>
      <w:r w:rsidR="0013032F" w:rsidRPr="006210C6">
        <w:t xml:space="preserve"> </w:t>
      </w:r>
      <w:r w:rsidRPr="006210C6">
        <w:t>into</w:t>
      </w:r>
      <w:r w:rsidR="0013032F" w:rsidRPr="006210C6">
        <w:t xml:space="preserve"> </w:t>
      </w:r>
      <w:r w:rsidRPr="006210C6">
        <w:t>a</w:t>
      </w:r>
      <w:r w:rsidR="0013032F" w:rsidRPr="006210C6">
        <w:t xml:space="preserve"> </w:t>
      </w:r>
      <w:r w:rsidRPr="006210C6">
        <w:t>$2.35</w:t>
      </w:r>
      <w:r w:rsidR="0013032F" w:rsidRPr="006210C6">
        <w:t xml:space="preserve"> </w:t>
      </w:r>
      <w:r w:rsidRPr="006210C6">
        <w:t>million</w:t>
      </w:r>
      <w:r w:rsidR="0013032F" w:rsidRPr="006210C6">
        <w:t xml:space="preserve"> </w:t>
      </w:r>
      <w:r w:rsidRPr="006210C6">
        <w:t>housing</w:t>
      </w:r>
      <w:r w:rsidR="0013032F" w:rsidRPr="006210C6">
        <w:t xml:space="preserve"> </w:t>
      </w:r>
      <w:r w:rsidRPr="006210C6">
        <w:t>manufacturing</w:t>
      </w:r>
      <w:r w:rsidR="0013032F" w:rsidRPr="006210C6">
        <w:t xml:space="preserve"> </w:t>
      </w:r>
      <w:r w:rsidRPr="006210C6">
        <w:t>facility</w:t>
      </w:r>
      <w:r w:rsidR="0013032F" w:rsidRPr="006210C6">
        <w:t xml:space="preserve"> </w:t>
      </w:r>
      <w:r w:rsidRPr="006210C6">
        <w:t>capable</w:t>
      </w:r>
      <w:r w:rsidR="0013032F" w:rsidRPr="006210C6">
        <w:t xml:space="preserve"> </w:t>
      </w:r>
      <w:r w:rsidRPr="006210C6">
        <w:t>of</w:t>
      </w:r>
      <w:r w:rsidR="0013032F" w:rsidRPr="006210C6">
        <w:t xml:space="preserve"> </w:t>
      </w:r>
      <w:r w:rsidRPr="006210C6">
        <w:t>producing</w:t>
      </w:r>
      <w:r w:rsidR="0013032F" w:rsidRPr="006210C6">
        <w:t xml:space="preserve"> </w:t>
      </w:r>
      <w:r w:rsidRPr="006210C6">
        <w:t>up</w:t>
      </w:r>
      <w:r w:rsidR="0013032F" w:rsidRPr="006210C6">
        <w:t xml:space="preserve"> </w:t>
      </w:r>
      <w:r w:rsidRPr="006210C6">
        <w:t>to</w:t>
      </w:r>
      <w:r w:rsidR="0013032F" w:rsidRPr="006210C6">
        <w:t xml:space="preserve"> </w:t>
      </w:r>
      <w:r w:rsidRPr="006210C6">
        <w:t>200</w:t>
      </w:r>
      <w:r w:rsidR="0013032F" w:rsidRPr="006210C6">
        <w:t xml:space="preserve"> </w:t>
      </w:r>
      <w:r w:rsidRPr="006210C6">
        <w:t>relocatable</w:t>
      </w:r>
      <w:r w:rsidR="0013032F" w:rsidRPr="006210C6">
        <w:t xml:space="preserve"> </w:t>
      </w:r>
      <w:r w:rsidRPr="006210C6">
        <w:t>houses</w:t>
      </w:r>
      <w:r w:rsidR="0013032F" w:rsidRPr="006210C6">
        <w:t xml:space="preserve"> </w:t>
      </w:r>
      <w:r w:rsidRPr="006210C6">
        <w:t>a</w:t>
      </w:r>
      <w:r w:rsidR="0013032F" w:rsidRPr="006210C6">
        <w:t xml:space="preserve"> </w:t>
      </w:r>
      <w:r w:rsidRPr="006210C6">
        <w:t>year</w:t>
      </w:r>
      <w:r w:rsidR="0013032F" w:rsidRPr="006210C6">
        <w:t xml:space="preserve"> </w:t>
      </w:r>
      <w:r w:rsidRPr="006210C6">
        <w:t>for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Glenelg</w:t>
      </w:r>
      <w:r w:rsidR="0013032F" w:rsidRPr="006210C6">
        <w:t xml:space="preserve"> </w:t>
      </w:r>
      <w:r w:rsidRPr="006210C6">
        <w:t>Shire</w:t>
      </w:r>
      <w:r w:rsidR="0013032F" w:rsidRPr="006210C6">
        <w:t xml:space="preserve"> </w:t>
      </w:r>
      <w:r w:rsidRPr="006210C6">
        <w:t>and</w:t>
      </w:r>
      <w:r w:rsidR="0013032F" w:rsidRPr="006210C6">
        <w:t xml:space="preserve"> </w:t>
      </w:r>
      <w:r w:rsidRPr="006210C6">
        <w:t>surrounding</w:t>
      </w:r>
      <w:r w:rsidR="0013032F" w:rsidRPr="006210C6">
        <w:t xml:space="preserve"> </w:t>
      </w:r>
      <w:r w:rsidRPr="006210C6">
        <w:t>regions,</w:t>
      </w:r>
      <w:r w:rsidR="0013032F" w:rsidRPr="006210C6">
        <w:t xml:space="preserve"> </w:t>
      </w:r>
      <w:r w:rsidRPr="006210C6">
        <w:t>creating</w:t>
      </w:r>
      <w:r w:rsidR="0013032F" w:rsidRPr="006210C6">
        <w:t xml:space="preserve"> </w:t>
      </w:r>
      <w:r w:rsidRPr="006210C6">
        <w:t>50</w:t>
      </w:r>
      <w:r w:rsidR="0013032F" w:rsidRPr="006210C6">
        <w:t xml:space="preserve"> </w:t>
      </w:r>
      <w:r w:rsidRPr="006210C6">
        <w:t>new</w:t>
      </w:r>
      <w:r w:rsidR="0013032F" w:rsidRPr="006210C6">
        <w:t xml:space="preserve"> </w:t>
      </w:r>
      <w:r w:rsidRPr="006210C6">
        <w:t>jobs</w:t>
      </w:r>
      <w:r w:rsidR="0013032F" w:rsidRPr="006210C6">
        <w:t xml:space="preserve"> </w:t>
      </w:r>
      <w:r w:rsidRPr="006210C6">
        <w:t>and</w:t>
      </w:r>
      <w:r w:rsidR="0013032F" w:rsidRPr="006210C6">
        <w:t xml:space="preserve"> </w:t>
      </w:r>
      <w:r w:rsidRPr="006210C6">
        <w:t>an</w:t>
      </w:r>
      <w:r w:rsidR="0013032F" w:rsidRPr="006210C6">
        <w:t xml:space="preserve"> </w:t>
      </w:r>
      <w:r w:rsidRPr="006210C6">
        <w:t>estimated</w:t>
      </w:r>
      <w:r w:rsidR="0013032F" w:rsidRPr="006210C6">
        <w:t xml:space="preserve"> </w:t>
      </w:r>
      <w:r w:rsidRPr="006210C6">
        <w:t>150</w:t>
      </w:r>
      <w:r w:rsidR="0013032F" w:rsidRPr="006210C6">
        <w:t xml:space="preserve"> </w:t>
      </w:r>
      <w:r w:rsidRPr="006210C6">
        <w:t>indirect</w:t>
      </w:r>
      <w:r w:rsidR="0013032F" w:rsidRPr="006210C6">
        <w:t xml:space="preserve"> </w:t>
      </w:r>
      <w:r w:rsidRPr="006210C6">
        <w:t>jobs</w:t>
      </w:r>
    </w:p>
    <w:p w14:paraId="3D2C7D92" w14:textId="5F27CCC7" w:rsidR="00757772" w:rsidRPr="006210C6" w:rsidRDefault="00305D3C" w:rsidP="006210C6">
      <w:pPr>
        <w:pStyle w:val="Bullet"/>
      </w:pPr>
      <w:r w:rsidRPr="006210C6">
        <w:t>Continued</w:t>
      </w:r>
      <w:r w:rsidR="0013032F" w:rsidRPr="006210C6">
        <w:t xml:space="preserve"> </w:t>
      </w:r>
      <w:r w:rsidRPr="006210C6">
        <w:t>to</w:t>
      </w:r>
      <w:r w:rsidR="0013032F" w:rsidRPr="006210C6">
        <w:t xml:space="preserve"> </w:t>
      </w:r>
      <w:r w:rsidRPr="006210C6">
        <w:t>support</w:t>
      </w:r>
      <w:r w:rsidR="0013032F" w:rsidRPr="006210C6">
        <w:t xml:space="preserve"> </w:t>
      </w:r>
      <w:proofErr w:type="spellStart"/>
      <w:r w:rsidRPr="006210C6">
        <w:t>Gunditjmara</w:t>
      </w:r>
      <w:proofErr w:type="spellEnd"/>
      <w:r w:rsidR="0013032F" w:rsidRPr="006210C6">
        <w:t xml:space="preserve"> </w:t>
      </w:r>
      <w:r w:rsidRPr="006210C6">
        <w:t>Traditional</w:t>
      </w:r>
      <w:r w:rsidR="0013032F" w:rsidRPr="006210C6">
        <w:t xml:space="preserve"> </w:t>
      </w:r>
      <w:r w:rsidRPr="006210C6">
        <w:t>Owners</w:t>
      </w:r>
      <w:r w:rsidR="0013032F" w:rsidRPr="006210C6">
        <w:t xml:space="preserve"> </w:t>
      </w:r>
      <w:r w:rsidRPr="006210C6">
        <w:t>to</w:t>
      </w:r>
      <w:r w:rsidR="0013032F" w:rsidRPr="006210C6">
        <w:t xml:space="preserve"> </w:t>
      </w:r>
      <w:r w:rsidRPr="006210C6">
        <w:t>develop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proofErr w:type="spellStart"/>
      <w:r w:rsidRPr="006210C6">
        <w:t>Budj</w:t>
      </w:r>
      <w:proofErr w:type="spellEnd"/>
      <w:r w:rsidR="0013032F" w:rsidRPr="006210C6">
        <w:t xml:space="preserve"> </w:t>
      </w:r>
      <w:proofErr w:type="spellStart"/>
      <w:r w:rsidRPr="006210C6">
        <w:t>Bim</w:t>
      </w:r>
      <w:proofErr w:type="spellEnd"/>
      <w:r w:rsidR="0013032F" w:rsidRPr="006210C6">
        <w:t xml:space="preserve"> </w:t>
      </w:r>
      <w:r w:rsidRPr="006210C6">
        <w:t>Cultural</w:t>
      </w:r>
      <w:r w:rsidR="0013032F" w:rsidRPr="006210C6">
        <w:t xml:space="preserve"> </w:t>
      </w:r>
      <w:r w:rsidRPr="006210C6">
        <w:t>Landscape.</w:t>
      </w:r>
      <w:r w:rsidR="0013032F" w:rsidRPr="006210C6">
        <w:t xml:space="preserve"> </w:t>
      </w:r>
      <w:r w:rsidRPr="006210C6">
        <w:t>Previous</w:t>
      </w:r>
      <w:r w:rsidR="0013032F" w:rsidRPr="006210C6">
        <w:t xml:space="preserve"> </w:t>
      </w:r>
      <w:r w:rsidRPr="006210C6">
        <w:t>investments</w:t>
      </w:r>
      <w:r w:rsidR="0013032F" w:rsidRPr="006210C6">
        <w:t xml:space="preserve"> </w:t>
      </w:r>
      <w:r w:rsidRPr="006210C6">
        <w:t>in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Tae</w:t>
      </w:r>
      <w:r w:rsidR="0013032F" w:rsidRPr="006210C6">
        <w:t xml:space="preserve"> </w:t>
      </w:r>
      <w:proofErr w:type="spellStart"/>
      <w:r w:rsidRPr="006210C6">
        <w:t>Rak</w:t>
      </w:r>
      <w:proofErr w:type="spellEnd"/>
      <w:r w:rsidR="0013032F" w:rsidRPr="006210C6">
        <w:t xml:space="preserve"> </w:t>
      </w:r>
      <w:r w:rsidRPr="006210C6">
        <w:t>Aquaculture</w:t>
      </w:r>
      <w:r w:rsidR="0013032F" w:rsidRPr="006210C6">
        <w:t xml:space="preserve"> </w:t>
      </w:r>
      <w:r w:rsidRPr="006210C6">
        <w:t>Centre</w:t>
      </w:r>
      <w:r w:rsidR="0013032F" w:rsidRPr="006210C6">
        <w:t xml:space="preserve"> </w:t>
      </w:r>
      <w:r w:rsidRPr="006210C6">
        <w:t>and</w:t>
      </w:r>
      <w:r w:rsidR="0013032F" w:rsidRPr="006210C6">
        <w:t xml:space="preserve"> </w:t>
      </w:r>
      <w:r w:rsidRPr="006210C6">
        <w:t>Bush</w:t>
      </w:r>
      <w:r w:rsidR="0013032F" w:rsidRPr="006210C6">
        <w:t xml:space="preserve"> </w:t>
      </w:r>
      <w:r w:rsidRPr="006210C6">
        <w:t>Tucker</w:t>
      </w:r>
      <w:r w:rsidR="0013032F" w:rsidRPr="006210C6">
        <w:t xml:space="preserve"> </w:t>
      </w:r>
      <w:r w:rsidRPr="006210C6">
        <w:t>Café</w:t>
      </w:r>
      <w:r w:rsidR="0013032F" w:rsidRPr="006210C6">
        <w:t xml:space="preserve"> </w:t>
      </w:r>
      <w:r w:rsidRPr="006210C6">
        <w:t>contributed</w:t>
      </w:r>
      <w:r w:rsidR="0013032F" w:rsidRPr="006210C6">
        <w:t xml:space="preserve"> </w:t>
      </w:r>
      <w:r w:rsidRPr="006210C6">
        <w:t>to</w:t>
      </w:r>
      <w:r w:rsidR="0013032F" w:rsidRPr="006210C6">
        <w:t xml:space="preserve"> </w:t>
      </w:r>
      <w:r w:rsidRPr="006210C6">
        <w:t>higher</w:t>
      </w:r>
      <w:r w:rsidR="0013032F" w:rsidRPr="006210C6">
        <w:t xml:space="preserve"> </w:t>
      </w:r>
      <w:r w:rsidRPr="006210C6">
        <w:t>visitor</w:t>
      </w:r>
      <w:r w:rsidR="0013032F" w:rsidRPr="006210C6">
        <w:t xml:space="preserve"> </w:t>
      </w:r>
      <w:r w:rsidRPr="006210C6">
        <w:t>numbers</w:t>
      </w:r>
      <w:r w:rsidR="0013032F" w:rsidRPr="006210C6">
        <w:t xml:space="preserve"> </w:t>
      </w:r>
      <w:r w:rsidRPr="006210C6">
        <w:t>in</w:t>
      </w:r>
      <w:r w:rsidR="0013032F" w:rsidRPr="006210C6">
        <w:t xml:space="preserve"> </w:t>
      </w:r>
      <w:r w:rsidRPr="006210C6">
        <w:t>2022–23.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Victorian</w:t>
      </w:r>
      <w:r w:rsidR="0013032F" w:rsidRPr="006210C6">
        <w:t xml:space="preserve"> </w:t>
      </w:r>
      <w:r w:rsidRPr="006210C6">
        <w:t>Government</w:t>
      </w:r>
      <w:r w:rsidR="0013032F" w:rsidRPr="006210C6">
        <w:t xml:space="preserve"> </w:t>
      </w:r>
      <w:r w:rsidRPr="006210C6">
        <w:t>increased</w:t>
      </w:r>
      <w:r w:rsidR="0013032F" w:rsidRPr="006210C6">
        <w:t xml:space="preserve"> </w:t>
      </w:r>
      <w:r w:rsidRPr="006210C6">
        <w:t>its</w:t>
      </w:r>
      <w:r w:rsidR="0013032F" w:rsidRPr="006210C6">
        <w:t xml:space="preserve"> </w:t>
      </w:r>
      <w:r w:rsidRPr="006210C6">
        <w:t>investment</w:t>
      </w:r>
      <w:r w:rsidR="0013032F" w:rsidRPr="006210C6">
        <w:t xml:space="preserve"> </w:t>
      </w:r>
      <w:r w:rsidRPr="006210C6">
        <w:t>in</w:t>
      </w:r>
      <w:r w:rsidR="0013032F" w:rsidRPr="006210C6">
        <w:t xml:space="preserve"> </w:t>
      </w:r>
      <w:r w:rsidRPr="006210C6">
        <w:t>Tae</w:t>
      </w:r>
      <w:r w:rsidR="0013032F" w:rsidRPr="006210C6">
        <w:t xml:space="preserve"> </w:t>
      </w:r>
      <w:proofErr w:type="spellStart"/>
      <w:r w:rsidRPr="006210C6">
        <w:t>Rak</w:t>
      </w:r>
      <w:proofErr w:type="spellEnd"/>
      <w:r w:rsidR="0013032F" w:rsidRPr="006210C6">
        <w:t xml:space="preserve"> </w:t>
      </w:r>
      <w:r w:rsidRPr="006210C6">
        <w:t>(Lake</w:t>
      </w:r>
      <w:r w:rsidR="0013032F" w:rsidRPr="006210C6">
        <w:t xml:space="preserve"> </w:t>
      </w:r>
      <w:r w:rsidRPr="006210C6">
        <w:t>Condah)</w:t>
      </w:r>
      <w:r w:rsidR="0013032F" w:rsidRPr="006210C6">
        <w:t xml:space="preserve"> </w:t>
      </w:r>
      <w:r w:rsidRPr="006210C6">
        <w:t>with</w:t>
      </w:r>
      <w:r w:rsidR="0013032F" w:rsidRPr="006210C6">
        <w:t xml:space="preserve"> </w:t>
      </w:r>
      <w:r w:rsidRPr="006210C6">
        <w:t>an</w:t>
      </w:r>
      <w:r w:rsidR="0013032F" w:rsidRPr="006210C6">
        <w:t xml:space="preserve"> </w:t>
      </w:r>
      <w:r w:rsidRPr="006210C6">
        <w:t>additional</w:t>
      </w:r>
      <w:r w:rsidR="0013032F" w:rsidRPr="006210C6">
        <w:t xml:space="preserve"> </w:t>
      </w:r>
      <w:r w:rsidRPr="006210C6">
        <w:t>$7</w:t>
      </w:r>
      <w:r w:rsidR="0013032F" w:rsidRPr="006210C6">
        <w:t xml:space="preserve"> </w:t>
      </w:r>
      <w:r w:rsidRPr="006210C6">
        <w:t>million</w:t>
      </w:r>
      <w:r w:rsidR="0013032F" w:rsidRPr="006210C6">
        <w:t xml:space="preserve"> </w:t>
      </w:r>
      <w:r w:rsidRPr="006210C6">
        <w:t>for</w:t>
      </w:r>
      <w:r w:rsidR="0013032F" w:rsidRPr="006210C6">
        <w:t xml:space="preserve"> </w:t>
      </w:r>
      <w:proofErr w:type="spellStart"/>
      <w:r w:rsidRPr="006210C6">
        <w:t>Gunditj</w:t>
      </w:r>
      <w:proofErr w:type="spellEnd"/>
      <w:r w:rsidR="0013032F" w:rsidRPr="006210C6">
        <w:t xml:space="preserve"> </w:t>
      </w:r>
      <w:proofErr w:type="spellStart"/>
      <w:r w:rsidRPr="006210C6">
        <w:t>Mirring</w:t>
      </w:r>
      <w:proofErr w:type="spellEnd"/>
      <w:r w:rsidR="0013032F" w:rsidRPr="006210C6">
        <w:t xml:space="preserve"> </w:t>
      </w:r>
      <w:r w:rsidRPr="006210C6">
        <w:t>Traditional</w:t>
      </w:r>
      <w:r w:rsidR="0013032F" w:rsidRPr="006210C6">
        <w:t xml:space="preserve"> </w:t>
      </w:r>
      <w:r w:rsidRPr="006210C6">
        <w:t>Owners</w:t>
      </w:r>
      <w:r w:rsidR="0013032F" w:rsidRPr="006210C6">
        <w:t xml:space="preserve"> </w:t>
      </w:r>
      <w:r w:rsidRPr="006210C6">
        <w:t>Aboriginal</w:t>
      </w:r>
      <w:r w:rsidR="0013032F" w:rsidRPr="006210C6">
        <w:t xml:space="preserve"> </w:t>
      </w:r>
      <w:r w:rsidRPr="006210C6">
        <w:t>Corporation</w:t>
      </w:r>
      <w:r w:rsidR="0013032F" w:rsidRPr="006210C6">
        <w:t xml:space="preserve"> </w:t>
      </w:r>
      <w:r w:rsidRPr="006210C6">
        <w:t>to</w:t>
      </w:r>
      <w:r w:rsidR="0013032F" w:rsidRPr="006210C6">
        <w:t xml:space="preserve"> </w:t>
      </w:r>
      <w:r w:rsidRPr="006210C6">
        <w:t>develop</w:t>
      </w:r>
      <w:r w:rsidR="0013032F" w:rsidRPr="006210C6">
        <w:t xml:space="preserve"> </w:t>
      </w:r>
      <w:r w:rsidRPr="006210C6">
        <w:t>an</w:t>
      </w:r>
      <w:r w:rsidR="0013032F" w:rsidRPr="006210C6">
        <w:t xml:space="preserve"> </w:t>
      </w:r>
      <w:r w:rsidRPr="006210C6">
        <w:t>amphitheatre,</w:t>
      </w:r>
      <w:r w:rsidR="0013032F" w:rsidRPr="006210C6">
        <w:t xml:space="preserve"> </w:t>
      </w:r>
      <w:r w:rsidRPr="006210C6">
        <w:t>yarning</w:t>
      </w:r>
      <w:r w:rsidR="0013032F" w:rsidRPr="006210C6">
        <w:t xml:space="preserve"> </w:t>
      </w:r>
      <w:r w:rsidRPr="006210C6">
        <w:t>circle,</w:t>
      </w:r>
      <w:r w:rsidR="0013032F" w:rsidRPr="006210C6">
        <w:t xml:space="preserve"> </w:t>
      </w:r>
      <w:r w:rsidRPr="006210C6">
        <w:t>boardwalk</w:t>
      </w:r>
      <w:r w:rsidR="0013032F" w:rsidRPr="006210C6">
        <w:t xml:space="preserve"> </w:t>
      </w:r>
      <w:r w:rsidRPr="006210C6">
        <w:t>and</w:t>
      </w:r>
      <w:r w:rsidR="0013032F" w:rsidRPr="006210C6">
        <w:t xml:space="preserve"> </w:t>
      </w:r>
      <w:r w:rsidRPr="006210C6">
        <w:t>associated</w:t>
      </w:r>
      <w:r w:rsidR="0013032F" w:rsidRPr="006210C6">
        <w:t xml:space="preserve"> </w:t>
      </w:r>
      <w:r w:rsidRPr="006210C6">
        <w:t>interpretation</w:t>
      </w:r>
      <w:r w:rsidR="0013032F" w:rsidRPr="006210C6">
        <w:t xml:space="preserve"> </w:t>
      </w:r>
      <w:r w:rsidRPr="006210C6">
        <w:t>of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World</w:t>
      </w:r>
      <w:r w:rsidR="0013032F" w:rsidRPr="006210C6">
        <w:t xml:space="preserve"> </w:t>
      </w:r>
      <w:r w:rsidRPr="006210C6">
        <w:t>Heritage</w:t>
      </w:r>
      <w:r w:rsidR="0013032F" w:rsidRPr="006210C6">
        <w:t xml:space="preserve"> </w:t>
      </w:r>
      <w:r w:rsidRPr="006210C6">
        <w:t>listed</w:t>
      </w:r>
      <w:r w:rsidR="0013032F" w:rsidRPr="006210C6">
        <w:t xml:space="preserve"> </w:t>
      </w:r>
      <w:r w:rsidRPr="006210C6">
        <w:t>Tae</w:t>
      </w:r>
      <w:r w:rsidR="0013032F" w:rsidRPr="006210C6">
        <w:t xml:space="preserve"> </w:t>
      </w:r>
      <w:proofErr w:type="spellStart"/>
      <w:r w:rsidRPr="006210C6">
        <w:t>Rak</w:t>
      </w:r>
      <w:proofErr w:type="spellEnd"/>
      <w:r w:rsidR="0013032F" w:rsidRPr="006210C6">
        <w:t xml:space="preserve"> </w:t>
      </w:r>
      <w:r w:rsidRPr="006210C6">
        <w:t>eel</w:t>
      </w:r>
      <w:r w:rsidR="0013032F" w:rsidRPr="006210C6">
        <w:t xml:space="preserve"> </w:t>
      </w:r>
      <w:r w:rsidRPr="006210C6">
        <w:t>traps</w:t>
      </w:r>
    </w:p>
    <w:p w14:paraId="6EDA2A52" w14:textId="29AF8DD1" w:rsidR="00757772" w:rsidRPr="006210C6" w:rsidRDefault="00305D3C" w:rsidP="006210C6">
      <w:pPr>
        <w:pStyle w:val="Bullet"/>
      </w:pPr>
      <w:r w:rsidRPr="006210C6">
        <w:t>Achieved</w:t>
      </w:r>
      <w:r w:rsidR="0013032F" w:rsidRPr="006210C6">
        <w:t xml:space="preserve"> </w:t>
      </w:r>
      <w:r w:rsidRPr="006210C6">
        <w:t>significant</w:t>
      </w:r>
      <w:r w:rsidR="0013032F" w:rsidRPr="006210C6">
        <w:t xml:space="preserve"> </w:t>
      </w:r>
      <w:r w:rsidRPr="006210C6">
        <w:t>progress</w:t>
      </w:r>
      <w:r w:rsidR="0013032F" w:rsidRPr="006210C6">
        <w:t xml:space="preserve"> </w:t>
      </w:r>
      <w:r w:rsidRPr="006210C6">
        <w:t>on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Timboon</w:t>
      </w:r>
      <w:r w:rsidR="0013032F" w:rsidRPr="006210C6">
        <w:t xml:space="preserve"> </w:t>
      </w:r>
      <w:r w:rsidRPr="006210C6">
        <w:t>to</w:t>
      </w:r>
      <w:r w:rsidR="0013032F" w:rsidRPr="006210C6">
        <w:t xml:space="preserve"> </w:t>
      </w:r>
      <w:r w:rsidRPr="006210C6">
        <w:t>Port</w:t>
      </w:r>
      <w:r w:rsidR="0013032F" w:rsidRPr="006210C6">
        <w:t xml:space="preserve"> </w:t>
      </w:r>
      <w:r w:rsidRPr="006210C6">
        <w:t>Campbell</w:t>
      </w:r>
      <w:r w:rsidR="0013032F" w:rsidRPr="006210C6">
        <w:t xml:space="preserve"> </w:t>
      </w:r>
      <w:r w:rsidRPr="006210C6">
        <w:t>stage</w:t>
      </w:r>
      <w:r w:rsidR="0013032F" w:rsidRPr="006210C6">
        <w:t xml:space="preserve"> </w:t>
      </w:r>
      <w:r w:rsidRPr="006210C6">
        <w:t>of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12</w:t>
      </w:r>
      <w:r w:rsidR="0013032F" w:rsidRPr="006210C6">
        <w:t xml:space="preserve"> </w:t>
      </w:r>
      <w:r w:rsidRPr="006210C6">
        <w:t>Apostles</w:t>
      </w:r>
      <w:r w:rsidR="0013032F" w:rsidRPr="006210C6">
        <w:t xml:space="preserve"> </w:t>
      </w:r>
      <w:r w:rsidRPr="006210C6">
        <w:t>Trail.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project</w:t>
      </w:r>
      <w:r w:rsidR="0013032F" w:rsidRPr="006210C6">
        <w:t xml:space="preserve"> </w:t>
      </w:r>
      <w:r w:rsidRPr="006210C6">
        <w:t>will</w:t>
      </w:r>
      <w:r w:rsidR="0013032F" w:rsidRPr="006210C6">
        <w:t xml:space="preserve"> </w:t>
      </w:r>
      <w:r w:rsidRPr="006210C6">
        <w:t>deliver</w:t>
      </w:r>
      <w:r w:rsidR="0013032F" w:rsidRPr="006210C6">
        <w:t xml:space="preserve"> </w:t>
      </w:r>
      <w:r w:rsidRPr="006210C6">
        <w:t>a</w:t>
      </w:r>
      <w:r w:rsidR="0013032F" w:rsidRPr="006210C6">
        <w:t xml:space="preserve"> </w:t>
      </w:r>
      <w:r w:rsidRPr="006210C6">
        <w:t>20</w:t>
      </w:r>
      <w:r w:rsidR="0013032F" w:rsidRPr="006210C6">
        <w:t xml:space="preserve"> </w:t>
      </w:r>
      <w:r w:rsidRPr="006210C6">
        <w:t>km</w:t>
      </w:r>
      <w:r w:rsidR="0013032F" w:rsidRPr="006210C6">
        <w:t xml:space="preserve"> </w:t>
      </w:r>
      <w:r w:rsidRPr="006210C6">
        <w:t>off-road</w:t>
      </w:r>
      <w:r w:rsidR="0013032F" w:rsidRPr="006210C6">
        <w:t xml:space="preserve"> </w:t>
      </w:r>
      <w:r w:rsidRPr="006210C6">
        <w:t>cycling</w:t>
      </w:r>
      <w:r w:rsidR="0013032F" w:rsidRPr="006210C6">
        <w:t xml:space="preserve"> </w:t>
      </w:r>
      <w:r w:rsidRPr="006210C6">
        <w:t>and</w:t>
      </w:r>
      <w:r w:rsidR="0013032F" w:rsidRPr="006210C6">
        <w:t xml:space="preserve"> </w:t>
      </w:r>
      <w:r w:rsidRPr="006210C6">
        <w:t>walking</w:t>
      </w:r>
      <w:r w:rsidR="0013032F" w:rsidRPr="006210C6">
        <w:t xml:space="preserve"> </w:t>
      </w:r>
      <w:r w:rsidRPr="006210C6">
        <w:t>trail</w:t>
      </w:r>
      <w:r w:rsidR="0013032F" w:rsidRPr="006210C6">
        <w:t xml:space="preserve"> </w:t>
      </w:r>
      <w:r w:rsidRPr="006210C6">
        <w:t>joining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Camperdown-Timboon</w:t>
      </w:r>
      <w:r w:rsidR="0013032F" w:rsidRPr="006210C6">
        <w:t xml:space="preserve"> </w:t>
      </w:r>
      <w:r w:rsidRPr="006210C6">
        <w:t>Rail</w:t>
      </w:r>
      <w:r w:rsidR="0013032F" w:rsidRPr="006210C6">
        <w:t xml:space="preserve"> </w:t>
      </w:r>
      <w:r w:rsidRPr="006210C6">
        <w:t>Trail</w:t>
      </w:r>
      <w:r w:rsidR="0013032F" w:rsidRPr="006210C6">
        <w:t xml:space="preserve"> </w:t>
      </w:r>
      <w:r w:rsidRPr="006210C6">
        <w:t>to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heart</w:t>
      </w:r>
      <w:r w:rsidR="0013032F" w:rsidRPr="006210C6">
        <w:t xml:space="preserve"> </w:t>
      </w:r>
      <w:r w:rsidRPr="006210C6">
        <w:t>of</w:t>
      </w:r>
      <w:r w:rsidR="0013032F" w:rsidRPr="006210C6">
        <w:t xml:space="preserve"> </w:t>
      </w:r>
      <w:r w:rsidRPr="006210C6">
        <w:t>Port</w:t>
      </w:r>
      <w:r w:rsidR="0013032F" w:rsidRPr="006210C6">
        <w:t xml:space="preserve"> </w:t>
      </w:r>
      <w:r w:rsidRPr="006210C6">
        <w:t>Campbell.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Timboon</w:t>
      </w:r>
      <w:r w:rsidR="0013032F" w:rsidRPr="006210C6">
        <w:t xml:space="preserve"> </w:t>
      </w:r>
      <w:r w:rsidRPr="006210C6">
        <w:t>to</w:t>
      </w:r>
      <w:r w:rsidR="0013032F" w:rsidRPr="006210C6">
        <w:t xml:space="preserve"> </w:t>
      </w:r>
      <w:r w:rsidRPr="006210C6">
        <w:t>Port</w:t>
      </w:r>
      <w:r w:rsidR="0013032F" w:rsidRPr="006210C6">
        <w:t xml:space="preserve"> </w:t>
      </w:r>
      <w:r w:rsidRPr="006210C6">
        <w:t>Campbell</w:t>
      </w:r>
      <w:r w:rsidR="0013032F" w:rsidRPr="006210C6">
        <w:t xml:space="preserve"> </w:t>
      </w:r>
      <w:r w:rsidRPr="006210C6">
        <w:t>section</w:t>
      </w:r>
      <w:r w:rsidR="0013032F" w:rsidRPr="006210C6">
        <w:t xml:space="preserve"> </w:t>
      </w:r>
      <w:r w:rsidRPr="006210C6">
        <w:t>of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12</w:t>
      </w:r>
      <w:r w:rsidR="0013032F" w:rsidRPr="006210C6">
        <w:t xml:space="preserve"> </w:t>
      </w:r>
      <w:r w:rsidRPr="006210C6">
        <w:t>Apostles</w:t>
      </w:r>
      <w:r w:rsidR="0013032F" w:rsidRPr="006210C6">
        <w:t xml:space="preserve"> </w:t>
      </w:r>
      <w:r w:rsidRPr="006210C6">
        <w:t>Trail</w:t>
      </w:r>
      <w:r w:rsidR="0013032F" w:rsidRPr="006210C6">
        <w:t xml:space="preserve"> </w:t>
      </w:r>
      <w:r w:rsidRPr="006210C6">
        <w:t>will</w:t>
      </w:r>
      <w:r w:rsidR="0013032F" w:rsidRPr="006210C6">
        <w:t xml:space="preserve"> </w:t>
      </w:r>
      <w:r w:rsidRPr="006210C6">
        <w:t>offer</w:t>
      </w:r>
      <w:r w:rsidR="0013032F" w:rsidRPr="006210C6">
        <w:t xml:space="preserve"> </w:t>
      </w:r>
      <w:r w:rsidRPr="006210C6">
        <w:t>a</w:t>
      </w:r>
      <w:r w:rsidR="0013032F" w:rsidRPr="006210C6">
        <w:t xml:space="preserve"> </w:t>
      </w:r>
      <w:r w:rsidRPr="006210C6">
        <w:t>quality</w:t>
      </w:r>
      <w:r w:rsidR="0013032F" w:rsidRPr="006210C6">
        <w:t xml:space="preserve"> </w:t>
      </w:r>
      <w:r w:rsidRPr="006210C6">
        <w:t>nature-based</w:t>
      </w:r>
      <w:r w:rsidR="0013032F" w:rsidRPr="006210C6">
        <w:t xml:space="preserve"> </w:t>
      </w:r>
      <w:r w:rsidRPr="006210C6">
        <w:t>experience</w:t>
      </w:r>
      <w:r w:rsidR="0013032F" w:rsidRPr="006210C6">
        <w:t xml:space="preserve"> </w:t>
      </w:r>
      <w:r w:rsidRPr="006210C6">
        <w:t>allowing</w:t>
      </w:r>
      <w:r w:rsidR="0013032F" w:rsidRPr="006210C6">
        <w:t xml:space="preserve"> </w:t>
      </w:r>
      <w:r w:rsidRPr="006210C6">
        <w:t>visitors</w:t>
      </w:r>
      <w:r w:rsidR="0013032F" w:rsidRPr="006210C6">
        <w:t xml:space="preserve"> </w:t>
      </w:r>
      <w:r w:rsidRPr="006210C6">
        <w:t>to</w:t>
      </w:r>
      <w:r w:rsidR="0013032F" w:rsidRPr="006210C6">
        <w:t xml:space="preserve"> </w:t>
      </w:r>
      <w:r w:rsidRPr="006210C6">
        <w:t>enjoy</w:t>
      </w:r>
      <w:r w:rsidR="0013032F" w:rsidRPr="006210C6">
        <w:t xml:space="preserve"> </w:t>
      </w:r>
      <w:r w:rsidRPr="006210C6">
        <w:t>even</w:t>
      </w:r>
      <w:r w:rsidR="0013032F" w:rsidRPr="006210C6">
        <w:t xml:space="preserve"> </w:t>
      </w:r>
      <w:r w:rsidRPr="006210C6">
        <w:t>more</w:t>
      </w:r>
      <w:r w:rsidR="0013032F" w:rsidRPr="006210C6">
        <w:t xml:space="preserve"> </w:t>
      </w:r>
      <w:r w:rsidRPr="006210C6">
        <w:t>of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Great</w:t>
      </w:r>
      <w:r w:rsidR="0013032F" w:rsidRPr="006210C6">
        <w:t xml:space="preserve"> </w:t>
      </w:r>
      <w:r w:rsidRPr="006210C6">
        <w:t>Ocean</w:t>
      </w:r>
      <w:r w:rsidR="0013032F" w:rsidRPr="006210C6">
        <w:t xml:space="preserve"> </w:t>
      </w:r>
      <w:r w:rsidRPr="006210C6">
        <w:t>Road</w:t>
      </w:r>
      <w:r w:rsidR="0013032F" w:rsidRPr="006210C6">
        <w:t xml:space="preserve"> </w:t>
      </w:r>
      <w:r w:rsidRPr="006210C6">
        <w:t>region.</w:t>
      </w:r>
      <w:r w:rsidR="0013032F" w:rsidRPr="006210C6">
        <w:t xml:space="preserve"> </w:t>
      </w:r>
      <w:r w:rsidRPr="006210C6">
        <w:t>It</w:t>
      </w:r>
      <w:r w:rsidR="0013032F" w:rsidRPr="006210C6">
        <w:t xml:space="preserve"> </w:t>
      </w:r>
      <w:r w:rsidRPr="006210C6">
        <w:t>will</w:t>
      </w:r>
      <w:r w:rsidR="0013032F" w:rsidRPr="006210C6">
        <w:t xml:space="preserve"> </w:t>
      </w:r>
      <w:r w:rsidRPr="006210C6">
        <w:t>help</w:t>
      </w:r>
      <w:r w:rsidR="0013032F" w:rsidRPr="006210C6">
        <w:t xml:space="preserve"> </w:t>
      </w:r>
      <w:r w:rsidRPr="006210C6">
        <w:t>distribute</w:t>
      </w:r>
      <w:r w:rsidR="0013032F" w:rsidRPr="006210C6">
        <w:t xml:space="preserve"> </w:t>
      </w:r>
      <w:r w:rsidRPr="006210C6">
        <w:t>economic</w:t>
      </w:r>
      <w:r w:rsidR="0013032F" w:rsidRPr="006210C6">
        <w:t xml:space="preserve"> </w:t>
      </w:r>
      <w:r w:rsidRPr="006210C6">
        <w:t>benefit</w:t>
      </w:r>
      <w:r w:rsidR="0013032F" w:rsidRPr="006210C6">
        <w:t xml:space="preserve"> </w:t>
      </w:r>
      <w:r w:rsidRPr="006210C6">
        <w:t>from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coastline</w:t>
      </w:r>
      <w:r w:rsidR="0013032F" w:rsidRPr="006210C6">
        <w:t xml:space="preserve"> </w:t>
      </w:r>
      <w:r w:rsidRPr="006210C6">
        <w:t>through</w:t>
      </w:r>
      <w:r w:rsidR="0013032F" w:rsidRPr="006210C6">
        <w:t xml:space="preserve"> </w:t>
      </w:r>
      <w:r w:rsidRPr="006210C6">
        <w:t>to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hinterland</w:t>
      </w:r>
      <w:r w:rsidR="0013032F" w:rsidRPr="006210C6">
        <w:t xml:space="preserve"> </w:t>
      </w:r>
      <w:r w:rsidRPr="006210C6">
        <w:t>and</w:t>
      </w:r>
      <w:r w:rsidR="0013032F" w:rsidRPr="006210C6">
        <w:t xml:space="preserve"> </w:t>
      </w:r>
      <w:r w:rsidRPr="006210C6">
        <w:t>increase</w:t>
      </w:r>
      <w:r w:rsidR="0013032F" w:rsidRPr="006210C6">
        <w:t xml:space="preserve"> </w:t>
      </w:r>
      <w:r w:rsidRPr="006210C6">
        <w:t>visitor</w:t>
      </w:r>
      <w:r w:rsidR="0013032F" w:rsidRPr="006210C6">
        <w:t xml:space="preserve"> </w:t>
      </w:r>
      <w:r w:rsidRPr="006210C6">
        <w:t>yield</w:t>
      </w:r>
      <w:r w:rsidR="0013032F" w:rsidRPr="006210C6">
        <w:t xml:space="preserve"> </w:t>
      </w:r>
      <w:r w:rsidRPr="006210C6">
        <w:t>for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local</w:t>
      </w:r>
      <w:r w:rsidR="0013032F" w:rsidRPr="006210C6">
        <w:t xml:space="preserve"> </w:t>
      </w:r>
      <w:r w:rsidRPr="006210C6">
        <w:t>economies</w:t>
      </w:r>
      <w:r w:rsidR="0013032F" w:rsidRPr="006210C6">
        <w:t xml:space="preserve"> </w:t>
      </w:r>
      <w:r w:rsidRPr="006210C6">
        <w:t>of</w:t>
      </w:r>
      <w:r w:rsidR="0013032F" w:rsidRPr="006210C6">
        <w:t xml:space="preserve"> </w:t>
      </w:r>
      <w:r w:rsidRPr="006210C6">
        <w:t>Port</w:t>
      </w:r>
      <w:r w:rsidR="0013032F" w:rsidRPr="006210C6">
        <w:t xml:space="preserve"> </w:t>
      </w:r>
      <w:r w:rsidRPr="006210C6">
        <w:t>Campbell</w:t>
      </w:r>
      <w:r w:rsidR="0013032F" w:rsidRPr="006210C6">
        <w:t xml:space="preserve"> </w:t>
      </w:r>
      <w:r w:rsidRPr="006210C6">
        <w:t>and</w:t>
      </w:r>
      <w:r w:rsidR="0013032F" w:rsidRPr="006210C6">
        <w:t xml:space="preserve"> </w:t>
      </w:r>
      <w:r w:rsidRPr="006210C6">
        <w:t>Timboon</w:t>
      </w:r>
    </w:p>
    <w:p w14:paraId="4296754A" w14:textId="7BCC6A97" w:rsidR="00757772" w:rsidRPr="006210C6" w:rsidRDefault="00305D3C" w:rsidP="006210C6">
      <w:pPr>
        <w:pStyle w:val="Bulletlast"/>
      </w:pPr>
      <w:r w:rsidRPr="006210C6">
        <w:t>Commenced</w:t>
      </w:r>
      <w:r w:rsidR="0013032F" w:rsidRPr="006210C6">
        <w:t xml:space="preserve"> </w:t>
      </w:r>
      <w:r w:rsidRPr="006210C6">
        <w:t>works</w:t>
      </w:r>
      <w:r w:rsidR="0013032F" w:rsidRPr="006210C6">
        <w:t xml:space="preserve"> </w:t>
      </w:r>
      <w:r w:rsidRPr="006210C6">
        <w:t>on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Port</w:t>
      </w:r>
      <w:r w:rsidR="0013032F" w:rsidRPr="006210C6">
        <w:t xml:space="preserve"> </w:t>
      </w:r>
      <w:r w:rsidRPr="006210C6">
        <w:t>Campbell</w:t>
      </w:r>
      <w:r w:rsidR="0013032F" w:rsidRPr="006210C6">
        <w:t xml:space="preserve"> </w:t>
      </w:r>
      <w:r w:rsidRPr="006210C6">
        <w:t>town</w:t>
      </w:r>
      <w:r w:rsidR="0013032F" w:rsidRPr="006210C6">
        <w:t xml:space="preserve"> </w:t>
      </w:r>
      <w:r w:rsidRPr="006210C6">
        <w:t>centre</w:t>
      </w:r>
      <w:r w:rsidR="0013032F" w:rsidRPr="006210C6">
        <w:t xml:space="preserve"> </w:t>
      </w:r>
      <w:r w:rsidRPr="006210C6">
        <w:t>revitalisation</w:t>
      </w:r>
      <w:r w:rsidR="0013032F" w:rsidRPr="006210C6">
        <w:t xml:space="preserve"> </w:t>
      </w:r>
      <w:r w:rsidRPr="006210C6">
        <w:t>following</w:t>
      </w:r>
      <w:r w:rsidR="0013032F" w:rsidRPr="006210C6">
        <w:t xml:space="preserve"> </w:t>
      </w:r>
      <w:r w:rsidRPr="006210C6">
        <w:t>a</w:t>
      </w:r>
      <w:r w:rsidR="0013032F" w:rsidRPr="006210C6">
        <w:t xml:space="preserve"> </w:t>
      </w:r>
      <w:r w:rsidRPr="006210C6">
        <w:t>$6</w:t>
      </w:r>
      <w:r w:rsidR="0013032F" w:rsidRPr="006210C6">
        <w:t xml:space="preserve"> </w:t>
      </w:r>
      <w:r w:rsidRPr="006210C6">
        <w:t>million</w:t>
      </w:r>
      <w:r w:rsidR="0013032F" w:rsidRPr="006210C6">
        <w:t xml:space="preserve"> </w:t>
      </w:r>
      <w:r w:rsidRPr="006210C6">
        <w:t>investment</w:t>
      </w:r>
      <w:r w:rsidR="0013032F" w:rsidRPr="006210C6">
        <w:t xml:space="preserve"> </w:t>
      </w:r>
      <w:r w:rsidRPr="006210C6">
        <w:t>from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Victorian</w:t>
      </w:r>
      <w:r w:rsidR="0013032F" w:rsidRPr="006210C6">
        <w:t xml:space="preserve"> </w:t>
      </w:r>
      <w:r w:rsidRPr="006210C6">
        <w:t>Government’s</w:t>
      </w:r>
      <w:r w:rsidR="0013032F" w:rsidRPr="006210C6">
        <w:t xml:space="preserve"> </w:t>
      </w:r>
      <w:r w:rsidRPr="006210C6">
        <w:t>Regional</w:t>
      </w:r>
      <w:r w:rsidR="0013032F" w:rsidRPr="006210C6">
        <w:t xml:space="preserve"> </w:t>
      </w:r>
      <w:r w:rsidRPr="006210C6">
        <w:t>Infrastructure</w:t>
      </w:r>
      <w:r w:rsidR="0013032F" w:rsidRPr="006210C6">
        <w:t xml:space="preserve"> </w:t>
      </w:r>
      <w:r w:rsidRPr="006210C6">
        <w:t>Fund.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project</w:t>
      </w:r>
      <w:r w:rsidR="0013032F" w:rsidRPr="006210C6">
        <w:t xml:space="preserve"> </w:t>
      </w:r>
      <w:r w:rsidRPr="006210C6">
        <w:t>will</w:t>
      </w:r>
      <w:r w:rsidR="0013032F" w:rsidRPr="006210C6">
        <w:t xml:space="preserve"> </w:t>
      </w:r>
      <w:r w:rsidRPr="006210C6">
        <w:t>deliver</w:t>
      </w:r>
      <w:r w:rsidR="0013032F" w:rsidRPr="006210C6">
        <w:t xml:space="preserve"> </w:t>
      </w:r>
      <w:r w:rsidRPr="006210C6">
        <w:t>public</w:t>
      </w:r>
      <w:r w:rsidR="0013032F" w:rsidRPr="006210C6">
        <w:t xml:space="preserve"> </w:t>
      </w:r>
      <w:r w:rsidRPr="006210C6">
        <w:t>improvements</w:t>
      </w:r>
      <w:r w:rsidR="0013032F" w:rsidRPr="006210C6">
        <w:t xml:space="preserve"> </w:t>
      </w:r>
      <w:r w:rsidRPr="006210C6">
        <w:t>in</w:t>
      </w:r>
      <w:r w:rsidR="0013032F" w:rsidRPr="006210C6">
        <w:t xml:space="preserve"> </w:t>
      </w:r>
      <w:r w:rsidRPr="006210C6">
        <w:t>the</w:t>
      </w:r>
      <w:r w:rsidR="0013032F" w:rsidRPr="006210C6">
        <w:t xml:space="preserve"> </w:t>
      </w:r>
      <w:r w:rsidRPr="006210C6">
        <w:t>town’s</w:t>
      </w:r>
      <w:r w:rsidR="0013032F" w:rsidRPr="006210C6">
        <w:t xml:space="preserve"> </w:t>
      </w:r>
      <w:r w:rsidRPr="006210C6">
        <w:t>retail,</w:t>
      </w:r>
      <w:r w:rsidR="0013032F" w:rsidRPr="006210C6">
        <w:t xml:space="preserve"> </w:t>
      </w:r>
      <w:r w:rsidRPr="006210C6">
        <w:t>commercial</w:t>
      </w:r>
      <w:r w:rsidR="0013032F" w:rsidRPr="006210C6">
        <w:t xml:space="preserve"> </w:t>
      </w:r>
      <w:r w:rsidRPr="006210C6">
        <w:t>and</w:t>
      </w:r>
      <w:r w:rsidR="0013032F" w:rsidRPr="006210C6">
        <w:t xml:space="preserve"> </w:t>
      </w:r>
      <w:r w:rsidRPr="006210C6">
        <w:t>foreshore</w:t>
      </w:r>
      <w:r w:rsidR="0013032F" w:rsidRPr="006210C6">
        <w:t xml:space="preserve"> </w:t>
      </w:r>
      <w:r w:rsidRPr="006210C6">
        <w:t>areas.</w:t>
      </w:r>
      <w:r w:rsidR="0013032F" w:rsidRPr="006210C6">
        <w:t xml:space="preserve"> </w:t>
      </w:r>
      <w:r w:rsidRPr="006210C6">
        <w:t>Works</w:t>
      </w:r>
      <w:r w:rsidR="0013032F" w:rsidRPr="006210C6">
        <w:t xml:space="preserve"> </w:t>
      </w:r>
      <w:r w:rsidRPr="006210C6">
        <w:t>on</w:t>
      </w:r>
      <w:r w:rsidR="0013032F" w:rsidRPr="006210C6">
        <w:t xml:space="preserve"> </w:t>
      </w:r>
      <w:proofErr w:type="spellStart"/>
      <w:r w:rsidRPr="006210C6">
        <w:t>Tregea</w:t>
      </w:r>
      <w:proofErr w:type="spellEnd"/>
      <w:r w:rsidR="0013032F" w:rsidRPr="006210C6">
        <w:t xml:space="preserve"> </w:t>
      </w:r>
      <w:r w:rsidRPr="006210C6">
        <w:t>Street</w:t>
      </w:r>
      <w:r w:rsidR="0013032F" w:rsidRPr="006210C6">
        <w:t xml:space="preserve"> </w:t>
      </w:r>
      <w:r w:rsidRPr="006210C6">
        <w:t>were</w:t>
      </w:r>
      <w:r w:rsidR="0013032F" w:rsidRPr="006210C6">
        <w:t xml:space="preserve"> </w:t>
      </w:r>
      <w:r w:rsidRPr="006210C6">
        <w:t>completed.</w:t>
      </w:r>
    </w:p>
    <w:p w14:paraId="211E6822" w14:textId="7557203B" w:rsidR="00757772" w:rsidRDefault="00305D3C" w:rsidP="00255D8D">
      <w:pPr>
        <w:pStyle w:val="Heading2"/>
      </w:pPr>
      <w:bookmarkStart w:id="43" w:name="_Toc149566589"/>
      <w:r>
        <w:t>Key</w:t>
      </w:r>
      <w:r w:rsidR="0013032F">
        <w:t xml:space="preserve"> </w:t>
      </w:r>
      <w:r>
        <w:t>outcomes</w:t>
      </w:r>
      <w:bookmarkEnd w:id="43"/>
    </w:p>
    <w:p w14:paraId="268DA86F" w14:textId="48FF51A7" w:rsidR="00757772" w:rsidRPr="00255D8D" w:rsidRDefault="00305D3C" w:rsidP="00255D8D">
      <w:pPr>
        <w:pStyle w:val="Normalbeforebullets"/>
        <w:rPr>
          <w:b/>
          <w:bCs/>
        </w:rPr>
      </w:pPr>
      <w:r w:rsidRPr="00255D8D">
        <w:rPr>
          <w:b/>
          <w:bCs/>
        </w:rPr>
        <w:t>Invested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in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advanced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manufacturing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–</w:t>
      </w:r>
      <w:r w:rsidR="0013032F" w:rsidRPr="00255D8D">
        <w:rPr>
          <w:b/>
          <w:bCs/>
        </w:rPr>
        <w:t xml:space="preserve"> </w:t>
      </w:r>
      <w:proofErr w:type="spellStart"/>
      <w:r w:rsidRPr="00255D8D">
        <w:rPr>
          <w:b/>
          <w:bCs/>
        </w:rPr>
        <w:t>Edencraft</w:t>
      </w:r>
      <w:proofErr w:type="spellEnd"/>
    </w:p>
    <w:p w14:paraId="23837A20" w14:textId="3AEA21C5" w:rsidR="00757772" w:rsidRDefault="00305D3C" w:rsidP="00255D8D">
      <w:r>
        <w:t>Supported</w:t>
      </w:r>
      <w:r w:rsidR="0013032F">
        <w:t xml:space="preserve"> </w:t>
      </w:r>
      <w:r>
        <w:t>Moolap-based</w:t>
      </w:r>
      <w:r w:rsidR="0013032F">
        <w:t xml:space="preserve"> </w:t>
      </w:r>
      <w:r>
        <w:t>boat</w:t>
      </w:r>
      <w:r w:rsidR="0013032F">
        <w:t xml:space="preserve"> </w:t>
      </w:r>
      <w:r>
        <w:t>manufacturer</w:t>
      </w:r>
      <w:r w:rsidR="0013032F">
        <w:t xml:space="preserve"> </w:t>
      </w:r>
      <w:proofErr w:type="spellStart"/>
      <w:r>
        <w:t>Edencraft</w:t>
      </w:r>
      <w:proofErr w:type="spellEnd"/>
      <w:r w:rsidR="0013032F">
        <w:t xml:space="preserve"> </w:t>
      </w:r>
      <w:r>
        <w:rPr>
          <w:spacing w:val="2"/>
        </w:rPr>
        <w:t>International</w:t>
      </w:r>
      <w:r w:rsidR="0013032F">
        <w:rPr>
          <w:spacing w:val="2"/>
        </w:rPr>
        <w:t xml:space="preserve"> </w:t>
      </w:r>
      <w:r>
        <w:rPr>
          <w:spacing w:val="2"/>
        </w:rPr>
        <w:t>to</w:t>
      </w:r>
      <w:r w:rsidR="0013032F">
        <w:rPr>
          <w:spacing w:val="2"/>
        </w:rPr>
        <w:t xml:space="preserve"> </w:t>
      </w:r>
      <w:r>
        <w:rPr>
          <w:spacing w:val="2"/>
        </w:rPr>
        <w:t>install</w:t>
      </w:r>
      <w:r w:rsidR="0013032F">
        <w:rPr>
          <w:spacing w:val="2"/>
        </w:rPr>
        <w:t xml:space="preserve"> </w:t>
      </w:r>
      <w:r>
        <w:rPr>
          <w:spacing w:val="2"/>
        </w:rPr>
        <w:t>advanced</w:t>
      </w:r>
      <w:r w:rsidR="0013032F">
        <w:rPr>
          <w:spacing w:val="2"/>
        </w:rPr>
        <w:t xml:space="preserve"> </w:t>
      </w:r>
      <w:r>
        <w:rPr>
          <w:spacing w:val="2"/>
        </w:rPr>
        <w:t>manufacturing</w:t>
      </w:r>
      <w:r w:rsidR="0013032F">
        <w:rPr>
          <w:spacing w:val="2"/>
        </w:rPr>
        <w:t xml:space="preserve"> </w:t>
      </w:r>
      <w:r>
        <w:rPr>
          <w:spacing w:val="2"/>
        </w:rPr>
        <w:t>machinery</w:t>
      </w:r>
      <w:r w:rsidR="0013032F">
        <w:rPr>
          <w:spacing w:val="2"/>
        </w:rPr>
        <w:t xml:space="preserve"> </w:t>
      </w:r>
      <w:r>
        <w:rPr>
          <w:spacing w:val="2"/>
        </w:rPr>
        <w:t>at</w:t>
      </w:r>
      <w:r w:rsidR="0013032F">
        <w:rPr>
          <w:spacing w:val="2"/>
        </w:rPr>
        <w:t xml:space="preserve"> </w:t>
      </w:r>
      <w:r>
        <w:rPr>
          <w:spacing w:val="2"/>
        </w:rPr>
        <w:t>its</w:t>
      </w:r>
      <w:r w:rsidR="0013032F">
        <w:rPr>
          <w:spacing w:val="2"/>
        </w:rPr>
        <w:t xml:space="preserve"> </w:t>
      </w:r>
      <w:r>
        <w:rPr>
          <w:spacing w:val="2"/>
        </w:rPr>
        <w:t>workshop</w:t>
      </w:r>
      <w:r w:rsidR="0013032F">
        <w:rPr>
          <w:spacing w:val="2"/>
        </w:rPr>
        <w:t xml:space="preserve"> </w:t>
      </w:r>
      <w:r>
        <w:rPr>
          <w:spacing w:val="2"/>
        </w:rPr>
        <w:t>with</w:t>
      </w:r>
      <w:r w:rsidR="0013032F">
        <w:rPr>
          <w:spacing w:val="2"/>
        </w:rPr>
        <w:t xml:space="preserve"> </w:t>
      </w:r>
      <w:r>
        <w:rPr>
          <w:spacing w:val="2"/>
        </w:rPr>
        <w:t>support</w:t>
      </w:r>
      <w:r w:rsidR="0013032F">
        <w:rPr>
          <w:spacing w:val="2"/>
        </w:rPr>
        <w:t xml:space="preserve"> </w:t>
      </w:r>
      <w:r>
        <w:rPr>
          <w:spacing w:val="2"/>
        </w:rPr>
        <w:t>from</w:t>
      </w:r>
      <w:r w:rsidR="0013032F">
        <w:rPr>
          <w:spacing w:val="2"/>
        </w:rPr>
        <w:t xml:space="preserve"> </w:t>
      </w:r>
      <w:r>
        <w:rPr>
          <w:spacing w:val="2"/>
        </w:rPr>
        <w:t>the</w:t>
      </w:r>
      <w:r w:rsidR="0013032F">
        <w:rPr>
          <w:spacing w:val="2"/>
        </w:rPr>
        <w:t xml:space="preserve"> </w:t>
      </w:r>
      <w:r>
        <w:t>Regional</w:t>
      </w:r>
      <w:r w:rsidR="0013032F">
        <w:t xml:space="preserve"> </w:t>
      </w:r>
      <w:r>
        <w:t>Jobs</w:t>
      </w:r>
      <w:r w:rsidR="0013032F">
        <w:t xml:space="preserve"> </w:t>
      </w:r>
      <w:r>
        <w:t>Fund.</w:t>
      </w:r>
      <w:r w:rsidR="0013032F">
        <w:t xml:space="preserve"> </w:t>
      </w:r>
      <w:r>
        <w:t>This</w:t>
      </w:r>
      <w:r w:rsidR="0013032F">
        <w:t xml:space="preserve"> </w:t>
      </w:r>
      <w:r>
        <w:t>will</w:t>
      </w:r>
      <w:r w:rsidR="0013032F">
        <w:t xml:space="preserve"> </w:t>
      </w:r>
      <w:r>
        <w:t>help</w:t>
      </w:r>
      <w:r w:rsidR="0013032F">
        <w:t xml:space="preserve"> </w:t>
      </w:r>
      <w:r>
        <w:t>increase</w:t>
      </w:r>
      <w:r w:rsidR="0013032F">
        <w:t xml:space="preserve"> </w:t>
      </w:r>
      <w:r>
        <w:t>production</w:t>
      </w:r>
      <w:r w:rsidR="0013032F">
        <w:t xml:space="preserve"> </w:t>
      </w:r>
      <w:r>
        <w:t>and</w:t>
      </w:r>
      <w:r w:rsidR="0013032F">
        <w:t xml:space="preserve"> </w:t>
      </w:r>
      <w:r>
        <w:t>reduce</w:t>
      </w:r>
      <w:r w:rsidR="0013032F">
        <w:t xml:space="preserve"> </w:t>
      </w:r>
      <w:r>
        <w:t>manufacturing</w:t>
      </w:r>
      <w:r w:rsidR="0013032F">
        <w:t xml:space="preserve"> </w:t>
      </w:r>
      <w:r>
        <w:t>timeframes</w:t>
      </w:r>
      <w:r w:rsidR="0013032F">
        <w:t xml:space="preserve"> </w:t>
      </w:r>
      <w:r>
        <w:t>to</w:t>
      </w:r>
      <w:r w:rsidR="0013032F">
        <w:t xml:space="preserve"> </w:t>
      </w:r>
      <w:r>
        <w:t>support</w:t>
      </w:r>
      <w:r w:rsidR="0013032F">
        <w:t xml:space="preserve"> </w:t>
      </w:r>
      <w:r>
        <w:t>the</w:t>
      </w:r>
      <w:r w:rsidR="0013032F">
        <w:t xml:space="preserve"> </w:t>
      </w:r>
      <w:r>
        <w:t>company</w:t>
      </w:r>
      <w:r w:rsidR="0013032F">
        <w:t xml:space="preserve"> </w:t>
      </w:r>
      <w:r>
        <w:t>to</w:t>
      </w:r>
      <w:r w:rsidR="0013032F">
        <w:t xml:space="preserve"> </w:t>
      </w:r>
      <w:r>
        <w:t>build</w:t>
      </w:r>
      <w:r w:rsidR="0013032F">
        <w:t xml:space="preserve"> </w:t>
      </w:r>
      <w:r>
        <w:t>up</w:t>
      </w:r>
      <w:r w:rsidR="0013032F">
        <w:t xml:space="preserve"> </w:t>
      </w:r>
      <w:r>
        <w:t>to</w:t>
      </w:r>
      <w:r w:rsidR="0013032F">
        <w:t xml:space="preserve"> </w:t>
      </w:r>
      <w:r>
        <w:t>100</w:t>
      </w:r>
      <w:r w:rsidR="0013032F">
        <w:t xml:space="preserve"> </w:t>
      </w:r>
      <w:r>
        <w:t>boats</w:t>
      </w:r>
      <w:r w:rsidR="0013032F">
        <w:t xml:space="preserve"> </w:t>
      </w:r>
      <w:r>
        <w:t>per</w:t>
      </w:r>
      <w:r w:rsidR="0013032F">
        <w:t xml:space="preserve"> </w:t>
      </w:r>
      <w:r>
        <w:t>year,</w:t>
      </w:r>
      <w:r w:rsidR="0013032F">
        <w:t xml:space="preserve"> </w:t>
      </w:r>
      <w:r>
        <w:t>up</w:t>
      </w:r>
      <w:r w:rsidR="0013032F">
        <w:t xml:space="preserve"> </w:t>
      </w:r>
      <w:r>
        <w:t>from</w:t>
      </w:r>
      <w:r w:rsidR="0013032F">
        <w:t xml:space="preserve"> </w:t>
      </w:r>
      <w:r>
        <w:t>30</w:t>
      </w:r>
      <w:r>
        <w:t>.</w:t>
      </w:r>
    </w:p>
    <w:p w14:paraId="05F0E243" w14:textId="790EFAF5" w:rsidR="00757772" w:rsidRPr="00255D8D" w:rsidRDefault="00305D3C" w:rsidP="00255D8D">
      <w:pPr>
        <w:pStyle w:val="Normalbeforebullets"/>
        <w:rPr>
          <w:b/>
          <w:bCs/>
        </w:rPr>
      </w:pPr>
      <w:r w:rsidRPr="00255D8D">
        <w:rPr>
          <w:b/>
          <w:bCs/>
        </w:rPr>
        <w:t>Innovative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and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sustainable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businesses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–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Think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Fencing</w:t>
      </w:r>
    </w:p>
    <w:p w14:paraId="0524E681" w14:textId="19A6D503" w:rsidR="00757772" w:rsidRDefault="00305D3C" w:rsidP="00255D8D">
      <w:r>
        <w:t>Supported</w:t>
      </w:r>
      <w:r w:rsidR="0013032F">
        <w:t xml:space="preserve"> </w:t>
      </w:r>
      <w:r>
        <w:t>Portarlington</w:t>
      </w:r>
      <w:r w:rsidR="0013032F">
        <w:t xml:space="preserve"> </w:t>
      </w:r>
      <w:r>
        <w:t>manufacturer</w:t>
      </w:r>
      <w:r w:rsidR="0013032F">
        <w:t xml:space="preserve"> </w:t>
      </w:r>
      <w:r>
        <w:t>Think</w:t>
      </w:r>
      <w:r w:rsidR="0013032F">
        <w:t xml:space="preserve"> </w:t>
      </w:r>
      <w:r>
        <w:t>Fencing</w:t>
      </w:r>
      <w:r w:rsidR="0013032F">
        <w:t xml:space="preserve"> </w:t>
      </w:r>
      <w:r>
        <w:t>to</w:t>
      </w:r>
      <w:r w:rsidR="0013032F">
        <w:t xml:space="preserve"> </w:t>
      </w:r>
      <w:r>
        <w:t>expand</w:t>
      </w:r>
      <w:r w:rsidR="0013032F">
        <w:t xml:space="preserve"> </w:t>
      </w:r>
      <w:r>
        <w:t>its</w:t>
      </w:r>
      <w:r w:rsidR="0013032F">
        <w:t xml:space="preserve"> </w:t>
      </w:r>
      <w:r>
        <w:t>innovative</w:t>
      </w:r>
      <w:r w:rsidR="0013032F">
        <w:t xml:space="preserve"> </w:t>
      </w:r>
      <w:r>
        <w:t>line</w:t>
      </w:r>
      <w:r w:rsidR="0013032F">
        <w:t xml:space="preserve"> </w:t>
      </w:r>
      <w:r>
        <w:t>of</w:t>
      </w:r>
      <w:r w:rsidR="0013032F">
        <w:t xml:space="preserve"> </w:t>
      </w:r>
      <w:r>
        <w:t>products</w:t>
      </w:r>
      <w:r w:rsidR="0013032F">
        <w:t xml:space="preserve"> </w:t>
      </w:r>
      <w:r>
        <w:t>and</w:t>
      </w:r>
      <w:r w:rsidR="0013032F">
        <w:t xml:space="preserve"> </w:t>
      </w:r>
      <w:r>
        <w:t>hire</w:t>
      </w:r>
      <w:r w:rsidR="0013032F">
        <w:t xml:space="preserve"> </w:t>
      </w:r>
      <w:r>
        <w:t>new</w:t>
      </w:r>
      <w:r w:rsidR="0013032F">
        <w:t xml:space="preserve"> </w:t>
      </w:r>
      <w:r>
        <w:t>staff</w:t>
      </w:r>
      <w:r w:rsidR="0013032F">
        <w:t xml:space="preserve"> </w:t>
      </w:r>
      <w:r>
        <w:t>thanks</w:t>
      </w:r>
      <w:r w:rsidR="0013032F">
        <w:t xml:space="preserve"> </w:t>
      </w:r>
      <w:r>
        <w:t>to</w:t>
      </w:r>
      <w:r w:rsidR="0013032F">
        <w:t xml:space="preserve"> </w:t>
      </w:r>
      <w:r>
        <w:t>an</w:t>
      </w:r>
      <w:r w:rsidR="0013032F">
        <w:t xml:space="preserve"> </w:t>
      </w:r>
      <w:r>
        <w:t>investment</w:t>
      </w:r>
      <w:r w:rsidR="0013032F">
        <w:t xml:space="preserve"> </w:t>
      </w:r>
      <w:r>
        <w:t>from</w:t>
      </w:r>
      <w:r w:rsidR="0013032F">
        <w:t xml:space="preserve"> </w:t>
      </w:r>
      <w:r>
        <w:t>the</w:t>
      </w:r>
      <w:r w:rsidR="0013032F">
        <w:t xml:space="preserve"> </w:t>
      </w:r>
      <w:r>
        <w:t>Regional</w:t>
      </w:r>
      <w:r w:rsidR="0013032F">
        <w:t xml:space="preserve"> </w:t>
      </w:r>
      <w:r>
        <w:t>Jobs</w:t>
      </w:r>
      <w:r w:rsidR="0013032F">
        <w:t xml:space="preserve"> </w:t>
      </w:r>
      <w:r>
        <w:rPr>
          <w:spacing w:val="-3"/>
        </w:rPr>
        <w:t>Fund.</w:t>
      </w:r>
      <w:r w:rsidR="0013032F">
        <w:rPr>
          <w:spacing w:val="-3"/>
        </w:rPr>
        <w:t xml:space="preserve"> </w:t>
      </w:r>
      <w:r>
        <w:rPr>
          <w:spacing w:val="-3"/>
        </w:rPr>
        <w:t>Think</w:t>
      </w:r>
      <w:r w:rsidR="0013032F">
        <w:rPr>
          <w:spacing w:val="-3"/>
        </w:rPr>
        <w:t xml:space="preserve"> </w:t>
      </w:r>
      <w:r>
        <w:rPr>
          <w:spacing w:val="-3"/>
        </w:rPr>
        <w:t>Fencing</w:t>
      </w:r>
      <w:r w:rsidR="0013032F">
        <w:rPr>
          <w:spacing w:val="-3"/>
        </w:rPr>
        <w:t xml:space="preserve"> </w:t>
      </w:r>
      <w:r>
        <w:rPr>
          <w:spacing w:val="-3"/>
        </w:rPr>
        <w:t>produces</w:t>
      </w:r>
      <w:r w:rsidR="0013032F">
        <w:rPr>
          <w:spacing w:val="-3"/>
        </w:rPr>
        <w:t xml:space="preserve"> </w:t>
      </w:r>
      <w:r>
        <w:rPr>
          <w:spacing w:val="-3"/>
        </w:rPr>
        <w:t>fencing</w:t>
      </w:r>
      <w:r w:rsidR="0013032F">
        <w:rPr>
          <w:spacing w:val="-3"/>
        </w:rPr>
        <w:t xml:space="preserve"> </w:t>
      </w:r>
      <w:r>
        <w:rPr>
          <w:spacing w:val="-3"/>
        </w:rPr>
        <w:t>and</w:t>
      </w:r>
      <w:r w:rsidR="0013032F">
        <w:rPr>
          <w:spacing w:val="-3"/>
        </w:rPr>
        <w:t xml:space="preserve"> </w:t>
      </w:r>
      <w:r>
        <w:rPr>
          <w:spacing w:val="-3"/>
        </w:rPr>
        <w:t>decking</w:t>
      </w:r>
      <w:r w:rsidR="0013032F">
        <w:rPr>
          <w:spacing w:val="-3"/>
        </w:rPr>
        <w:t xml:space="preserve"> </w:t>
      </w:r>
      <w:r>
        <w:rPr>
          <w:spacing w:val="-3"/>
        </w:rPr>
        <w:t>with</w:t>
      </w:r>
      <w:r w:rsidR="0013032F">
        <w:rPr>
          <w:spacing w:val="-3"/>
        </w:rPr>
        <w:t xml:space="preserve"> </w:t>
      </w:r>
      <w:r>
        <w:rPr>
          <w:spacing w:val="-2"/>
        </w:rPr>
        <w:t>its</w:t>
      </w:r>
      <w:r w:rsidR="0013032F">
        <w:rPr>
          <w:spacing w:val="-2"/>
        </w:rPr>
        <w:t xml:space="preserve"> </w:t>
      </w:r>
      <w:r>
        <w:rPr>
          <w:spacing w:val="-2"/>
        </w:rPr>
        <w:t>decking</w:t>
      </w:r>
      <w:r w:rsidR="0013032F">
        <w:rPr>
          <w:spacing w:val="-2"/>
        </w:rPr>
        <w:t xml:space="preserve"> </w:t>
      </w:r>
      <w:r>
        <w:rPr>
          <w:spacing w:val="-2"/>
        </w:rPr>
        <w:t>product</w:t>
      </w:r>
      <w:r w:rsidR="0013032F">
        <w:rPr>
          <w:spacing w:val="-2"/>
        </w:rPr>
        <w:t xml:space="preserve"> </w:t>
      </w:r>
      <w:r>
        <w:rPr>
          <w:spacing w:val="-2"/>
        </w:rPr>
        <w:t>helping</w:t>
      </w:r>
      <w:r w:rsidR="0013032F">
        <w:rPr>
          <w:spacing w:val="-2"/>
        </w:rPr>
        <w:t xml:space="preserve"> </w:t>
      </w:r>
      <w:r>
        <w:rPr>
          <w:spacing w:val="-2"/>
        </w:rPr>
        <w:t>reduce</w:t>
      </w:r>
      <w:r w:rsidR="0013032F">
        <w:rPr>
          <w:spacing w:val="-2"/>
        </w:rPr>
        <w:t xml:space="preserve"> </w:t>
      </w:r>
      <w:r>
        <w:rPr>
          <w:spacing w:val="-2"/>
        </w:rPr>
        <w:t>PVC</w:t>
      </w:r>
      <w:r w:rsidR="0013032F">
        <w:rPr>
          <w:spacing w:val="-2"/>
        </w:rPr>
        <w:t xml:space="preserve"> </w:t>
      </w:r>
      <w:r>
        <w:rPr>
          <w:spacing w:val="-2"/>
        </w:rPr>
        <w:t>waste</w:t>
      </w:r>
      <w:r w:rsidR="0013032F">
        <w:rPr>
          <w:spacing w:val="-2"/>
        </w:rPr>
        <w:t xml:space="preserve"> </w:t>
      </w:r>
      <w:r>
        <w:rPr>
          <w:spacing w:val="-2"/>
        </w:rPr>
        <w:t>going</w:t>
      </w:r>
      <w:r w:rsidR="0013032F">
        <w:rPr>
          <w:spacing w:val="-2"/>
        </w:rPr>
        <w:t xml:space="preserve"> </w:t>
      </w:r>
      <w:r>
        <w:rPr>
          <w:spacing w:val="-2"/>
        </w:rPr>
        <w:t>to</w:t>
      </w:r>
      <w:r w:rsidR="0013032F">
        <w:t xml:space="preserve"> </w:t>
      </w:r>
      <w:r>
        <w:t>landfill.</w:t>
      </w:r>
      <w:r w:rsidR="0013032F">
        <w:t xml:space="preserve"> </w:t>
      </w:r>
      <w:r>
        <w:t>The</w:t>
      </w:r>
      <w:r w:rsidR="0013032F">
        <w:t xml:space="preserve"> </w:t>
      </w:r>
      <w:r>
        <w:t>company’s</w:t>
      </w:r>
      <w:r w:rsidR="0013032F">
        <w:t xml:space="preserve"> </w:t>
      </w:r>
      <w:r>
        <w:t>products</w:t>
      </w:r>
      <w:r w:rsidR="0013032F">
        <w:t xml:space="preserve"> </w:t>
      </w:r>
      <w:r>
        <w:t>leverage</w:t>
      </w:r>
      <w:r w:rsidR="0013032F">
        <w:t xml:space="preserve"> </w:t>
      </w:r>
      <w:r>
        <w:t>new</w:t>
      </w:r>
      <w:r w:rsidR="0013032F">
        <w:t xml:space="preserve"> </w:t>
      </w:r>
      <w:r>
        <w:t>research</w:t>
      </w:r>
      <w:r w:rsidR="0013032F">
        <w:t xml:space="preserve"> </w:t>
      </w:r>
      <w:r>
        <w:t>undertaken</w:t>
      </w:r>
      <w:r w:rsidR="0013032F">
        <w:t xml:space="preserve"> </w:t>
      </w:r>
      <w:r>
        <w:t>in</w:t>
      </w:r>
      <w:r w:rsidR="0013032F">
        <w:t xml:space="preserve"> </w:t>
      </w:r>
      <w:r>
        <w:t>partnership</w:t>
      </w:r>
      <w:r w:rsidR="0013032F">
        <w:t xml:space="preserve"> </w:t>
      </w:r>
      <w:r>
        <w:t>with</w:t>
      </w:r>
      <w:r w:rsidR="0013032F">
        <w:t xml:space="preserve"> </w:t>
      </w:r>
      <w:r>
        <w:t>the</w:t>
      </w:r>
      <w:r w:rsidR="0013032F">
        <w:t xml:space="preserve"> </w:t>
      </w:r>
      <w:r>
        <w:t>CSIRO.</w:t>
      </w:r>
    </w:p>
    <w:p w14:paraId="73ABA53F" w14:textId="421CCCF4" w:rsidR="00757772" w:rsidRPr="00255D8D" w:rsidRDefault="00305D3C" w:rsidP="00255D8D">
      <w:pPr>
        <w:pStyle w:val="Normalbeforebullets"/>
        <w:rPr>
          <w:b/>
          <w:bCs/>
        </w:rPr>
      </w:pPr>
      <w:r w:rsidRPr="00255D8D">
        <w:rPr>
          <w:b/>
          <w:bCs/>
        </w:rPr>
        <w:lastRenderedPageBreak/>
        <w:t>New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jobs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created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in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Newcomb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–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Jayco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Prestige</w:t>
      </w:r>
    </w:p>
    <w:p w14:paraId="1AEF5F8B" w14:textId="20AA4C72" w:rsidR="00757772" w:rsidRDefault="00305D3C" w:rsidP="00255D8D">
      <w:r>
        <w:t>Created</w:t>
      </w:r>
      <w:r w:rsidR="0013032F">
        <w:t xml:space="preserve"> </w:t>
      </w:r>
      <w:r>
        <w:t>15</w:t>
      </w:r>
      <w:r w:rsidR="0013032F">
        <w:t xml:space="preserve"> </w:t>
      </w:r>
      <w:r>
        <w:t>new</w:t>
      </w:r>
      <w:r w:rsidR="0013032F">
        <w:t xml:space="preserve"> </w:t>
      </w:r>
      <w:r>
        <w:t>jobs</w:t>
      </w:r>
      <w:r w:rsidR="0013032F">
        <w:t xml:space="preserve"> </w:t>
      </w:r>
      <w:r>
        <w:t>including</w:t>
      </w:r>
      <w:r w:rsidR="0013032F">
        <w:t xml:space="preserve"> </w:t>
      </w:r>
      <w:r>
        <w:t>workshop</w:t>
      </w:r>
      <w:r w:rsidR="0013032F">
        <w:t xml:space="preserve"> </w:t>
      </w:r>
      <w:r>
        <w:t>technicians,</w:t>
      </w:r>
      <w:r w:rsidR="0013032F">
        <w:t xml:space="preserve"> </w:t>
      </w:r>
      <w:r>
        <w:t>sales</w:t>
      </w:r>
      <w:r w:rsidR="0013032F">
        <w:t xml:space="preserve"> </w:t>
      </w:r>
      <w:r>
        <w:t>and</w:t>
      </w:r>
      <w:r w:rsidR="0013032F">
        <w:t xml:space="preserve"> </w:t>
      </w:r>
      <w:r>
        <w:t>administration</w:t>
      </w:r>
      <w:r w:rsidR="0013032F">
        <w:t xml:space="preserve"> </w:t>
      </w:r>
      <w:r>
        <w:t>staff</w:t>
      </w:r>
      <w:r w:rsidR="0013032F">
        <w:t xml:space="preserve"> </w:t>
      </w:r>
      <w:r>
        <w:t>at</w:t>
      </w:r>
      <w:r w:rsidR="0013032F">
        <w:t xml:space="preserve"> </w:t>
      </w:r>
      <w:r>
        <w:t>Prestige</w:t>
      </w:r>
      <w:r w:rsidR="0013032F">
        <w:t xml:space="preserve"> </w:t>
      </w:r>
      <w:r>
        <w:t>Jayco</w:t>
      </w:r>
      <w:r w:rsidR="0013032F">
        <w:t xml:space="preserve"> </w:t>
      </w:r>
      <w:r>
        <w:rPr>
          <w:spacing w:val="-3"/>
        </w:rPr>
        <w:t>Caravans</w:t>
      </w:r>
      <w:r w:rsidR="0013032F">
        <w:rPr>
          <w:spacing w:val="-3"/>
        </w:rPr>
        <w:t xml:space="preserve"> </w:t>
      </w:r>
      <w:r>
        <w:rPr>
          <w:spacing w:val="-3"/>
        </w:rPr>
        <w:t>Geelong,</w:t>
      </w:r>
      <w:r w:rsidR="0013032F">
        <w:rPr>
          <w:spacing w:val="-3"/>
        </w:rPr>
        <w:t xml:space="preserve"> </w:t>
      </w:r>
      <w:r>
        <w:rPr>
          <w:spacing w:val="-3"/>
        </w:rPr>
        <w:t>one</w:t>
      </w:r>
      <w:r w:rsidR="0013032F">
        <w:rPr>
          <w:spacing w:val="-3"/>
        </w:rPr>
        <w:t xml:space="preserve"> </w:t>
      </w:r>
      <w:r>
        <w:rPr>
          <w:spacing w:val="-3"/>
        </w:rPr>
        <w:t>of</w:t>
      </w:r>
      <w:r w:rsidR="0013032F">
        <w:rPr>
          <w:spacing w:val="-3"/>
        </w:rPr>
        <w:t xml:space="preserve"> </w:t>
      </w:r>
      <w:r>
        <w:rPr>
          <w:spacing w:val="-3"/>
        </w:rPr>
        <w:t>Victoria’s</w:t>
      </w:r>
      <w:r w:rsidR="0013032F">
        <w:rPr>
          <w:spacing w:val="-3"/>
        </w:rPr>
        <w:t xml:space="preserve"> </w:t>
      </w:r>
      <w:r>
        <w:rPr>
          <w:spacing w:val="-3"/>
        </w:rPr>
        <w:t>largest</w:t>
      </w:r>
      <w:r w:rsidR="0013032F">
        <w:rPr>
          <w:spacing w:val="-3"/>
        </w:rPr>
        <w:t xml:space="preserve"> </w:t>
      </w:r>
      <w:r>
        <w:rPr>
          <w:spacing w:val="-3"/>
        </w:rPr>
        <w:t>motorhome</w:t>
      </w:r>
      <w:r w:rsidR="0013032F">
        <w:rPr>
          <w:spacing w:val="-3"/>
        </w:rPr>
        <w:t xml:space="preserve"> </w:t>
      </w:r>
      <w:r>
        <w:t>and</w:t>
      </w:r>
      <w:r w:rsidR="0013032F">
        <w:t xml:space="preserve"> </w:t>
      </w:r>
      <w:r>
        <w:t>caravan</w:t>
      </w:r>
      <w:r w:rsidR="0013032F">
        <w:t xml:space="preserve"> </w:t>
      </w:r>
      <w:r>
        <w:t>dealerships.</w:t>
      </w:r>
      <w:r w:rsidR="0013032F">
        <w:t xml:space="preserve"> </w:t>
      </w:r>
      <w:r>
        <w:t>With</w:t>
      </w:r>
      <w:r w:rsidR="0013032F">
        <w:t xml:space="preserve"> </w:t>
      </w:r>
      <w:r>
        <w:t>support</w:t>
      </w:r>
      <w:r w:rsidR="0013032F">
        <w:t xml:space="preserve"> </w:t>
      </w:r>
      <w:r>
        <w:t>from</w:t>
      </w:r>
      <w:r w:rsidR="0013032F">
        <w:t xml:space="preserve"> </w:t>
      </w:r>
      <w:r>
        <w:t>the</w:t>
      </w:r>
      <w:r w:rsidR="0013032F">
        <w:t xml:space="preserve"> </w:t>
      </w:r>
      <w:r>
        <w:t>Regional</w:t>
      </w:r>
      <w:r w:rsidR="0013032F">
        <w:t xml:space="preserve"> </w:t>
      </w:r>
      <w:r>
        <w:t>Jobs</w:t>
      </w:r>
      <w:r w:rsidR="0013032F">
        <w:t xml:space="preserve"> </w:t>
      </w:r>
      <w:r>
        <w:t>Fund,</w:t>
      </w:r>
      <w:r w:rsidR="0013032F">
        <w:t xml:space="preserve"> </w:t>
      </w:r>
      <w:r>
        <w:t>the</w:t>
      </w:r>
      <w:r w:rsidR="0013032F">
        <w:t xml:space="preserve"> </w:t>
      </w:r>
      <w:r>
        <w:t>local</w:t>
      </w:r>
      <w:r w:rsidR="0013032F">
        <w:t xml:space="preserve"> </w:t>
      </w:r>
      <w:r>
        <w:t>business</w:t>
      </w:r>
      <w:r w:rsidR="0013032F">
        <w:t xml:space="preserve"> </w:t>
      </w:r>
      <w:r>
        <w:t>will</w:t>
      </w:r>
      <w:r w:rsidR="0013032F">
        <w:t xml:space="preserve"> </w:t>
      </w:r>
      <w:r>
        <w:t>redevelop</w:t>
      </w:r>
      <w:r w:rsidR="0013032F">
        <w:t xml:space="preserve"> </w:t>
      </w:r>
      <w:r>
        <w:t>its</w:t>
      </w:r>
      <w:r w:rsidR="0013032F">
        <w:t xml:space="preserve"> </w:t>
      </w:r>
      <w:r>
        <w:t>existing</w:t>
      </w:r>
      <w:r w:rsidR="0013032F">
        <w:t xml:space="preserve"> </w:t>
      </w:r>
      <w:r>
        <w:t>sales</w:t>
      </w:r>
      <w:r w:rsidR="0013032F">
        <w:t xml:space="preserve"> </w:t>
      </w:r>
      <w:r>
        <w:t>centre</w:t>
      </w:r>
      <w:r w:rsidR="0013032F">
        <w:t xml:space="preserve"> </w:t>
      </w:r>
      <w:r>
        <w:t>in</w:t>
      </w:r>
      <w:r w:rsidR="0013032F">
        <w:t xml:space="preserve"> </w:t>
      </w:r>
      <w:r>
        <w:t>Geelong</w:t>
      </w:r>
      <w:r w:rsidR="0013032F">
        <w:t xml:space="preserve"> </w:t>
      </w:r>
      <w:r>
        <w:t>to</w:t>
      </w:r>
      <w:r w:rsidR="0013032F">
        <w:t xml:space="preserve"> </w:t>
      </w:r>
      <w:r>
        <w:t>meet</w:t>
      </w:r>
      <w:r w:rsidR="0013032F">
        <w:t xml:space="preserve"> </w:t>
      </w:r>
      <w:r>
        <w:t>growing</w:t>
      </w:r>
      <w:r w:rsidR="0013032F">
        <w:t xml:space="preserve"> </w:t>
      </w:r>
      <w:r>
        <w:t>demand.</w:t>
      </w:r>
      <w:r w:rsidR="0013032F">
        <w:t xml:space="preserve"> </w:t>
      </w:r>
      <w:r>
        <w:t>The</w:t>
      </w:r>
      <w:r w:rsidR="0013032F">
        <w:t xml:space="preserve"> </w:t>
      </w:r>
      <w:r>
        <w:t>new</w:t>
      </w:r>
      <w:r w:rsidR="0013032F">
        <w:t xml:space="preserve"> </w:t>
      </w:r>
      <w:r>
        <w:t>roles</w:t>
      </w:r>
      <w:r w:rsidR="0013032F">
        <w:t xml:space="preserve"> </w:t>
      </w:r>
      <w:r>
        <w:t>were</w:t>
      </w:r>
      <w:r w:rsidR="0013032F">
        <w:t xml:space="preserve"> </w:t>
      </w:r>
      <w:r>
        <w:t>in</w:t>
      </w:r>
      <w:r w:rsidR="0013032F">
        <w:t xml:space="preserve"> </w:t>
      </w:r>
      <w:r>
        <w:t>addition</w:t>
      </w:r>
      <w:r w:rsidR="0013032F">
        <w:t xml:space="preserve"> </w:t>
      </w:r>
      <w:r>
        <w:t>to</w:t>
      </w:r>
      <w:r w:rsidR="0013032F">
        <w:t xml:space="preserve"> </w:t>
      </w:r>
      <w:r>
        <w:t>the</w:t>
      </w:r>
      <w:r w:rsidR="0013032F">
        <w:t xml:space="preserve"> </w:t>
      </w:r>
      <w:r>
        <w:t>41</w:t>
      </w:r>
      <w:r w:rsidR="0013032F">
        <w:t xml:space="preserve"> </w:t>
      </w:r>
      <w:r>
        <w:t>staff</w:t>
      </w:r>
      <w:r w:rsidR="0013032F">
        <w:t xml:space="preserve"> </w:t>
      </w:r>
      <w:r>
        <w:t>the</w:t>
      </w:r>
      <w:r w:rsidR="0013032F">
        <w:t xml:space="preserve"> </w:t>
      </w:r>
      <w:r>
        <w:t>business</w:t>
      </w:r>
      <w:r w:rsidR="0013032F">
        <w:t xml:space="preserve"> </w:t>
      </w:r>
      <w:r>
        <w:t>already</w:t>
      </w:r>
      <w:r w:rsidR="0013032F">
        <w:t xml:space="preserve"> </w:t>
      </w:r>
      <w:r>
        <w:t>employed</w:t>
      </w:r>
      <w:r w:rsidR="0013032F">
        <w:t xml:space="preserve"> </w:t>
      </w:r>
      <w:r>
        <w:t>at</w:t>
      </w:r>
      <w:r w:rsidR="0013032F">
        <w:t xml:space="preserve"> </w:t>
      </w:r>
      <w:r>
        <w:t>its</w:t>
      </w:r>
      <w:r w:rsidR="0013032F">
        <w:t xml:space="preserve"> </w:t>
      </w:r>
      <w:r>
        <w:t>Geelong</w:t>
      </w:r>
      <w:r w:rsidR="0013032F">
        <w:t xml:space="preserve"> </w:t>
      </w:r>
      <w:r>
        <w:t>site.</w:t>
      </w:r>
    </w:p>
    <w:p w14:paraId="34055B86" w14:textId="2F1C275C" w:rsidR="00757772" w:rsidRPr="00255D8D" w:rsidRDefault="00305D3C" w:rsidP="00255D8D">
      <w:pPr>
        <w:pStyle w:val="Normalbeforebullets"/>
        <w:rPr>
          <w:b/>
          <w:bCs/>
        </w:rPr>
      </w:pPr>
      <w:r w:rsidRPr="00255D8D">
        <w:rPr>
          <w:b/>
          <w:bCs/>
        </w:rPr>
        <w:t>Camperdown-Timboon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Rail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Trail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upgrade</w:t>
      </w:r>
    </w:p>
    <w:p w14:paraId="4C94E10C" w14:textId="07F9F43A" w:rsidR="00757772" w:rsidRDefault="00305D3C" w:rsidP="00255D8D">
      <w:r>
        <w:t>Invested</w:t>
      </w:r>
      <w:r w:rsidR="0013032F">
        <w:t xml:space="preserve"> </w:t>
      </w:r>
      <w:r>
        <w:t>$374,885</w:t>
      </w:r>
      <w:r w:rsidR="0013032F">
        <w:t xml:space="preserve"> </w:t>
      </w:r>
      <w:r>
        <w:t>from</w:t>
      </w:r>
      <w:r w:rsidR="0013032F">
        <w:t xml:space="preserve"> </w:t>
      </w:r>
      <w:r>
        <w:t>the</w:t>
      </w:r>
      <w:r w:rsidR="0013032F">
        <w:t xml:space="preserve"> </w:t>
      </w:r>
      <w:r>
        <w:t>Regional</w:t>
      </w:r>
      <w:r w:rsidR="0013032F">
        <w:t xml:space="preserve"> </w:t>
      </w:r>
      <w:r>
        <w:t>Infrastructure</w:t>
      </w:r>
      <w:r w:rsidR="0013032F">
        <w:t xml:space="preserve"> </w:t>
      </w:r>
      <w:r>
        <w:t>Fund</w:t>
      </w:r>
      <w:r w:rsidR="0013032F">
        <w:t xml:space="preserve"> </w:t>
      </w:r>
      <w:r>
        <w:t>to</w:t>
      </w:r>
      <w:r w:rsidR="0013032F">
        <w:t xml:space="preserve"> </w:t>
      </w:r>
      <w:r>
        <w:t>replace</w:t>
      </w:r>
      <w:r w:rsidR="0013032F">
        <w:t xml:space="preserve"> </w:t>
      </w:r>
      <w:r>
        <w:t>2</w:t>
      </w:r>
      <w:r w:rsidR="0013032F">
        <w:t xml:space="preserve"> </w:t>
      </w:r>
      <w:r>
        <w:t>bridges</w:t>
      </w:r>
      <w:r w:rsidR="0013032F">
        <w:t xml:space="preserve"> </w:t>
      </w:r>
      <w:r>
        <w:t>on</w:t>
      </w:r>
      <w:r w:rsidR="0013032F">
        <w:t xml:space="preserve"> </w:t>
      </w:r>
      <w:r>
        <w:t>the</w:t>
      </w:r>
      <w:r w:rsidR="0013032F">
        <w:t xml:space="preserve"> </w:t>
      </w:r>
      <w:r>
        <w:t>Camperdown-Timboon</w:t>
      </w:r>
      <w:r w:rsidR="0013032F">
        <w:t xml:space="preserve"> </w:t>
      </w:r>
      <w:r>
        <w:t>Rail</w:t>
      </w:r>
      <w:r w:rsidR="0013032F">
        <w:t xml:space="preserve"> </w:t>
      </w:r>
      <w:r>
        <w:t>Trail.</w:t>
      </w:r>
      <w:r w:rsidR="0013032F">
        <w:t xml:space="preserve"> </w:t>
      </w:r>
      <w:r>
        <w:t>The</w:t>
      </w:r>
      <w:r w:rsidR="0013032F">
        <w:t xml:space="preserve"> </w:t>
      </w:r>
      <w:r>
        <w:t>2</w:t>
      </w:r>
      <w:r w:rsidR="0013032F">
        <w:t xml:space="preserve"> </w:t>
      </w:r>
      <w:r>
        <w:t>new</w:t>
      </w:r>
      <w:r w:rsidR="0013032F">
        <w:t xml:space="preserve"> </w:t>
      </w:r>
      <w:r>
        <w:t>footbridges</w:t>
      </w:r>
      <w:r w:rsidR="0013032F">
        <w:t xml:space="preserve"> </w:t>
      </w:r>
      <w:r>
        <w:t>between</w:t>
      </w:r>
      <w:r w:rsidR="0013032F">
        <w:t xml:space="preserve"> </w:t>
      </w:r>
      <w:r>
        <w:t>Glenfyne</w:t>
      </w:r>
      <w:r w:rsidR="0013032F">
        <w:t xml:space="preserve"> </w:t>
      </w:r>
      <w:r>
        <w:t>and</w:t>
      </w:r>
      <w:r w:rsidR="0013032F">
        <w:t xml:space="preserve"> </w:t>
      </w:r>
      <w:proofErr w:type="spellStart"/>
      <w:r>
        <w:t>Curdies</w:t>
      </w:r>
      <w:proofErr w:type="spellEnd"/>
      <w:r w:rsidR="0013032F">
        <w:t xml:space="preserve"> </w:t>
      </w:r>
      <w:r>
        <w:t>River</w:t>
      </w:r>
      <w:r w:rsidR="0013032F">
        <w:t xml:space="preserve"> </w:t>
      </w:r>
      <w:r>
        <w:t>Bridge</w:t>
      </w:r>
      <w:r w:rsidR="0013032F">
        <w:t xml:space="preserve"> </w:t>
      </w:r>
      <w:r>
        <w:t>will</w:t>
      </w:r>
      <w:r w:rsidR="0013032F">
        <w:t xml:space="preserve"> </w:t>
      </w:r>
      <w:r>
        <w:t>ensure</w:t>
      </w:r>
      <w:r w:rsidR="0013032F">
        <w:t xml:space="preserve"> </w:t>
      </w:r>
      <w:r>
        <w:t>more</w:t>
      </w:r>
      <w:r w:rsidR="0013032F">
        <w:t xml:space="preserve"> </w:t>
      </w:r>
      <w:r>
        <w:t>visitors</w:t>
      </w:r>
      <w:r w:rsidR="0013032F">
        <w:t xml:space="preserve"> </w:t>
      </w:r>
      <w:r>
        <w:t>can</w:t>
      </w:r>
      <w:r w:rsidR="0013032F">
        <w:t xml:space="preserve"> </w:t>
      </w:r>
      <w:r>
        <w:t>enjoy</w:t>
      </w:r>
      <w:r w:rsidR="0013032F">
        <w:t xml:space="preserve"> </w:t>
      </w:r>
      <w:r>
        <w:t>the</w:t>
      </w:r>
      <w:r w:rsidR="0013032F">
        <w:t xml:space="preserve"> </w:t>
      </w:r>
      <w:r>
        <w:t>full</w:t>
      </w:r>
      <w:r w:rsidR="0013032F">
        <w:t xml:space="preserve"> </w:t>
      </w:r>
      <w:r>
        <w:t>length</w:t>
      </w:r>
      <w:r w:rsidR="0013032F">
        <w:t xml:space="preserve"> </w:t>
      </w:r>
      <w:r>
        <w:t>of</w:t>
      </w:r>
      <w:r w:rsidR="0013032F">
        <w:t xml:space="preserve"> </w:t>
      </w:r>
      <w:r>
        <w:t>the</w:t>
      </w:r>
      <w:r w:rsidR="0013032F">
        <w:t xml:space="preserve"> </w:t>
      </w:r>
      <w:r>
        <w:t>trail.</w:t>
      </w:r>
      <w:r w:rsidR="0013032F">
        <w:t xml:space="preserve"> </w:t>
      </w:r>
    </w:p>
    <w:p w14:paraId="068A5A23" w14:textId="0333CD3D" w:rsidR="00757772" w:rsidRPr="00255D8D" w:rsidRDefault="00305D3C" w:rsidP="00255D8D">
      <w:pPr>
        <w:pStyle w:val="Normalbeforebullets"/>
        <w:rPr>
          <w:b/>
          <w:bCs/>
        </w:rPr>
      </w:pPr>
      <w:r w:rsidRPr="00255D8D">
        <w:rPr>
          <w:b/>
          <w:bCs/>
        </w:rPr>
        <w:t>Affordable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housing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units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for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seasonal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workers</w:t>
      </w:r>
    </w:p>
    <w:p w14:paraId="04B09CDA" w14:textId="0AE64E65" w:rsidR="00757772" w:rsidRDefault="00305D3C" w:rsidP="00255D8D">
      <w:r>
        <w:t>Supported</w:t>
      </w:r>
      <w:r w:rsidR="0013032F">
        <w:t xml:space="preserve"> </w:t>
      </w:r>
      <w:r>
        <w:t>construction</w:t>
      </w:r>
      <w:r w:rsidR="0013032F">
        <w:t xml:space="preserve"> </w:t>
      </w:r>
      <w:r>
        <w:t>of</w:t>
      </w:r>
      <w:r w:rsidR="0013032F">
        <w:t xml:space="preserve"> </w:t>
      </w:r>
      <w:r>
        <w:t>5</w:t>
      </w:r>
      <w:r w:rsidR="0013032F">
        <w:t xml:space="preserve"> </w:t>
      </w:r>
      <w:r>
        <w:t>affordable</w:t>
      </w:r>
      <w:r w:rsidR="0013032F">
        <w:t xml:space="preserve"> </w:t>
      </w:r>
      <w:r>
        <w:t>housing</w:t>
      </w:r>
      <w:r w:rsidR="0013032F">
        <w:t xml:space="preserve"> </w:t>
      </w:r>
      <w:r>
        <w:t>units</w:t>
      </w:r>
      <w:r w:rsidR="0013032F">
        <w:t xml:space="preserve"> </w:t>
      </w:r>
      <w:r>
        <w:t>at</w:t>
      </w:r>
      <w:r w:rsidR="0013032F">
        <w:t xml:space="preserve"> </w:t>
      </w:r>
      <w:r>
        <w:t>Moyne</w:t>
      </w:r>
      <w:r w:rsidR="0013032F">
        <w:t xml:space="preserve"> </w:t>
      </w:r>
      <w:r>
        <w:t>Koroit</w:t>
      </w:r>
      <w:r w:rsidR="0013032F">
        <w:t xml:space="preserve"> </w:t>
      </w:r>
      <w:r>
        <w:t>Caravan</w:t>
      </w:r>
      <w:r w:rsidR="0013032F">
        <w:t xml:space="preserve"> </w:t>
      </w:r>
      <w:r>
        <w:t>Park,</w:t>
      </w:r>
      <w:r w:rsidR="0013032F">
        <w:t xml:space="preserve"> </w:t>
      </w:r>
      <w:r>
        <w:t>with</w:t>
      </w:r>
      <w:r w:rsidR="0013032F">
        <w:t xml:space="preserve"> </w:t>
      </w:r>
      <w:r>
        <w:t>$465,000</w:t>
      </w:r>
      <w:r w:rsidR="0013032F">
        <w:t xml:space="preserve"> </w:t>
      </w:r>
      <w:r>
        <w:t>funding</w:t>
      </w:r>
      <w:r w:rsidR="0013032F">
        <w:t xml:space="preserve"> </w:t>
      </w:r>
      <w:r>
        <w:t>from</w:t>
      </w:r>
      <w:r w:rsidR="0013032F">
        <w:t xml:space="preserve"> </w:t>
      </w:r>
      <w:r>
        <w:t>the</w:t>
      </w:r>
      <w:r w:rsidR="0013032F">
        <w:t xml:space="preserve"> </w:t>
      </w:r>
      <w:r>
        <w:t>Regional</w:t>
      </w:r>
      <w:r w:rsidR="0013032F">
        <w:t xml:space="preserve"> </w:t>
      </w:r>
      <w:r>
        <w:t>Recovery</w:t>
      </w:r>
      <w:r w:rsidR="0013032F">
        <w:t xml:space="preserve"> </w:t>
      </w:r>
      <w:r>
        <w:t>Fund.</w:t>
      </w:r>
      <w:r w:rsidR="0013032F">
        <w:t xml:space="preserve"> </w:t>
      </w:r>
      <w:r>
        <w:t>This</w:t>
      </w:r>
      <w:r w:rsidR="0013032F">
        <w:t xml:space="preserve"> </w:t>
      </w:r>
      <w:r>
        <w:t>will</w:t>
      </w:r>
      <w:r w:rsidR="0013032F">
        <w:t xml:space="preserve"> </w:t>
      </w:r>
      <w:r>
        <w:t>provide</w:t>
      </w:r>
      <w:r w:rsidR="0013032F">
        <w:t xml:space="preserve"> </w:t>
      </w:r>
      <w:r>
        <w:t>local</w:t>
      </w:r>
      <w:r w:rsidR="0013032F">
        <w:t xml:space="preserve"> </w:t>
      </w:r>
      <w:r>
        <w:t>businesses</w:t>
      </w:r>
      <w:r w:rsidR="0013032F">
        <w:t xml:space="preserve"> </w:t>
      </w:r>
      <w:r>
        <w:t>in</w:t>
      </w:r>
      <w:r w:rsidR="0013032F">
        <w:t xml:space="preserve"> </w:t>
      </w:r>
      <w:r>
        <w:t>Moyne</w:t>
      </w:r>
      <w:r w:rsidR="0013032F">
        <w:t xml:space="preserve"> </w:t>
      </w:r>
      <w:r>
        <w:t>Shire</w:t>
      </w:r>
      <w:r w:rsidR="0013032F">
        <w:t xml:space="preserve"> </w:t>
      </w:r>
      <w:r>
        <w:t>with</w:t>
      </w:r>
      <w:r w:rsidR="0013032F">
        <w:t xml:space="preserve"> </w:t>
      </w:r>
      <w:r>
        <w:t>more</w:t>
      </w:r>
      <w:r w:rsidR="0013032F">
        <w:t xml:space="preserve"> </w:t>
      </w:r>
      <w:r>
        <w:t>options</w:t>
      </w:r>
      <w:r w:rsidR="0013032F">
        <w:t xml:space="preserve"> </w:t>
      </w:r>
      <w:r>
        <w:t>to</w:t>
      </w:r>
      <w:r w:rsidR="0013032F">
        <w:t xml:space="preserve"> </w:t>
      </w:r>
      <w:r>
        <w:t>support</w:t>
      </w:r>
      <w:r w:rsidR="0013032F">
        <w:t xml:space="preserve"> </w:t>
      </w:r>
      <w:r>
        <w:t>key</w:t>
      </w:r>
      <w:r w:rsidR="0013032F">
        <w:t xml:space="preserve"> </w:t>
      </w:r>
      <w:r>
        <w:t>seasonal</w:t>
      </w:r>
      <w:r w:rsidR="0013032F">
        <w:t xml:space="preserve"> </w:t>
      </w:r>
      <w:r>
        <w:t>workers</w:t>
      </w:r>
      <w:r w:rsidR="0013032F">
        <w:t xml:space="preserve"> </w:t>
      </w:r>
      <w:r>
        <w:t>in</w:t>
      </w:r>
      <w:r w:rsidR="0013032F">
        <w:t xml:space="preserve"> </w:t>
      </w:r>
      <w:r>
        <w:t>the</w:t>
      </w:r>
      <w:r w:rsidR="0013032F">
        <w:t xml:space="preserve"> </w:t>
      </w:r>
      <w:r>
        <w:t>region.</w:t>
      </w:r>
    </w:p>
    <w:p w14:paraId="4B1304B0" w14:textId="77777777" w:rsidR="00757772" w:rsidRDefault="00305D3C" w:rsidP="00255D8D">
      <w:pPr>
        <w:pStyle w:val="Heading2"/>
      </w:pPr>
      <w:bookmarkStart w:id="44" w:name="_Toc149566590"/>
      <w:r>
        <w:t>Gippsland</w:t>
      </w:r>
      <w:bookmarkEnd w:id="44"/>
    </w:p>
    <w:p w14:paraId="33A79F8B" w14:textId="5C420277" w:rsidR="00757772" w:rsidRDefault="00305D3C" w:rsidP="00255D8D">
      <w:pPr>
        <w:pStyle w:val="Heading3"/>
      </w:pPr>
      <w:r>
        <w:t>Regional</w:t>
      </w:r>
      <w:r w:rsidR="0013032F">
        <w:t xml:space="preserve"> </w:t>
      </w:r>
      <w:r>
        <w:t>Director’s</w:t>
      </w:r>
      <w:r w:rsidR="0013032F">
        <w:t xml:space="preserve"> </w:t>
      </w:r>
      <w:r>
        <w:t>report</w:t>
      </w:r>
      <w:r w:rsidR="0013032F">
        <w:t xml:space="preserve"> </w:t>
      </w:r>
    </w:p>
    <w:p w14:paraId="40A05589" w14:textId="04E8080F" w:rsidR="00757772" w:rsidRPr="00255D8D" w:rsidRDefault="00305D3C" w:rsidP="00255D8D">
      <w:r w:rsidRPr="00255D8D">
        <w:t>Gippsland’s</w:t>
      </w:r>
      <w:r w:rsidR="0013032F" w:rsidRPr="00255D8D">
        <w:t xml:space="preserve"> </w:t>
      </w:r>
      <w:r w:rsidRPr="00255D8D">
        <w:t>regional</w:t>
      </w:r>
      <w:r w:rsidR="0013032F" w:rsidRPr="00255D8D">
        <w:t xml:space="preserve"> </w:t>
      </w:r>
      <w:r w:rsidRPr="00255D8D">
        <w:t>economic</w:t>
      </w:r>
      <w:r w:rsidR="0013032F" w:rsidRPr="00255D8D">
        <w:t xml:space="preserve"> </w:t>
      </w:r>
      <w:r w:rsidRPr="00255D8D">
        <w:t>strengths</w:t>
      </w:r>
      <w:r w:rsidR="0013032F" w:rsidRPr="00255D8D">
        <w:t xml:space="preserve"> </w:t>
      </w:r>
      <w:r w:rsidRPr="00255D8D">
        <w:t>in</w:t>
      </w:r>
      <w:r w:rsidR="0013032F" w:rsidRPr="00255D8D">
        <w:t xml:space="preserve"> </w:t>
      </w:r>
      <w:r w:rsidRPr="00255D8D">
        <w:t>clean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renewable</w:t>
      </w:r>
      <w:r w:rsidR="0013032F" w:rsidRPr="00255D8D">
        <w:t xml:space="preserve"> </w:t>
      </w:r>
      <w:r w:rsidRPr="00255D8D">
        <w:t>energy,</w:t>
      </w:r>
      <w:r w:rsidR="0013032F" w:rsidRPr="00255D8D">
        <w:t xml:space="preserve"> </w:t>
      </w:r>
      <w:r w:rsidRPr="00255D8D">
        <w:t>advanced</w:t>
      </w:r>
      <w:r w:rsidR="0013032F" w:rsidRPr="00255D8D">
        <w:t xml:space="preserve"> </w:t>
      </w:r>
      <w:r w:rsidRPr="00255D8D">
        <w:t>manufacturing,</w:t>
      </w:r>
      <w:r w:rsidR="0013032F" w:rsidRPr="00255D8D">
        <w:t xml:space="preserve"> </w:t>
      </w:r>
      <w:r w:rsidRPr="00255D8D">
        <w:t>food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fibre,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healthcare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social</w:t>
      </w:r>
      <w:r w:rsidR="0013032F" w:rsidRPr="00255D8D">
        <w:t xml:space="preserve"> </w:t>
      </w:r>
      <w:r w:rsidRPr="00255D8D">
        <w:t>assistance</w:t>
      </w:r>
      <w:r w:rsidR="0013032F" w:rsidRPr="00255D8D">
        <w:t xml:space="preserve"> </w:t>
      </w:r>
      <w:r w:rsidRPr="00255D8D">
        <w:t>continue</w:t>
      </w:r>
      <w:r w:rsidR="0013032F" w:rsidRPr="00255D8D">
        <w:t xml:space="preserve"> </w:t>
      </w:r>
      <w:r w:rsidRPr="00255D8D">
        <w:t>to</w:t>
      </w:r>
      <w:r w:rsidR="0013032F" w:rsidRPr="00255D8D">
        <w:t xml:space="preserve"> </w:t>
      </w:r>
      <w:r w:rsidRPr="00255D8D">
        <w:t>drive</w:t>
      </w:r>
      <w:r w:rsidR="0013032F" w:rsidRPr="00255D8D">
        <w:t xml:space="preserve"> </w:t>
      </w:r>
      <w:r w:rsidRPr="00255D8D">
        <w:t>innovation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attract</w:t>
      </w:r>
      <w:r w:rsidR="0013032F" w:rsidRPr="00255D8D">
        <w:t xml:space="preserve"> </w:t>
      </w:r>
      <w:r w:rsidRPr="00255D8D">
        <w:t>investment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people</w:t>
      </w:r>
      <w:r w:rsidR="0013032F" w:rsidRPr="00255D8D">
        <w:t xml:space="preserve"> </w:t>
      </w:r>
      <w:r w:rsidRPr="00255D8D">
        <w:t>to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region.</w:t>
      </w:r>
    </w:p>
    <w:p w14:paraId="61FE51E4" w14:textId="13F4700E" w:rsidR="00757772" w:rsidRPr="00255D8D" w:rsidRDefault="00305D3C" w:rsidP="00255D8D">
      <w:r w:rsidRPr="00255D8D">
        <w:t>Gippsland</w:t>
      </w:r>
      <w:r w:rsidR="0013032F" w:rsidRPr="00255D8D">
        <w:t xml:space="preserve"> </w:t>
      </w:r>
      <w:r w:rsidRPr="00255D8D">
        <w:t>is</w:t>
      </w:r>
      <w:r w:rsidR="0013032F" w:rsidRPr="00255D8D">
        <w:t xml:space="preserve"> </w:t>
      </w:r>
      <w:r w:rsidRPr="00255D8D">
        <w:t>at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forefront</w:t>
      </w:r>
      <w:r w:rsidR="0013032F" w:rsidRPr="00255D8D">
        <w:t xml:space="preserve"> </w:t>
      </w:r>
      <w:r w:rsidRPr="00255D8D">
        <w:t>of</w:t>
      </w:r>
      <w:r w:rsidR="0013032F" w:rsidRPr="00255D8D">
        <w:t xml:space="preserve"> </w:t>
      </w:r>
      <w:r w:rsidRPr="00255D8D">
        <w:t>offshore</w:t>
      </w:r>
      <w:r w:rsidR="0013032F" w:rsidRPr="00255D8D">
        <w:t xml:space="preserve"> </w:t>
      </w:r>
      <w:r w:rsidRPr="00255D8D">
        <w:t>wind</w:t>
      </w:r>
      <w:r w:rsidR="0013032F" w:rsidRPr="00255D8D">
        <w:t xml:space="preserve"> </w:t>
      </w:r>
      <w:r w:rsidRPr="00255D8D">
        <w:t>development</w:t>
      </w:r>
      <w:r w:rsidR="0013032F" w:rsidRPr="00255D8D">
        <w:t xml:space="preserve"> </w:t>
      </w:r>
      <w:r w:rsidRPr="00255D8D">
        <w:t>which</w:t>
      </w:r>
      <w:r w:rsidR="0013032F" w:rsidRPr="00255D8D">
        <w:t xml:space="preserve"> </w:t>
      </w:r>
      <w:r w:rsidRPr="00255D8D">
        <w:t>will</w:t>
      </w:r>
      <w:r w:rsidR="0013032F" w:rsidRPr="00255D8D">
        <w:t xml:space="preserve"> </w:t>
      </w:r>
      <w:r w:rsidRPr="00255D8D">
        <w:t>bring</w:t>
      </w:r>
      <w:r w:rsidR="0013032F" w:rsidRPr="00255D8D">
        <w:t xml:space="preserve"> </w:t>
      </w:r>
      <w:r w:rsidRPr="00255D8D">
        <w:t>a</w:t>
      </w:r>
      <w:r w:rsidR="0013032F" w:rsidRPr="00255D8D">
        <w:t xml:space="preserve"> </w:t>
      </w:r>
      <w:r w:rsidRPr="00255D8D">
        <w:t>clean,</w:t>
      </w:r>
      <w:r w:rsidR="0013032F" w:rsidRPr="00255D8D">
        <w:t xml:space="preserve"> </w:t>
      </w:r>
      <w:r w:rsidRPr="00255D8D">
        <w:t>advanced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sustainable</w:t>
      </w:r>
      <w:r w:rsidR="0013032F" w:rsidRPr="00255D8D">
        <w:t xml:space="preserve"> </w:t>
      </w:r>
      <w:r w:rsidRPr="00255D8D">
        <w:t>energy</w:t>
      </w:r>
      <w:r w:rsidR="0013032F" w:rsidRPr="00255D8D">
        <w:t xml:space="preserve"> </w:t>
      </w:r>
      <w:r w:rsidRPr="00255D8D">
        <w:t>technology</w:t>
      </w:r>
      <w:r w:rsidR="0013032F" w:rsidRPr="00255D8D">
        <w:t xml:space="preserve"> </w:t>
      </w:r>
      <w:r w:rsidRPr="00255D8D">
        <w:t>that</w:t>
      </w:r>
      <w:r w:rsidR="0013032F" w:rsidRPr="00255D8D">
        <w:t xml:space="preserve"> </w:t>
      </w:r>
      <w:r w:rsidRPr="00255D8D">
        <w:t>will</w:t>
      </w:r>
      <w:r w:rsidR="0013032F" w:rsidRPr="00255D8D">
        <w:t xml:space="preserve"> </w:t>
      </w:r>
      <w:r w:rsidRPr="00255D8D">
        <w:t>power</w:t>
      </w:r>
      <w:r w:rsidR="0013032F" w:rsidRPr="00255D8D">
        <w:t xml:space="preserve"> </w:t>
      </w:r>
      <w:r w:rsidRPr="00255D8D">
        <w:t>homes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businesses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provide</w:t>
      </w:r>
      <w:r w:rsidR="0013032F" w:rsidRPr="00255D8D">
        <w:t xml:space="preserve"> </w:t>
      </w:r>
      <w:r w:rsidRPr="00255D8D">
        <w:t>jobs</w:t>
      </w:r>
      <w:r w:rsidR="0013032F" w:rsidRPr="00255D8D">
        <w:t xml:space="preserve"> </w:t>
      </w:r>
      <w:r w:rsidRPr="00255D8D">
        <w:t>for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region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across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state.</w:t>
      </w:r>
      <w:r w:rsidR="0013032F" w:rsidRPr="00255D8D">
        <w:t xml:space="preserve"> </w:t>
      </w:r>
      <w:r w:rsidRPr="00255D8D">
        <w:t>This</w:t>
      </w:r>
      <w:r w:rsidR="0013032F" w:rsidRPr="00255D8D">
        <w:t xml:space="preserve"> </w:t>
      </w:r>
      <w:r w:rsidRPr="00255D8D">
        <w:t>year,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Australian</w:t>
      </w:r>
      <w:r w:rsidR="0013032F" w:rsidRPr="00255D8D">
        <w:t xml:space="preserve"> </w:t>
      </w:r>
      <w:r w:rsidRPr="00255D8D">
        <w:t>Government</w:t>
      </w:r>
      <w:r w:rsidR="0013032F" w:rsidRPr="00255D8D">
        <w:t xml:space="preserve"> </w:t>
      </w:r>
      <w:r w:rsidRPr="00255D8D">
        <w:t>declared</w:t>
      </w:r>
      <w:r w:rsidR="0013032F" w:rsidRPr="00255D8D">
        <w:t xml:space="preserve"> </w:t>
      </w:r>
      <w:r w:rsidRPr="00255D8D">
        <w:t>an</w:t>
      </w:r>
      <w:r w:rsidR="0013032F" w:rsidRPr="00255D8D">
        <w:t xml:space="preserve"> </w:t>
      </w:r>
      <w:r w:rsidRPr="00255D8D">
        <w:t>area</w:t>
      </w:r>
      <w:r w:rsidR="0013032F" w:rsidRPr="00255D8D">
        <w:t xml:space="preserve"> </w:t>
      </w:r>
      <w:r w:rsidRPr="00255D8D">
        <w:t>in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Bass</w:t>
      </w:r>
      <w:r w:rsidR="0013032F" w:rsidRPr="00255D8D">
        <w:t xml:space="preserve"> </w:t>
      </w:r>
      <w:r w:rsidRPr="00255D8D">
        <w:t>Strait</w:t>
      </w:r>
      <w:r w:rsidR="0013032F" w:rsidRPr="00255D8D">
        <w:t xml:space="preserve"> </w:t>
      </w:r>
      <w:r w:rsidRPr="00255D8D">
        <w:t>off</w:t>
      </w:r>
      <w:r w:rsidR="0013032F" w:rsidRPr="00255D8D">
        <w:t xml:space="preserve"> </w:t>
      </w:r>
      <w:r w:rsidRPr="00255D8D">
        <w:t>Gippsland</w:t>
      </w:r>
      <w:r w:rsidR="0013032F" w:rsidRPr="00255D8D">
        <w:t xml:space="preserve"> </w:t>
      </w:r>
      <w:r w:rsidRPr="00255D8D">
        <w:t>as</w:t>
      </w:r>
      <w:r w:rsidR="0013032F" w:rsidRPr="00255D8D">
        <w:t xml:space="preserve"> </w:t>
      </w:r>
      <w:r w:rsidRPr="00255D8D">
        <w:t>suitable</w:t>
      </w:r>
      <w:r w:rsidR="0013032F" w:rsidRPr="00255D8D">
        <w:t xml:space="preserve"> </w:t>
      </w:r>
      <w:r w:rsidRPr="00255D8D">
        <w:t>for</w:t>
      </w:r>
      <w:r w:rsidR="0013032F" w:rsidRPr="00255D8D">
        <w:t xml:space="preserve"> </w:t>
      </w:r>
      <w:r w:rsidRPr="00255D8D">
        <w:t>offshore</w:t>
      </w:r>
      <w:r w:rsidR="0013032F" w:rsidRPr="00255D8D">
        <w:t xml:space="preserve"> </w:t>
      </w:r>
      <w:r w:rsidRPr="00255D8D">
        <w:t>wind</w:t>
      </w:r>
      <w:r w:rsidR="0013032F" w:rsidRPr="00255D8D">
        <w:t xml:space="preserve"> </w:t>
      </w:r>
      <w:r w:rsidRPr="00255D8D">
        <w:t>energy</w:t>
      </w:r>
      <w:r w:rsidR="0013032F" w:rsidRPr="00255D8D">
        <w:t xml:space="preserve"> </w:t>
      </w:r>
      <w:r w:rsidRPr="00255D8D">
        <w:t>development</w:t>
      </w:r>
      <w:r w:rsidR="0013032F" w:rsidRPr="00255D8D">
        <w:t xml:space="preserve"> </w:t>
      </w:r>
      <w:r w:rsidRPr="00255D8D">
        <w:t>–</w:t>
      </w:r>
      <w:r w:rsidR="0013032F" w:rsidRPr="00255D8D">
        <w:t xml:space="preserve"> </w:t>
      </w:r>
      <w:r w:rsidRPr="00255D8D">
        <w:t>a</w:t>
      </w:r>
      <w:r w:rsidR="0013032F" w:rsidRPr="00255D8D">
        <w:t xml:space="preserve"> </w:t>
      </w:r>
      <w:r w:rsidRPr="00255D8D">
        <w:t>first</w:t>
      </w:r>
      <w:r w:rsidR="0013032F" w:rsidRPr="00255D8D">
        <w:t xml:space="preserve"> </w:t>
      </w:r>
      <w:r w:rsidRPr="00255D8D">
        <w:t>for</w:t>
      </w:r>
      <w:r w:rsidR="0013032F" w:rsidRPr="00255D8D">
        <w:t xml:space="preserve"> </w:t>
      </w:r>
      <w:r w:rsidRPr="00255D8D">
        <w:t>Australia.</w:t>
      </w:r>
      <w:r w:rsidR="0013032F" w:rsidRPr="00255D8D">
        <w:t xml:space="preserve"> </w:t>
      </w:r>
    </w:p>
    <w:p w14:paraId="749891F5" w14:textId="401024BF" w:rsidR="00757772" w:rsidRPr="00255D8D" w:rsidRDefault="00305D3C" w:rsidP="00255D8D">
      <w:r w:rsidRPr="00255D8D">
        <w:t>RDV</w:t>
      </w:r>
      <w:r w:rsidR="0013032F" w:rsidRPr="00255D8D">
        <w:t xml:space="preserve"> </w:t>
      </w:r>
      <w:r w:rsidRPr="00255D8D">
        <w:t>Gippsland</w:t>
      </w:r>
      <w:r w:rsidR="0013032F" w:rsidRPr="00255D8D">
        <w:t xml:space="preserve"> </w:t>
      </w:r>
      <w:r w:rsidRPr="00255D8D">
        <w:t>is</w:t>
      </w:r>
      <w:r w:rsidR="0013032F" w:rsidRPr="00255D8D">
        <w:t xml:space="preserve"> </w:t>
      </w:r>
      <w:r w:rsidRPr="00255D8D">
        <w:t>also</w:t>
      </w:r>
      <w:r w:rsidR="0013032F" w:rsidRPr="00255D8D">
        <w:t xml:space="preserve"> </w:t>
      </w:r>
      <w:r w:rsidRPr="00255D8D">
        <w:t>supporting</w:t>
      </w:r>
      <w:r w:rsidR="0013032F" w:rsidRPr="00255D8D">
        <w:t xml:space="preserve"> </w:t>
      </w:r>
      <w:r w:rsidRPr="00255D8D">
        <w:t>a</w:t>
      </w:r>
      <w:r w:rsidR="0013032F" w:rsidRPr="00255D8D">
        <w:t xml:space="preserve"> </w:t>
      </w:r>
      <w:r w:rsidRPr="00255D8D">
        <w:t>feasibility</w:t>
      </w:r>
      <w:r w:rsidR="0013032F" w:rsidRPr="00255D8D">
        <w:t xml:space="preserve"> </w:t>
      </w:r>
      <w:r w:rsidRPr="00255D8D">
        <w:t>study</w:t>
      </w:r>
      <w:r w:rsidR="0013032F" w:rsidRPr="00255D8D">
        <w:t xml:space="preserve"> </w:t>
      </w:r>
      <w:r w:rsidRPr="00255D8D">
        <w:t>into</w:t>
      </w:r>
      <w:r w:rsidR="0013032F" w:rsidRPr="00255D8D">
        <w:t xml:space="preserve"> </w:t>
      </w:r>
      <w:r w:rsidRPr="00255D8D">
        <w:t>commercial</w:t>
      </w:r>
      <w:r w:rsidR="0013032F" w:rsidRPr="00255D8D">
        <w:t xml:space="preserve"> </w:t>
      </w:r>
      <w:r w:rsidRPr="00255D8D">
        <w:t>applications</w:t>
      </w:r>
      <w:r w:rsidR="0013032F" w:rsidRPr="00255D8D">
        <w:t xml:space="preserve"> </w:t>
      </w:r>
      <w:r w:rsidRPr="00255D8D">
        <w:t>for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abundant</w:t>
      </w:r>
      <w:r w:rsidR="0013032F" w:rsidRPr="00255D8D">
        <w:t xml:space="preserve"> </w:t>
      </w:r>
      <w:r w:rsidRPr="00255D8D">
        <w:t>geothermal</w:t>
      </w:r>
      <w:r w:rsidR="0013032F" w:rsidRPr="00255D8D">
        <w:t xml:space="preserve"> </w:t>
      </w:r>
      <w:r w:rsidRPr="00255D8D">
        <w:t>energy</w:t>
      </w:r>
      <w:r w:rsidR="0013032F" w:rsidRPr="00255D8D">
        <w:t xml:space="preserve"> </w:t>
      </w:r>
      <w:r w:rsidRPr="00255D8D">
        <w:t>that</w:t>
      </w:r>
      <w:r w:rsidR="0013032F" w:rsidRPr="00255D8D">
        <w:t xml:space="preserve"> </w:t>
      </w:r>
      <w:r w:rsidRPr="00255D8D">
        <w:t>lies</w:t>
      </w:r>
      <w:r w:rsidR="0013032F" w:rsidRPr="00255D8D">
        <w:t xml:space="preserve"> </w:t>
      </w:r>
      <w:r w:rsidRPr="00255D8D">
        <w:t>beneath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Latrobe</w:t>
      </w:r>
      <w:r w:rsidR="0013032F" w:rsidRPr="00255D8D">
        <w:t xml:space="preserve"> </w:t>
      </w:r>
      <w:r w:rsidRPr="00255D8D">
        <w:t>Valley</w:t>
      </w:r>
      <w:r w:rsidR="0013032F" w:rsidRPr="00255D8D">
        <w:t xml:space="preserve"> </w:t>
      </w:r>
      <w:r w:rsidRPr="00255D8D">
        <w:t>through</w:t>
      </w:r>
      <w:r w:rsidR="0013032F" w:rsidRPr="00255D8D">
        <w:t xml:space="preserve"> </w:t>
      </w:r>
      <w:r w:rsidRPr="00255D8D">
        <w:t>a</w:t>
      </w:r>
      <w:r w:rsidR="0013032F" w:rsidRPr="00255D8D">
        <w:t xml:space="preserve"> </w:t>
      </w:r>
      <w:r w:rsidRPr="00255D8D">
        <w:t>partnership</w:t>
      </w:r>
      <w:r w:rsidR="0013032F" w:rsidRPr="00255D8D">
        <w:t xml:space="preserve"> </w:t>
      </w:r>
      <w:r w:rsidRPr="00255D8D">
        <w:t>with</w:t>
      </w:r>
      <w:r w:rsidR="0013032F" w:rsidRPr="00255D8D">
        <w:t xml:space="preserve"> </w:t>
      </w:r>
      <w:r w:rsidRPr="00255D8D">
        <w:t>Melbourne</w:t>
      </w:r>
      <w:r w:rsidR="0013032F" w:rsidRPr="00255D8D">
        <w:t xml:space="preserve"> </w:t>
      </w:r>
      <w:r w:rsidRPr="00255D8D">
        <w:t>University.</w:t>
      </w:r>
      <w:r w:rsidR="0013032F" w:rsidRPr="00255D8D">
        <w:t xml:space="preserve"> </w:t>
      </w:r>
    </w:p>
    <w:p w14:paraId="1C24670E" w14:textId="13204D22" w:rsidR="00757772" w:rsidRPr="00255D8D" w:rsidRDefault="00305D3C" w:rsidP="00255D8D">
      <w:r w:rsidRPr="00255D8D">
        <w:t>Local</w:t>
      </w:r>
      <w:r w:rsidR="0013032F" w:rsidRPr="00255D8D">
        <w:t xml:space="preserve"> </w:t>
      </w:r>
      <w:r w:rsidRPr="00255D8D">
        <w:t>businesses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communities</w:t>
      </w:r>
      <w:r w:rsidR="0013032F" w:rsidRPr="00255D8D">
        <w:t xml:space="preserve"> </w:t>
      </w:r>
      <w:r w:rsidRPr="00255D8D">
        <w:t>continue</w:t>
      </w:r>
      <w:r w:rsidR="0013032F" w:rsidRPr="00255D8D">
        <w:t xml:space="preserve"> </w:t>
      </w:r>
      <w:r w:rsidRPr="00255D8D">
        <w:t>to</w:t>
      </w:r>
      <w:r w:rsidR="0013032F" w:rsidRPr="00255D8D">
        <w:t xml:space="preserve"> </w:t>
      </w:r>
      <w:r w:rsidRPr="00255D8D">
        <w:t>benefit</w:t>
      </w:r>
      <w:r w:rsidR="0013032F" w:rsidRPr="00255D8D">
        <w:t xml:space="preserve"> </w:t>
      </w:r>
      <w:r w:rsidRPr="00255D8D">
        <w:t>from</w:t>
      </w:r>
      <w:r w:rsidR="0013032F" w:rsidRPr="00255D8D">
        <w:t xml:space="preserve"> </w:t>
      </w:r>
      <w:r w:rsidRPr="00255D8D">
        <w:t>a</w:t>
      </w:r>
      <w:r w:rsidR="0013032F" w:rsidRPr="00255D8D">
        <w:t xml:space="preserve"> </w:t>
      </w:r>
      <w:r w:rsidRPr="00255D8D">
        <w:t>wide</w:t>
      </w:r>
      <w:r w:rsidR="0013032F" w:rsidRPr="00255D8D">
        <w:t xml:space="preserve"> </w:t>
      </w:r>
      <w:r w:rsidRPr="00255D8D">
        <w:t>range</w:t>
      </w:r>
      <w:r w:rsidR="0013032F" w:rsidRPr="00255D8D">
        <w:t xml:space="preserve"> </w:t>
      </w:r>
      <w:r w:rsidRPr="00255D8D">
        <w:t>of</w:t>
      </w:r>
      <w:r w:rsidR="0013032F" w:rsidRPr="00255D8D">
        <w:t xml:space="preserve"> </w:t>
      </w:r>
      <w:r w:rsidRPr="00255D8D">
        <w:t>projects</w:t>
      </w:r>
      <w:r w:rsidR="0013032F" w:rsidRPr="00255D8D">
        <w:t xml:space="preserve"> </w:t>
      </w:r>
      <w:r w:rsidRPr="00255D8D">
        <w:t>we</w:t>
      </w:r>
      <w:r w:rsidR="0013032F" w:rsidRPr="00255D8D">
        <w:t xml:space="preserve"> </w:t>
      </w:r>
      <w:r w:rsidRPr="00255D8D">
        <w:t>support</w:t>
      </w:r>
      <w:r w:rsidR="0013032F" w:rsidRPr="00255D8D">
        <w:t xml:space="preserve"> </w:t>
      </w:r>
      <w:r w:rsidRPr="00255D8D">
        <w:t>such</w:t>
      </w:r>
      <w:r w:rsidR="0013032F" w:rsidRPr="00255D8D">
        <w:t xml:space="preserve"> </w:t>
      </w:r>
      <w:r w:rsidRPr="00255D8D">
        <w:t>as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proofErr w:type="spellStart"/>
      <w:r w:rsidRPr="00255D8D">
        <w:t>Envite</w:t>
      </w:r>
      <w:proofErr w:type="spellEnd"/>
      <w:r w:rsidR="0013032F" w:rsidRPr="00255D8D">
        <w:t xml:space="preserve"> </w:t>
      </w:r>
      <w:r w:rsidRPr="00255D8D">
        <w:t>Environment</w:t>
      </w:r>
      <w:r w:rsidR="0013032F" w:rsidRPr="00255D8D">
        <w:t xml:space="preserve"> </w:t>
      </w:r>
      <w:r w:rsidRPr="00255D8D">
        <w:t>program.</w:t>
      </w:r>
      <w:r w:rsidR="0013032F" w:rsidRPr="00255D8D">
        <w:t xml:space="preserve"> </w:t>
      </w:r>
      <w:r w:rsidRPr="00255D8D">
        <w:t>This</w:t>
      </w:r>
      <w:r w:rsidR="0013032F" w:rsidRPr="00255D8D">
        <w:t xml:space="preserve"> </w:t>
      </w:r>
      <w:r w:rsidRPr="00255D8D">
        <w:t>provides</w:t>
      </w:r>
      <w:r w:rsidR="0013032F" w:rsidRPr="00255D8D">
        <w:t xml:space="preserve"> </w:t>
      </w:r>
      <w:r w:rsidRPr="00255D8D">
        <w:t>young</w:t>
      </w:r>
      <w:r w:rsidR="0013032F" w:rsidRPr="00255D8D">
        <w:t xml:space="preserve"> </w:t>
      </w:r>
      <w:r w:rsidRPr="00255D8D">
        <w:t>people</w:t>
      </w:r>
      <w:r w:rsidR="0013032F" w:rsidRPr="00255D8D">
        <w:t xml:space="preserve"> </w:t>
      </w:r>
      <w:r w:rsidRPr="00255D8D">
        <w:t>with</w:t>
      </w:r>
      <w:r w:rsidR="0013032F" w:rsidRPr="00255D8D">
        <w:t xml:space="preserve"> </w:t>
      </w:r>
      <w:r w:rsidRPr="00255D8D">
        <w:t>skills</w:t>
      </w:r>
      <w:r w:rsidR="0013032F" w:rsidRPr="00255D8D">
        <w:t xml:space="preserve"> </w:t>
      </w:r>
      <w:r w:rsidRPr="00255D8D">
        <w:t>to</w:t>
      </w:r>
      <w:r w:rsidR="0013032F" w:rsidRPr="00255D8D">
        <w:t xml:space="preserve"> </w:t>
      </w:r>
      <w:r w:rsidRPr="00255D8D">
        <w:t>set</w:t>
      </w:r>
      <w:r w:rsidR="0013032F" w:rsidRPr="00255D8D">
        <w:t xml:space="preserve"> </w:t>
      </w:r>
      <w:r w:rsidRPr="00255D8D">
        <w:t>them</w:t>
      </w:r>
      <w:r w:rsidR="0013032F" w:rsidRPr="00255D8D">
        <w:t xml:space="preserve"> </w:t>
      </w:r>
      <w:r w:rsidRPr="00255D8D">
        <w:t>on</w:t>
      </w:r>
      <w:r w:rsidR="0013032F" w:rsidRPr="00255D8D">
        <w:t xml:space="preserve"> </w:t>
      </w:r>
      <w:r w:rsidRPr="00255D8D">
        <w:t>a</w:t>
      </w:r>
      <w:r w:rsidR="0013032F" w:rsidRPr="00255D8D">
        <w:t xml:space="preserve"> </w:t>
      </w:r>
      <w:r w:rsidRPr="00255D8D">
        <w:t>career</w:t>
      </w:r>
      <w:r w:rsidR="0013032F" w:rsidRPr="00255D8D">
        <w:t xml:space="preserve"> </w:t>
      </w:r>
      <w:r w:rsidRPr="00255D8D">
        <w:t>path</w:t>
      </w:r>
      <w:r w:rsidR="0013032F" w:rsidRPr="00255D8D">
        <w:t xml:space="preserve"> </w:t>
      </w:r>
      <w:r w:rsidRPr="00255D8D">
        <w:t>that</w:t>
      </w:r>
      <w:r w:rsidR="0013032F" w:rsidRPr="00255D8D">
        <w:t xml:space="preserve"> </w:t>
      </w:r>
      <w:r w:rsidRPr="00255D8D">
        <w:t>will</w:t>
      </w:r>
      <w:r w:rsidR="0013032F" w:rsidRPr="00255D8D">
        <w:t xml:space="preserve"> </w:t>
      </w:r>
      <w:r w:rsidRPr="00255D8D">
        <w:t>be</w:t>
      </w:r>
      <w:r w:rsidR="0013032F" w:rsidRPr="00255D8D">
        <w:t xml:space="preserve"> </w:t>
      </w:r>
      <w:r w:rsidRPr="00255D8D">
        <w:t>highly</w:t>
      </w:r>
      <w:r w:rsidR="0013032F" w:rsidRPr="00255D8D">
        <w:t xml:space="preserve"> </w:t>
      </w:r>
      <w:r w:rsidRPr="00255D8D">
        <w:t>valued</w:t>
      </w:r>
      <w:r w:rsidR="0013032F" w:rsidRPr="00255D8D">
        <w:t xml:space="preserve"> </w:t>
      </w:r>
      <w:r w:rsidRPr="00255D8D">
        <w:t>in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East</w:t>
      </w:r>
      <w:r w:rsidR="0013032F" w:rsidRPr="00255D8D">
        <w:t xml:space="preserve"> </w:t>
      </w:r>
      <w:r w:rsidRPr="00255D8D">
        <w:t>Gippsland</w:t>
      </w:r>
      <w:r w:rsidR="0013032F" w:rsidRPr="00255D8D">
        <w:t xml:space="preserve"> </w:t>
      </w:r>
      <w:r w:rsidRPr="00255D8D">
        <w:t>wilderness</w:t>
      </w:r>
      <w:r w:rsidR="0013032F" w:rsidRPr="00255D8D">
        <w:t xml:space="preserve"> </w:t>
      </w:r>
      <w:r w:rsidRPr="00255D8D">
        <w:t>coast</w:t>
      </w:r>
      <w:r w:rsidR="0013032F" w:rsidRPr="00255D8D">
        <w:t xml:space="preserve"> </w:t>
      </w:r>
      <w:r w:rsidRPr="00255D8D">
        <w:t>region.</w:t>
      </w:r>
      <w:r w:rsidR="0013032F" w:rsidRPr="00255D8D">
        <w:t xml:space="preserve"> </w:t>
      </w:r>
    </w:p>
    <w:p w14:paraId="3B925216" w14:textId="41543839" w:rsidR="00757772" w:rsidRPr="00255D8D" w:rsidRDefault="00305D3C" w:rsidP="00255D8D">
      <w:r w:rsidRPr="00255D8D">
        <w:t>In</w:t>
      </w:r>
      <w:r w:rsidR="0013032F" w:rsidRPr="00255D8D">
        <w:t xml:space="preserve"> </w:t>
      </w:r>
      <w:r w:rsidRPr="00255D8D">
        <w:t>May</w:t>
      </w:r>
      <w:r w:rsidR="0013032F" w:rsidRPr="00255D8D">
        <w:t xml:space="preserve"> </w:t>
      </w:r>
      <w:r w:rsidRPr="00255D8D">
        <w:t>2023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announcement</w:t>
      </w:r>
      <w:r w:rsidR="0013032F" w:rsidRPr="00255D8D">
        <w:t xml:space="preserve"> </w:t>
      </w:r>
      <w:r w:rsidRPr="00255D8D">
        <w:t>was</w:t>
      </w:r>
      <w:r w:rsidR="0013032F" w:rsidRPr="00255D8D">
        <w:t xml:space="preserve"> </w:t>
      </w:r>
      <w:r w:rsidRPr="00255D8D">
        <w:t>made</w:t>
      </w:r>
      <w:r w:rsidR="0013032F" w:rsidRPr="00255D8D">
        <w:t xml:space="preserve"> </w:t>
      </w:r>
      <w:r w:rsidRPr="00255D8D">
        <w:t>for</w:t>
      </w:r>
      <w:r w:rsidR="0013032F" w:rsidRPr="00255D8D">
        <w:t xml:space="preserve"> </w:t>
      </w:r>
      <w:r w:rsidRPr="00255D8D">
        <w:t>a</w:t>
      </w:r>
      <w:r w:rsidR="0013032F" w:rsidRPr="00255D8D">
        <w:t xml:space="preserve"> </w:t>
      </w:r>
      <w:r w:rsidRPr="00255D8D">
        <w:t>revised</w:t>
      </w:r>
      <w:r w:rsidR="0013032F" w:rsidRPr="00255D8D">
        <w:t xml:space="preserve"> </w:t>
      </w:r>
      <w:r w:rsidRPr="00255D8D">
        <w:t>timeline</w:t>
      </w:r>
      <w:r w:rsidR="0013032F" w:rsidRPr="00255D8D">
        <w:t xml:space="preserve"> </w:t>
      </w:r>
      <w:r w:rsidRPr="00255D8D">
        <w:t>for</w:t>
      </w:r>
      <w:r w:rsidR="0013032F" w:rsidRPr="00255D8D">
        <w:t xml:space="preserve"> </w:t>
      </w:r>
      <w:r w:rsidRPr="00255D8D">
        <w:t>Victoria’s</w:t>
      </w:r>
      <w:r w:rsidR="0013032F" w:rsidRPr="00255D8D">
        <w:t xml:space="preserve"> </w:t>
      </w:r>
      <w:r w:rsidRPr="00255D8D">
        <w:t>native</w:t>
      </w:r>
      <w:r w:rsidR="0013032F" w:rsidRPr="00255D8D">
        <w:t xml:space="preserve"> </w:t>
      </w:r>
      <w:r w:rsidRPr="00255D8D">
        <w:t>timber</w:t>
      </w:r>
      <w:r w:rsidR="0013032F" w:rsidRPr="00255D8D">
        <w:t xml:space="preserve"> </w:t>
      </w:r>
      <w:r w:rsidRPr="00255D8D">
        <w:t>transition.</w:t>
      </w:r>
      <w:r w:rsidR="0013032F" w:rsidRPr="00255D8D">
        <w:t xml:space="preserve"> </w:t>
      </w:r>
      <w:r w:rsidRPr="00255D8D">
        <w:t>With</w:t>
      </w:r>
      <w:r w:rsidR="0013032F" w:rsidRPr="00255D8D">
        <w:t xml:space="preserve"> </w:t>
      </w:r>
      <w:r w:rsidRPr="00255D8D">
        <w:t>native</w:t>
      </w:r>
      <w:r w:rsidR="0013032F" w:rsidRPr="00255D8D">
        <w:t xml:space="preserve"> </w:t>
      </w:r>
      <w:r w:rsidRPr="00255D8D">
        <w:t>timber</w:t>
      </w:r>
      <w:r w:rsidR="0013032F" w:rsidRPr="00255D8D">
        <w:t xml:space="preserve"> </w:t>
      </w:r>
      <w:r w:rsidRPr="00255D8D">
        <w:t>harvesting</w:t>
      </w:r>
      <w:r w:rsidR="0013032F" w:rsidRPr="00255D8D">
        <w:t xml:space="preserve"> </w:t>
      </w:r>
      <w:r w:rsidRPr="00255D8D">
        <w:t>in</w:t>
      </w:r>
      <w:r w:rsidR="0013032F" w:rsidRPr="00255D8D">
        <w:t xml:space="preserve"> </w:t>
      </w:r>
      <w:r w:rsidRPr="00255D8D">
        <w:t>Victoria’s</w:t>
      </w:r>
      <w:r w:rsidR="0013032F" w:rsidRPr="00255D8D">
        <w:t xml:space="preserve"> </w:t>
      </w:r>
      <w:r w:rsidRPr="00255D8D">
        <w:t>state</w:t>
      </w:r>
      <w:r w:rsidR="0013032F" w:rsidRPr="00255D8D">
        <w:t xml:space="preserve"> </w:t>
      </w:r>
      <w:r w:rsidRPr="00255D8D">
        <w:t>forests</w:t>
      </w:r>
      <w:r w:rsidR="0013032F" w:rsidRPr="00255D8D">
        <w:t xml:space="preserve"> </w:t>
      </w:r>
      <w:r w:rsidRPr="00255D8D">
        <w:t>now</w:t>
      </w:r>
      <w:r w:rsidR="0013032F" w:rsidRPr="00255D8D">
        <w:t xml:space="preserve"> </w:t>
      </w:r>
      <w:r w:rsidRPr="00255D8D">
        <w:t>ending</w:t>
      </w:r>
      <w:r w:rsidR="0013032F" w:rsidRPr="00255D8D">
        <w:t xml:space="preserve"> </w:t>
      </w:r>
      <w:r w:rsidRPr="00255D8D">
        <w:t>on</w:t>
      </w:r>
      <w:r w:rsidR="0013032F" w:rsidRPr="00255D8D">
        <w:t xml:space="preserve"> </w:t>
      </w:r>
      <w:r w:rsidRPr="00255D8D">
        <w:t>1</w:t>
      </w:r>
      <w:r w:rsidR="0013032F" w:rsidRPr="00255D8D">
        <w:t xml:space="preserve"> </w:t>
      </w:r>
      <w:r w:rsidRPr="00255D8D">
        <w:lastRenderedPageBreak/>
        <w:t>January</w:t>
      </w:r>
      <w:r w:rsidR="0013032F" w:rsidRPr="00255D8D">
        <w:t xml:space="preserve"> </w:t>
      </w:r>
      <w:r w:rsidRPr="00255D8D">
        <w:t>2024,</w:t>
      </w:r>
      <w:r w:rsidR="0013032F" w:rsidRPr="00255D8D">
        <w:t xml:space="preserve"> </w:t>
      </w:r>
      <w:r w:rsidRPr="00255D8D">
        <w:t>RDV</w:t>
      </w:r>
      <w:r w:rsidR="0013032F" w:rsidRPr="00255D8D">
        <w:t xml:space="preserve"> </w:t>
      </w:r>
      <w:r w:rsidRPr="00255D8D">
        <w:t>worked</w:t>
      </w:r>
      <w:r w:rsidR="0013032F" w:rsidRPr="00255D8D">
        <w:t xml:space="preserve"> </w:t>
      </w:r>
      <w:r w:rsidRPr="00255D8D">
        <w:t>with</w:t>
      </w:r>
      <w:r w:rsidR="0013032F" w:rsidRPr="00255D8D">
        <w:t xml:space="preserve"> </w:t>
      </w:r>
      <w:r w:rsidRPr="00255D8D">
        <w:t>stakeholders</w:t>
      </w:r>
      <w:r w:rsidR="0013032F" w:rsidRPr="00255D8D">
        <w:t xml:space="preserve"> </w:t>
      </w:r>
      <w:r w:rsidRPr="00255D8D">
        <w:t>to</w:t>
      </w:r>
      <w:r w:rsidR="0013032F" w:rsidRPr="00255D8D">
        <w:t xml:space="preserve"> </w:t>
      </w:r>
      <w:r w:rsidRPr="00255D8D">
        <w:t>commence</w:t>
      </w:r>
      <w:r w:rsidR="0013032F" w:rsidRPr="00255D8D">
        <w:t xml:space="preserve"> </w:t>
      </w:r>
      <w:r w:rsidRPr="00255D8D">
        <w:t>facilitating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government’s</w:t>
      </w:r>
      <w:r w:rsidR="0013032F" w:rsidRPr="00255D8D">
        <w:t xml:space="preserve"> </w:t>
      </w:r>
      <w:r w:rsidRPr="00255D8D">
        <w:t>support</w:t>
      </w:r>
      <w:r w:rsidR="0013032F" w:rsidRPr="00255D8D">
        <w:t xml:space="preserve"> </w:t>
      </w:r>
      <w:r w:rsidRPr="00255D8D">
        <w:t>package.</w:t>
      </w:r>
    </w:p>
    <w:p w14:paraId="7763F333" w14:textId="1F705AA2" w:rsidR="00757772" w:rsidRPr="00255D8D" w:rsidRDefault="00305D3C" w:rsidP="00255D8D">
      <w:r w:rsidRPr="00255D8D">
        <w:t>The</w:t>
      </w:r>
      <w:r w:rsidR="0013032F" w:rsidRPr="00255D8D">
        <w:t xml:space="preserve"> </w:t>
      </w:r>
      <w:r w:rsidRPr="00255D8D">
        <w:t>team</w:t>
      </w:r>
      <w:r w:rsidR="0013032F" w:rsidRPr="00255D8D">
        <w:t xml:space="preserve"> </w:t>
      </w:r>
      <w:r w:rsidRPr="00255D8D">
        <w:t>also</w:t>
      </w:r>
      <w:r w:rsidR="0013032F" w:rsidRPr="00255D8D">
        <w:t xml:space="preserve"> </w:t>
      </w:r>
      <w:r w:rsidRPr="00255D8D">
        <w:t>worked</w:t>
      </w:r>
      <w:r w:rsidR="0013032F" w:rsidRPr="00255D8D">
        <w:t xml:space="preserve"> </w:t>
      </w:r>
      <w:r w:rsidRPr="00255D8D">
        <w:t>with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Latrobe</w:t>
      </w:r>
      <w:r w:rsidR="0013032F" w:rsidRPr="00255D8D">
        <w:t xml:space="preserve"> </w:t>
      </w:r>
      <w:r w:rsidRPr="00255D8D">
        <w:t>Valley</w:t>
      </w:r>
      <w:r w:rsidR="0013032F" w:rsidRPr="00255D8D">
        <w:t xml:space="preserve"> </w:t>
      </w:r>
      <w:r w:rsidRPr="00255D8D">
        <w:t>Authority</w:t>
      </w:r>
      <w:r w:rsidR="0013032F" w:rsidRPr="00255D8D">
        <w:t xml:space="preserve"> </w:t>
      </w:r>
      <w:r w:rsidRPr="00255D8D">
        <w:t>on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Latrobe</w:t>
      </w:r>
      <w:r w:rsidR="0013032F" w:rsidRPr="00255D8D">
        <w:t xml:space="preserve"> </w:t>
      </w:r>
      <w:r w:rsidRPr="00255D8D">
        <w:t>Valley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Gippsland</w:t>
      </w:r>
      <w:r w:rsidR="0013032F" w:rsidRPr="00255D8D">
        <w:t xml:space="preserve"> </w:t>
      </w:r>
      <w:r w:rsidRPr="00255D8D">
        <w:t>Transition</w:t>
      </w:r>
      <w:r w:rsidR="0013032F" w:rsidRPr="00255D8D">
        <w:t xml:space="preserve"> </w:t>
      </w:r>
      <w:r w:rsidRPr="00255D8D">
        <w:t>Plan.</w:t>
      </w:r>
      <w:r w:rsidR="0013032F" w:rsidRPr="00255D8D">
        <w:t xml:space="preserve"> </w:t>
      </w:r>
      <w:r w:rsidRPr="00255D8D">
        <w:t>This</w:t>
      </w:r>
      <w:r w:rsidR="0013032F" w:rsidRPr="00255D8D">
        <w:t xml:space="preserve"> </w:t>
      </w:r>
      <w:r w:rsidRPr="00255D8D">
        <w:t>important</w:t>
      </w:r>
      <w:r w:rsidR="0013032F" w:rsidRPr="00255D8D">
        <w:t xml:space="preserve"> </w:t>
      </w:r>
      <w:r w:rsidRPr="00255D8D">
        <w:t>work</w:t>
      </w:r>
      <w:r w:rsidR="0013032F" w:rsidRPr="00255D8D">
        <w:t xml:space="preserve"> </w:t>
      </w:r>
      <w:r w:rsidRPr="00255D8D">
        <w:t>allows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Gippsland</w:t>
      </w:r>
      <w:r w:rsidR="0013032F" w:rsidRPr="00255D8D">
        <w:t xml:space="preserve"> </w:t>
      </w:r>
      <w:r w:rsidRPr="00255D8D">
        <w:t>community</w:t>
      </w:r>
      <w:r w:rsidR="0013032F" w:rsidRPr="00255D8D">
        <w:t xml:space="preserve"> </w:t>
      </w:r>
      <w:r w:rsidRPr="00255D8D">
        <w:t>to</w:t>
      </w:r>
      <w:r w:rsidR="0013032F" w:rsidRPr="00255D8D">
        <w:t xml:space="preserve"> </w:t>
      </w:r>
      <w:r w:rsidRPr="00255D8D">
        <w:t>set</w:t>
      </w:r>
      <w:r w:rsidR="0013032F" w:rsidRPr="00255D8D">
        <w:t xml:space="preserve"> </w:t>
      </w:r>
      <w:r w:rsidRPr="00255D8D">
        <w:t>out</w:t>
      </w:r>
      <w:r w:rsidR="0013032F" w:rsidRPr="00255D8D">
        <w:t xml:space="preserve"> </w:t>
      </w:r>
      <w:r w:rsidRPr="00255D8D">
        <w:t>their</w:t>
      </w:r>
      <w:r w:rsidR="0013032F" w:rsidRPr="00255D8D">
        <w:t xml:space="preserve"> </w:t>
      </w:r>
      <w:r w:rsidRPr="00255D8D">
        <w:t>long-term</w:t>
      </w:r>
      <w:r w:rsidR="0013032F" w:rsidRPr="00255D8D">
        <w:t xml:space="preserve"> </w:t>
      </w:r>
      <w:r w:rsidRPr="00255D8D">
        <w:t>vision</w:t>
      </w:r>
      <w:r w:rsidR="0013032F" w:rsidRPr="00255D8D">
        <w:t xml:space="preserve"> </w:t>
      </w:r>
      <w:r w:rsidRPr="00255D8D">
        <w:t>for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region</w:t>
      </w:r>
      <w:r w:rsidR="0013032F" w:rsidRPr="00255D8D">
        <w:t xml:space="preserve"> </w:t>
      </w:r>
      <w:r w:rsidRPr="00255D8D">
        <w:t>with</w:t>
      </w:r>
      <w:r w:rsidR="0013032F" w:rsidRPr="00255D8D">
        <w:t xml:space="preserve"> </w:t>
      </w:r>
      <w:r w:rsidRPr="00255D8D">
        <w:t>a</w:t>
      </w:r>
      <w:r w:rsidR="0013032F" w:rsidRPr="00255D8D">
        <w:t xml:space="preserve"> </w:t>
      </w:r>
      <w:r w:rsidRPr="00255D8D">
        <w:t>plan</w:t>
      </w:r>
      <w:r w:rsidR="0013032F" w:rsidRPr="00255D8D">
        <w:t xml:space="preserve"> </w:t>
      </w:r>
      <w:r w:rsidRPr="00255D8D">
        <w:t>to</w:t>
      </w:r>
      <w:r w:rsidR="0013032F" w:rsidRPr="00255D8D">
        <w:t xml:space="preserve"> </w:t>
      </w:r>
      <w:r w:rsidRPr="00255D8D">
        <w:t>help</w:t>
      </w:r>
      <w:r w:rsidR="0013032F" w:rsidRPr="00255D8D">
        <w:t xml:space="preserve"> </w:t>
      </w:r>
      <w:r w:rsidRPr="00255D8D">
        <w:t>create</w:t>
      </w:r>
      <w:r w:rsidR="0013032F" w:rsidRPr="00255D8D">
        <w:t xml:space="preserve"> </w:t>
      </w:r>
      <w:r w:rsidRPr="00255D8D">
        <w:t>more</w:t>
      </w:r>
      <w:r w:rsidR="0013032F" w:rsidRPr="00255D8D">
        <w:t xml:space="preserve"> </w:t>
      </w:r>
      <w:r w:rsidRPr="00255D8D">
        <w:t>jobs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develop</w:t>
      </w:r>
      <w:r w:rsidR="0013032F" w:rsidRPr="00255D8D">
        <w:t xml:space="preserve"> </w:t>
      </w:r>
      <w:r w:rsidRPr="00255D8D">
        <w:t>economic</w:t>
      </w:r>
      <w:r w:rsidR="0013032F" w:rsidRPr="00255D8D">
        <w:t xml:space="preserve"> </w:t>
      </w:r>
      <w:r w:rsidRPr="00255D8D">
        <w:t>growth</w:t>
      </w:r>
      <w:r w:rsidR="0013032F" w:rsidRPr="00255D8D">
        <w:t xml:space="preserve"> </w:t>
      </w:r>
      <w:r w:rsidRPr="00255D8D">
        <w:t>in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region.</w:t>
      </w:r>
      <w:r w:rsidR="0013032F" w:rsidRPr="00255D8D">
        <w:t xml:space="preserve"> </w:t>
      </w:r>
    </w:p>
    <w:p w14:paraId="56A7B944" w14:textId="44EC03BA" w:rsidR="00757772" w:rsidRPr="00255D8D" w:rsidRDefault="00305D3C" w:rsidP="00255D8D">
      <w:r w:rsidRPr="00255D8D">
        <w:t>Our</w:t>
      </w:r>
      <w:r w:rsidR="0013032F" w:rsidRPr="00255D8D">
        <w:t xml:space="preserve"> </w:t>
      </w:r>
      <w:r w:rsidRPr="00255D8D">
        <w:t>valuable</w:t>
      </w:r>
      <w:r w:rsidR="0013032F" w:rsidRPr="00255D8D">
        <w:t xml:space="preserve"> </w:t>
      </w:r>
      <w:r w:rsidRPr="00255D8D">
        <w:t>partners</w:t>
      </w:r>
      <w:r w:rsidR="0013032F" w:rsidRPr="00255D8D">
        <w:t xml:space="preserve"> </w:t>
      </w:r>
      <w:r w:rsidRPr="00255D8D">
        <w:t>in</w:t>
      </w:r>
      <w:r w:rsidR="0013032F" w:rsidRPr="00255D8D">
        <w:t xml:space="preserve"> </w:t>
      </w:r>
      <w:r w:rsidRPr="00255D8D">
        <w:t>supporting</w:t>
      </w:r>
      <w:r w:rsidR="0013032F" w:rsidRPr="00255D8D">
        <w:t xml:space="preserve"> </w:t>
      </w:r>
      <w:r w:rsidRPr="00255D8D">
        <w:t>our</w:t>
      </w:r>
      <w:r w:rsidR="0013032F" w:rsidRPr="00255D8D">
        <w:t xml:space="preserve"> </w:t>
      </w:r>
      <w:r w:rsidRPr="00255D8D">
        <w:t>community</w:t>
      </w:r>
      <w:r w:rsidR="0013032F" w:rsidRPr="00255D8D">
        <w:t xml:space="preserve"> </w:t>
      </w:r>
      <w:r w:rsidRPr="00255D8D">
        <w:t>include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Gippsland</w:t>
      </w:r>
      <w:r w:rsidR="0013032F" w:rsidRPr="00255D8D">
        <w:t xml:space="preserve"> </w:t>
      </w:r>
      <w:r w:rsidRPr="00255D8D">
        <w:t>Regional</w:t>
      </w:r>
      <w:r w:rsidR="0013032F" w:rsidRPr="00255D8D">
        <w:t xml:space="preserve"> </w:t>
      </w:r>
      <w:r w:rsidRPr="00255D8D">
        <w:t>Partnership</w:t>
      </w:r>
      <w:r w:rsidR="0013032F" w:rsidRPr="00255D8D">
        <w:t xml:space="preserve"> </w:t>
      </w:r>
      <w:r w:rsidRPr="00255D8D">
        <w:t>members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RDA</w:t>
      </w:r>
      <w:r w:rsidR="0013032F" w:rsidRPr="00255D8D">
        <w:t xml:space="preserve"> </w:t>
      </w:r>
      <w:r w:rsidRPr="00255D8D">
        <w:t>Gippsland.</w:t>
      </w:r>
      <w:r w:rsidR="0013032F" w:rsidRPr="00255D8D">
        <w:t xml:space="preserve"> </w:t>
      </w:r>
      <w:r w:rsidRPr="00255D8D">
        <w:t>Their</w:t>
      </w:r>
      <w:r w:rsidR="0013032F" w:rsidRPr="00255D8D">
        <w:t xml:space="preserve"> </w:t>
      </w:r>
      <w:r w:rsidRPr="00255D8D">
        <w:t>work</w:t>
      </w:r>
      <w:r w:rsidR="0013032F" w:rsidRPr="00255D8D">
        <w:t xml:space="preserve"> </w:t>
      </w:r>
      <w:r w:rsidRPr="00255D8D">
        <w:t>continues</w:t>
      </w:r>
      <w:r w:rsidR="0013032F" w:rsidRPr="00255D8D">
        <w:t xml:space="preserve"> </w:t>
      </w:r>
      <w:r w:rsidRPr="00255D8D">
        <w:t>to</w:t>
      </w:r>
      <w:r w:rsidR="0013032F" w:rsidRPr="00255D8D">
        <w:t xml:space="preserve"> </w:t>
      </w:r>
      <w:r w:rsidRPr="00255D8D">
        <w:t>both</w:t>
      </w:r>
      <w:r w:rsidR="0013032F" w:rsidRPr="00255D8D">
        <w:t xml:space="preserve"> </w:t>
      </w:r>
      <w:r w:rsidRPr="00255D8D">
        <w:t>inform</w:t>
      </w:r>
      <w:r w:rsidR="0013032F" w:rsidRPr="00255D8D">
        <w:t xml:space="preserve"> </w:t>
      </w:r>
      <w:r w:rsidRPr="00255D8D">
        <w:t>investment</w:t>
      </w:r>
      <w:r w:rsidR="0013032F" w:rsidRPr="00255D8D">
        <w:t xml:space="preserve"> </w:t>
      </w:r>
      <w:r w:rsidRPr="00255D8D">
        <w:t>decisions</w:t>
      </w:r>
      <w:r w:rsidR="0013032F" w:rsidRPr="00255D8D">
        <w:t xml:space="preserve"> </w:t>
      </w:r>
      <w:r w:rsidRPr="00255D8D">
        <w:t>as</w:t>
      </w:r>
      <w:r w:rsidR="0013032F" w:rsidRPr="00255D8D">
        <w:t xml:space="preserve"> </w:t>
      </w:r>
      <w:r w:rsidRPr="00255D8D">
        <w:t>well</w:t>
      </w:r>
      <w:r w:rsidR="0013032F" w:rsidRPr="00255D8D">
        <w:t xml:space="preserve"> </w:t>
      </w:r>
      <w:r w:rsidRPr="00255D8D">
        <w:t>as</w:t>
      </w:r>
      <w:r w:rsidR="0013032F" w:rsidRPr="00255D8D">
        <w:t xml:space="preserve"> </w:t>
      </w:r>
      <w:r w:rsidRPr="00255D8D">
        <w:t>influence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shape</w:t>
      </w:r>
      <w:r w:rsidR="0013032F" w:rsidRPr="00255D8D">
        <w:t xml:space="preserve"> </w:t>
      </w:r>
      <w:r w:rsidRPr="00255D8D">
        <w:t>policy.</w:t>
      </w:r>
      <w:r w:rsidR="0013032F" w:rsidRPr="00255D8D">
        <w:t xml:space="preserve"> </w:t>
      </w:r>
      <w:r w:rsidRPr="00255D8D">
        <w:t>In</w:t>
      </w:r>
      <w:r w:rsidR="0013032F" w:rsidRPr="00255D8D">
        <w:t xml:space="preserve"> </w:t>
      </w:r>
      <w:r w:rsidRPr="00255D8D">
        <w:t>2022–23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RDA</w:t>
      </w:r>
      <w:r w:rsidR="0013032F" w:rsidRPr="00255D8D">
        <w:t xml:space="preserve"> </w:t>
      </w:r>
      <w:r w:rsidRPr="00255D8D">
        <w:t>Gippsland</w:t>
      </w:r>
      <w:r w:rsidR="0013032F" w:rsidRPr="00255D8D">
        <w:t xml:space="preserve"> </w:t>
      </w:r>
      <w:r w:rsidRPr="00255D8D">
        <w:t>Committee</w:t>
      </w:r>
      <w:r w:rsidR="0013032F" w:rsidRPr="00255D8D">
        <w:t xml:space="preserve"> </w:t>
      </w:r>
      <w:r w:rsidRPr="00255D8D">
        <w:t>supported</w:t>
      </w:r>
      <w:r w:rsidR="0013032F" w:rsidRPr="00255D8D">
        <w:t xml:space="preserve"> </w:t>
      </w:r>
      <w:r w:rsidRPr="00255D8D">
        <w:t>Wellington</w:t>
      </w:r>
      <w:r w:rsidR="0013032F" w:rsidRPr="00255D8D">
        <w:t xml:space="preserve"> </w:t>
      </w:r>
      <w:r w:rsidRPr="00255D8D">
        <w:t>Shire</w:t>
      </w:r>
      <w:r w:rsidR="0013032F" w:rsidRPr="00255D8D">
        <w:t xml:space="preserve"> </w:t>
      </w:r>
      <w:r w:rsidRPr="00255D8D">
        <w:t>Council</w:t>
      </w:r>
      <w:r w:rsidR="0013032F" w:rsidRPr="00255D8D">
        <w:t xml:space="preserve"> </w:t>
      </w:r>
      <w:r w:rsidRPr="00255D8D">
        <w:t>in</w:t>
      </w:r>
      <w:r w:rsidR="0013032F" w:rsidRPr="00255D8D">
        <w:t xml:space="preserve"> </w:t>
      </w:r>
      <w:r w:rsidRPr="00255D8D">
        <w:t>developing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Wellington</w:t>
      </w:r>
      <w:r w:rsidR="0013032F" w:rsidRPr="00255D8D">
        <w:t xml:space="preserve"> </w:t>
      </w:r>
      <w:r w:rsidRPr="00255D8D">
        <w:t>Renewable</w:t>
      </w:r>
      <w:r w:rsidR="0013032F" w:rsidRPr="00255D8D">
        <w:t xml:space="preserve"> </w:t>
      </w:r>
      <w:r w:rsidRPr="00255D8D">
        <w:t>Energy</w:t>
      </w:r>
      <w:r w:rsidR="0013032F" w:rsidRPr="00255D8D">
        <w:t xml:space="preserve"> </w:t>
      </w:r>
      <w:r w:rsidRPr="00255D8D">
        <w:t>Impact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Readiness</w:t>
      </w:r>
      <w:r w:rsidR="0013032F" w:rsidRPr="00255D8D">
        <w:t xml:space="preserve"> </w:t>
      </w:r>
      <w:r w:rsidRPr="00255D8D">
        <w:t>Study</w:t>
      </w:r>
      <w:r w:rsidR="0013032F" w:rsidRPr="00255D8D">
        <w:t xml:space="preserve"> </w:t>
      </w:r>
      <w:r w:rsidRPr="00255D8D">
        <w:t>–</w:t>
      </w:r>
      <w:r w:rsidR="0013032F" w:rsidRPr="00255D8D">
        <w:t xml:space="preserve"> </w:t>
      </w:r>
      <w:r w:rsidRPr="00255D8D">
        <w:t>an</w:t>
      </w:r>
      <w:r w:rsidR="0013032F" w:rsidRPr="00255D8D">
        <w:t xml:space="preserve"> </w:t>
      </w:r>
      <w:r w:rsidRPr="00255D8D">
        <w:t>important</w:t>
      </w:r>
      <w:r w:rsidR="0013032F" w:rsidRPr="00255D8D">
        <w:t xml:space="preserve"> </w:t>
      </w:r>
      <w:r w:rsidRPr="00255D8D">
        <w:t>assessment</w:t>
      </w:r>
      <w:r w:rsidR="0013032F" w:rsidRPr="00255D8D">
        <w:t xml:space="preserve"> </w:t>
      </w:r>
      <w:r w:rsidRPr="00255D8D">
        <w:t>of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offshore</w:t>
      </w:r>
      <w:r w:rsidR="0013032F" w:rsidRPr="00255D8D">
        <w:t xml:space="preserve"> </w:t>
      </w:r>
      <w:r w:rsidRPr="00255D8D">
        <w:t>wind</w:t>
      </w:r>
      <w:r w:rsidR="0013032F" w:rsidRPr="00255D8D">
        <w:t xml:space="preserve"> </w:t>
      </w:r>
      <w:r w:rsidRPr="00255D8D">
        <w:t>opportunities</w:t>
      </w:r>
      <w:r w:rsidR="0013032F" w:rsidRPr="00255D8D">
        <w:t xml:space="preserve"> </w:t>
      </w:r>
      <w:r w:rsidRPr="00255D8D">
        <w:t>for</w:t>
      </w:r>
      <w:r w:rsidR="0013032F" w:rsidRPr="00255D8D">
        <w:t xml:space="preserve"> </w:t>
      </w:r>
      <w:r w:rsidRPr="00255D8D">
        <w:t>Wellington</w:t>
      </w:r>
      <w:r w:rsidR="0013032F" w:rsidRPr="00255D8D">
        <w:t xml:space="preserve"> </w:t>
      </w:r>
      <w:r w:rsidRPr="00255D8D">
        <w:t>Shire</w:t>
      </w:r>
      <w:r w:rsidR="0013032F" w:rsidRPr="00255D8D">
        <w:t xml:space="preserve"> </w:t>
      </w:r>
      <w:r w:rsidRPr="00255D8D">
        <w:t>Council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its</w:t>
      </w:r>
      <w:r w:rsidR="0013032F" w:rsidRPr="00255D8D">
        <w:t xml:space="preserve"> </w:t>
      </w:r>
      <w:r w:rsidRPr="00255D8D">
        <w:t>community.</w:t>
      </w:r>
      <w:r w:rsidR="0013032F" w:rsidRPr="00255D8D">
        <w:t xml:space="preserve"> </w:t>
      </w:r>
    </w:p>
    <w:p w14:paraId="7B7B4BC1" w14:textId="19D0037C" w:rsidR="00757772" w:rsidRPr="00255D8D" w:rsidRDefault="00305D3C" w:rsidP="00255D8D">
      <w:r w:rsidRPr="00255D8D">
        <w:t>RDV</w:t>
      </w:r>
      <w:r w:rsidR="0013032F" w:rsidRPr="00255D8D">
        <w:t xml:space="preserve"> </w:t>
      </w:r>
      <w:r w:rsidRPr="00255D8D">
        <w:t>Gippsland</w:t>
      </w:r>
      <w:r w:rsidR="0013032F" w:rsidRPr="00255D8D">
        <w:t xml:space="preserve"> </w:t>
      </w:r>
      <w:r w:rsidRPr="00255D8D">
        <w:t>appreciates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work</w:t>
      </w:r>
      <w:r w:rsidR="0013032F" w:rsidRPr="00255D8D">
        <w:t xml:space="preserve"> </w:t>
      </w:r>
      <w:r w:rsidRPr="00255D8D">
        <w:t>of</w:t>
      </w:r>
      <w:r w:rsidR="0013032F" w:rsidRPr="00255D8D">
        <w:t xml:space="preserve"> </w:t>
      </w:r>
      <w:r w:rsidRPr="00255D8D">
        <w:t>our</w:t>
      </w:r>
      <w:r w:rsidR="0013032F" w:rsidRPr="00255D8D">
        <w:t xml:space="preserve"> </w:t>
      </w:r>
      <w:r w:rsidRPr="00255D8D">
        <w:t>staff,</w:t>
      </w:r>
      <w:r w:rsidR="0013032F" w:rsidRPr="00255D8D">
        <w:t xml:space="preserve"> </w:t>
      </w:r>
      <w:r w:rsidRPr="00255D8D">
        <w:t>partners</w:t>
      </w:r>
      <w:r w:rsidR="0013032F" w:rsidRPr="00255D8D">
        <w:t xml:space="preserve"> </w:t>
      </w:r>
      <w:r w:rsidRPr="00255D8D">
        <w:t>across</w:t>
      </w:r>
      <w:r w:rsidR="0013032F" w:rsidRPr="00255D8D">
        <w:t xml:space="preserve"> </w:t>
      </w:r>
      <w:r w:rsidRPr="00255D8D">
        <w:t>our</w:t>
      </w:r>
      <w:r w:rsidR="0013032F" w:rsidRPr="00255D8D">
        <w:t xml:space="preserve"> </w:t>
      </w:r>
      <w:r w:rsidRPr="00255D8D">
        <w:t>community,</w:t>
      </w:r>
      <w:r w:rsidR="0013032F" w:rsidRPr="00255D8D">
        <w:t xml:space="preserve"> </w:t>
      </w:r>
      <w:r w:rsidRPr="00255D8D">
        <w:t>business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industry,</w:t>
      </w:r>
      <w:r w:rsidR="0013032F" w:rsidRPr="00255D8D">
        <w:t xml:space="preserve"> </w:t>
      </w:r>
      <w:r w:rsidRPr="00255D8D">
        <w:t>educational</w:t>
      </w:r>
      <w:r w:rsidR="0013032F" w:rsidRPr="00255D8D">
        <w:t xml:space="preserve"> </w:t>
      </w:r>
      <w:r w:rsidRPr="00255D8D">
        <w:t>institutions,</w:t>
      </w:r>
      <w:r w:rsidR="0013032F" w:rsidRPr="00255D8D">
        <w:t xml:space="preserve"> </w:t>
      </w:r>
      <w:r w:rsidRPr="00255D8D">
        <w:t>our</w:t>
      </w:r>
      <w:r w:rsidR="0013032F" w:rsidRPr="00255D8D">
        <w:t xml:space="preserve"> </w:t>
      </w:r>
      <w:r w:rsidRPr="00255D8D">
        <w:t>6</w:t>
      </w:r>
      <w:r w:rsidR="0013032F" w:rsidRPr="00255D8D">
        <w:t xml:space="preserve"> </w:t>
      </w:r>
      <w:r w:rsidRPr="00255D8D">
        <w:t>councils</w:t>
      </w:r>
      <w:r w:rsidR="0013032F" w:rsidRPr="00255D8D">
        <w:t xml:space="preserve"> </w:t>
      </w:r>
      <w:r w:rsidRPr="00255D8D">
        <w:t>as</w:t>
      </w:r>
      <w:r w:rsidR="0013032F" w:rsidRPr="00255D8D">
        <w:t xml:space="preserve"> </w:t>
      </w:r>
      <w:r w:rsidRPr="00255D8D">
        <w:t>well</w:t>
      </w:r>
      <w:r w:rsidR="0013032F" w:rsidRPr="00255D8D">
        <w:t xml:space="preserve"> </w:t>
      </w:r>
      <w:r w:rsidRPr="00255D8D">
        <w:t>as</w:t>
      </w:r>
      <w:r w:rsidR="0013032F" w:rsidRPr="00255D8D">
        <w:t xml:space="preserve"> </w:t>
      </w:r>
      <w:r w:rsidRPr="00255D8D">
        <w:t>many</w:t>
      </w:r>
      <w:r w:rsidR="0013032F" w:rsidRPr="00255D8D">
        <w:t xml:space="preserve"> </w:t>
      </w:r>
      <w:r w:rsidRPr="00255D8D">
        <w:t>other</w:t>
      </w:r>
      <w:r w:rsidR="0013032F" w:rsidRPr="00255D8D">
        <w:t xml:space="preserve"> </w:t>
      </w:r>
      <w:r w:rsidRPr="00255D8D">
        <w:t>local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regional</w:t>
      </w:r>
      <w:r w:rsidR="0013032F" w:rsidRPr="00255D8D">
        <w:t xml:space="preserve"> </w:t>
      </w:r>
      <w:r w:rsidRPr="00255D8D">
        <w:t>peak</w:t>
      </w:r>
      <w:r w:rsidR="0013032F" w:rsidRPr="00255D8D">
        <w:t xml:space="preserve"> </w:t>
      </w:r>
      <w:r w:rsidRPr="00255D8D">
        <w:t>bodies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associations.</w:t>
      </w:r>
      <w:r w:rsidR="0013032F" w:rsidRPr="00255D8D">
        <w:t xml:space="preserve"> </w:t>
      </w:r>
      <w:r w:rsidRPr="00255D8D">
        <w:t>We</w:t>
      </w:r>
      <w:r w:rsidR="0013032F" w:rsidRPr="00255D8D">
        <w:t xml:space="preserve"> </w:t>
      </w:r>
      <w:r w:rsidRPr="00255D8D">
        <w:t>work</w:t>
      </w:r>
      <w:r w:rsidR="0013032F" w:rsidRPr="00255D8D">
        <w:t xml:space="preserve"> </w:t>
      </w:r>
      <w:r w:rsidRPr="00255D8D">
        <w:t>together</w:t>
      </w:r>
      <w:r w:rsidR="0013032F" w:rsidRPr="00255D8D">
        <w:t xml:space="preserve"> </w:t>
      </w:r>
      <w:r w:rsidRPr="00255D8D">
        <w:t>for</w:t>
      </w:r>
      <w:r w:rsidR="0013032F" w:rsidRPr="00255D8D">
        <w:t xml:space="preserve"> </w:t>
      </w:r>
      <w:r w:rsidRPr="00255D8D">
        <w:t>our</w:t>
      </w:r>
      <w:r w:rsidR="0013032F" w:rsidRPr="00255D8D">
        <w:t xml:space="preserve"> </w:t>
      </w:r>
      <w:r w:rsidRPr="00255D8D">
        <w:t>community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our</w:t>
      </w:r>
      <w:r w:rsidR="0013032F" w:rsidRPr="00255D8D">
        <w:t xml:space="preserve"> </w:t>
      </w:r>
      <w:r w:rsidRPr="00255D8D">
        <w:t>determination</w:t>
      </w:r>
      <w:r w:rsidR="0013032F" w:rsidRPr="00255D8D">
        <w:t xml:space="preserve"> </w:t>
      </w:r>
      <w:r w:rsidRPr="00255D8D">
        <w:t>to</w:t>
      </w:r>
      <w:r w:rsidR="0013032F" w:rsidRPr="00255D8D">
        <w:t xml:space="preserve"> </w:t>
      </w:r>
      <w:r w:rsidRPr="00255D8D">
        <w:t>be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most</w:t>
      </w:r>
      <w:r w:rsidR="0013032F" w:rsidRPr="00255D8D">
        <w:t xml:space="preserve"> </w:t>
      </w:r>
      <w:r w:rsidRPr="00255D8D">
        <w:t>liveable</w:t>
      </w:r>
      <w:r w:rsidR="0013032F" w:rsidRPr="00255D8D">
        <w:t xml:space="preserve"> </w:t>
      </w:r>
      <w:r w:rsidRPr="00255D8D">
        <w:t>region</w:t>
      </w:r>
      <w:r w:rsidR="0013032F" w:rsidRPr="00255D8D">
        <w:t xml:space="preserve"> </w:t>
      </w:r>
      <w:r w:rsidRPr="00255D8D">
        <w:t>in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country</w:t>
      </w:r>
      <w:r w:rsidR="0013032F" w:rsidRPr="00255D8D">
        <w:t xml:space="preserve"> </w:t>
      </w:r>
      <w:r w:rsidRPr="00255D8D">
        <w:t>is</w:t>
      </w:r>
      <w:r w:rsidR="0013032F" w:rsidRPr="00255D8D">
        <w:t xml:space="preserve"> </w:t>
      </w:r>
      <w:r w:rsidRPr="00255D8D">
        <w:t>stronger</w:t>
      </w:r>
      <w:r w:rsidR="0013032F" w:rsidRPr="00255D8D">
        <w:t xml:space="preserve"> </w:t>
      </w:r>
      <w:r w:rsidRPr="00255D8D">
        <w:t>than</w:t>
      </w:r>
      <w:r w:rsidR="0013032F" w:rsidRPr="00255D8D">
        <w:t xml:space="preserve"> </w:t>
      </w:r>
      <w:r w:rsidRPr="00255D8D">
        <w:t>ever.</w:t>
      </w:r>
      <w:r w:rsidR="0013032F" w:rsidRPr="00255D8D">
        <w:t xml:space="preserve"> </w:t>
      </w:r>
    </w:p>
    <w:p w14:paraId="44161417" w14:textId="1AC6BD5B" w:rsidR="00757772" w:rsidRPr="00255D8D" w:rsidRDefault="00305D3C" w:rsidP="00255D8D">
      <w:r w:rsidRPr="00255D8D">
        <w:rPr>
          <w:b/>
          <w:bCs/>
        </w:rPr>
        <w:t>Sara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Rhodes-Ward</w:t>
      </w:r>
      <w:r w:rsidRPr="00255D8D">
        <w:rPr>
          <w:b/>
          <w:bCs/>
        </w:rPr>
        <w:br/>
      </w:r>
      <w:r w:rsidRPr="00255D8D">
        <w:t>Regional</w:t>
      </w:r>
      <w:r w:rsidR="0013032F" w:rsidRPr="00255D8D">
        <w:t xml:space="preserve"> </w:t>
      </w:r>
      <w:r w:rsidRPr="00255D8D">
        <w:t>Director,</w:t>
      </w:r>
      <w:r w:rsidR="0013032F" w:rsidRPr="00255D8D">
        <w:t xml:space="preserve"> </w:t>
      </w:r>
      <w:r w:rsidRPr="00255D8D">
        <w:t>Gippsland</w:t>
      </w:r>
    </w:p>
    <w:p w14:paraId="1E0D7C44" w14:textId="1FF891B6" w:rsidR="00757772" w:rsidRDefault="00305D3C" w:rsidP="00255D8D">
      <w:pPr>
        <w:pStyle w:val="Heading2"/>
      </w:pPr>
      <w:bookmarkStart w:id="45" w:name="_Toc149566591"/>
      <w:r>
        <w:t>Regional</w:t>
      </w:r>
      <w:r w:rsidR="0013032F">
        <w:t xml:space="preserve"> </w:t>
      </w:r>
      <w:r>
        <w:t>highlights</w:t>
      </w:r>
      <w:bookmarkEnd w:id="45"/>
    </w:p>
    <w:p w14:paraId="0665023E" w14:textId="6DC68184" w:rsidR="00757772" w:rsidRPr="00255D8D" w:rsidRDefault="00305D3C" w:rsidP="00255D8D">
      <w:pPr>
        <w:pStyle w:val="Bullet"/>
      </w:pPr>
      <w:r w:rsidRPr="00255D8D">
        <w:t>Facilitated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Living</w:t>
      </w:r>
      <w:r w:rsidR="0013032F" w:rsidRPr="00255D8D">
        <w:t xml:space="preserve"> </w:t>
      </w:r>
      <w:r w:rsidRPr="00255D8D">
        <w:t>Local</w:t>
      </w:r>
      <w:r w:rsidR="0013032F" w:rsidRPr="00255D8D">
        <w:t xml:space="preserve"> </w:t>
      </w:r>
      <w:r w:rsidRPr="00255D8D">
        <w:t>–</w:t>
      </w:r>
      <w:r w:rsidR="0013032F" w:rsidRPr="00255D8D">
        <w:t xml:space="preserve"> </w:t>
      </w:r>
      <w:r w:rsidRPr="00255D8D">
        <w:t>Regional</w:t>
      </w:r>
      <w:r w:rsidR="0013032F" w:rsidRPr="00255D8D">
        <w:t xml:space="preserve"> </w:t>
      </w:r>
      <w:r w:rsidRPr="00255D8D">
        <w:t>Community</w:t>
      </w:r>
      <w:r w:rsidR="0013032F" w:rsidRPr="00255D8D">
        <w:t xml:space="preserve"> </w:t>
      </w:r>
      <w:r w:rsidRPr="00255D8D">
        <w:t>Grants</w:t>
      </w:r>
      <w:r w:rsidR="0013032F" w:rsidRPr="00255D8D">
        <w:t xml:space="preserve"> </w:t>
      </w:r>
      <w:r w:rsidRPr="00255D8D">
        <w:t>Fund</w:t>
      </w:r>
      <w:r w:rsidR="0013032F" w:rsidRPr="00255D8D">
        <w:t xml:space="preserve"> </w:t>
      </w:r>
      <w:r w:rsidRPr="00255D8D">
        <w:t>to</w:t>
      </w:r>
      <w:r w:rsidR="0013032F" w:rsidRPr="00255D8D">
        <w:t xml:space="preserve"> </w:t>
      </w:r>
      <w:r w:rsidRPr="00255D8D">
        <w:t>purchase</w:t>
      </w:r>
      <w:r w:rsidR="0013032F" w:rsidRPr="00255D8D">
        <w:t xml:space="preserve"> </w:t>
      </w:r>
      <w:r w:rsidRPr="00255D8D">
        <w:t>equipment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undertake</w:t>
      </w:r>
      <w:r w:rsidR="0013032F" w:rsidRPr="00255D8D">
        <w:t xml:space="preserve"> </w:t>
      </w:r>
      <w:r w:rsidRPr="00255D8D">
        <w:t>minor</w:t>
      </w:r>
      <w:r w:rsidR="0013032F" w:rsidRPr="00255D8D">
        <w:t xml:space="preserve"> </w:t>
      </w:r>
      <w:r w:rsidRPr="00255D8D">
        <w:t>building</w:t>
      </w:r>
      <w:r w:rsidR="0013032F" w:rsidRPr="00255D8D">
        <w:t xml:space="preserve"> </w:t>
      </w:r>
      <w:r w:rsidRPr="00255D8D">
        <w:t>refurbishments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maintenance</w:t>
      </w:r>
      <w:r w:rsidR="0013032F" w:rsidRPr="00255D8D">
        <w:t xml:space="preserve"> </w:t>
      </w:r>
      <w:r w:rsidRPr="00255D8D">
        <w:t>works</w:t>
      </w:r>
      <w:r w:rsidR="0013032F" w:rsidRPr="00255D8D">
        <w:t xml:space="preserve"> </w:t>
      </w:r>
      <w:r w:rsidRPr="00255D8D">
        <w:t>to</w:t>
      </w:r>
      <w:r w:rsidR="0013032F" w:rsidRPr="00255D8D">
        <w:t xml:space="preserve"> </w:t>
      </w:r>
      <w:r w:rsidRPr="00255D8D">
        <w:t>help</w:t>
      </w:r>
      <w:r w:rsidR="0013032F" w:rsidRPr="00255D8D">
        <w:t xml:space="preserve"> </w:t>
      </w:r>
      <w:r w:rsidRPr="00255D8D">
        <w:t>support</w:t>
      </w:r>
      <w:r w:rsidR="0013032F" w:rsidRPr="00255D8D">
        <w:t xml:space="preserve"> </w:t>
      </w:r>
      <w:r w:rsidRPr="00255D8D">
        <w:t>local</w:t>
      </w:r>
      <w:r w:rsidR="0013032F" w:rsidRPr="00255D8D">
        <w:t xml:space="preserve"> </w:t>
      </w:r>
      <w:r w:rsidRPr="00255D8D">
        <w:t>communities.</w:t>
      </w:r>
      <w:r w:rsidR="0013032F" w:rsidRPr="00255D8D">
        <w:t xml:space="preserve"> </w:t>
      </w:r>
      <w:r w:rsidRPr="00255D8D">
        <w:t>Highlights</w:t>
      </w:r>
      <w:r w:rsidR="0013032F" w:rsidRPr="00255D8D">
        <w:t xml:space="preserve"> </w:t>
      </w:r>
      <w:r w:rsidRPr="00255D8D">
        <w:t>included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Walhalla</w:t>
      </w:r>
      <w:r w:rsidR="0013032F" w:rsidRPr="00255D8D">
        <w:t xml:space="preserve"> </w:t>
      </w:r>
      <w:r w:rsidRPr="00255D8D">
        <w:t>Goldfields</w:t>
      </w:r>
      <w:r w:rsidR="0013032F" w:rsidRPr="00255D8D">
        <w:t xml:space="preserve"> </w:t>
      </w:r>
      <w:r w:rsidRPr="00255D8D">
        <w:t>Railway,</w:t>
      </w:r>
      <w:r w:rsidR="0013032F" w:rsidRPr="00255D8D">
        <w:t xml:space="preserve"> </w:t>
      </w:r>
      <w:r w:rsidRPr="00255D8D">
        <w:t>Gippsland</w:t>
      </w:r>
      <w:r w:rsidR="0013032F" w:rsidRPr="00255D8D">
        <w:t xml:space="preserve"> </w:t>
      </w:r>
      <w:r w:rsidRPr="00255D8D">
        <w:t>Employment</w:t>
      </w:r>
      <w:r w:rsidR="0013032F" w:rsidRPr="00255D8D">
        <w:t xml:space="preserve"> </w:t>
      </w:r>
      <w:r w:rsidRPr="00255D8D">
        <w:t>Skills</w:t>
      </w:r>
      <w:r w:rsidR="0013032F" w:rsidRPr="00255D8D">
        <w:t xml:space="preserve"> </w:t>
      </w:r>
      <w:r w:rsidRPr="00255D8D">
        <w:t>Training</w:t>
      </w:r>
      <w:r w:rsidR="0013032F" w:rsidRPr="00255D8D">
        <w:t xml:space="preserve"> </w:t>
      </w:r>
      <w:r w:rsidRPr="00255D8D">
        <w:t>Inc.</w:t>
      </w:r>
      <w:r w:rsidR="0013032F" w:rsidRPr="00255D8D">
        <w:t xml:space="preserve"> </w:t>
      </w:r>
      <w:r w:rsidRPr="00255D8D">
        <w:t>Moe,</w:t>
      </w:r>
      <w:r w:rsidR="0013032F" w:rsidRPr="00255D8D">
        <w:t xml:space="preserve"> </w:t>
      </w:r>
      <w:r w:rsidRPr="00255D8D">
        <w:t>Paynesville</w:t>
      </w:r>
      <w:r w:rsidR="0013032F" w:rsidRPr="00255D8D">
        <w:t xml:space="preserve"> </w:t>
      </w:r>
      <w:r w:rsidRPr="00255D8D">
        <w:t>Neighbourhood</w:t>
      </w:r>
      <w:r w:rsidR="0013032F" w:rsidRPr="00255D8D">
        <w:t xml:space="preserve"> </w:t>
      </w:r>
      <w:r w:rsidRPr="00255D8D">
        <w:t>Centre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Mirboo</w:t>
      </w:r>
      <w:r w:rsidR="0013032F" w:rsidRPr="00255D8D">
        <w:t xml:space="preserve"> </w:t>
      </w:r>
      <w:r w:rsidRPr="00255D8D">
        <w:t>North</w:t>
      </w:r>
      <w:r w:rsidR="0013032F" w:rsidRPr="00255D8D">
        <w:t xml:space="preserve"> </w:t>
      </w:r>
      <w:r w:rsidRPr="00255D8D">
        <w:t>Opportunity</w:t>
      </w:r>
      <w:r w:rsidR="0013032F" w:rsidRPr="00255D8D">
        <w:t xml:space="preserve"> </w:t>
      </w:r>
      <w:r w:rsidRPr="00255D8D">
        <w:t>Shop</w:t>
      </w:r>
    </w:p>
    <w:p w14:paraId="6C13A736" w14:textId="600199C4" w:rsidR="00757772" w:rsidRPr="00255D8D" w:rsidRDefault="00305D3C" w:rsidP="00255D8D">
      <w:pPr>
        <w:pStyle w:val="Bullet"/>
      </w:pPr>
      <w:r w:rsidRPr="00255D8D">
        <w:t>Supported</w:t>
      </w:r>
      <w:r w:rsidR="0013032F" w:rsidRPr="00255D8D">
        <w:t xml:space="preserve"> </w:t>
      </w:r>
      <w:r w:rsidRPr="00255D8D">
        <w:t>renovat</w:t>
      </w:r>
      <w:r w:rsidRPr="00255D8D">
        <w:t>ion</w:t>
      </w:r>
      <w:r w:rsidR="0013032F" w:rsidRPr="00255D8D">
        <w:t xml:space="preserve"> </w:t>
      </w:r>
      <w:r w:rsidRPr="00255D8D">
        <w:t>of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proofErr w:type="spellStart"/>
      <w:r w:rsidRPr="00255D8D">
        <w:t>Maffco</w:t>
      </w:r>
      <w:proofErr w:type="spellEnd"/>
      <w:r w:rsidR="0013032F" w:rsidRPr="00255D8D">
        <w:t xml:space="preserve"> </w:t>
      </w:r>
      <w:r w:rsidRPr="00255D8D">
        <w:t>Brewery</w:t>
      </w:r>
      <w:r w:rsidR="0013032F" w:rsidRPr="00255D8D">
        <w:t xml:space="preserve"> </w:t>
      </w:r>
      <w:r w:rsidRPr="00255D8D">
        <w:t>&amp;</w:t>
      </w:r>
      <w:r w:rsidR="0013032F" w:rsidRPr="00255D8D">
        <w:t xml:space="preserve"> </w:t>
      </w:r>
      <w:r w:rsidRPr="00255D8D">
        <w:t>Taphouse,</w:t>
      </w:r>
      <w:r w:rsidR="0013032F" w:rsidRPr="00255D8D">
        <w:t xml:space="preserve"> </w:t>
      </w:r>
      <w:r w:rsidRPr="00255D8D">
        <w:t>transforming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century-old</w:t>
      </w:r>
      <w:r w:rsidR="0013032F" w:rsidRPr="00255D8D">
        <w:t xml:space="preserve"> </w:t>
      </w:r>
      <w:r w:rsidRPr="00255D8D">
        <w:t>dairy</w:t>
      </w:r>
      <w:r w:rsidR="0013032F" w:rsidRPr="00255D8D">
        <w:t xml:space="preserve"> </w:t>
      </w:r>
      <w:r w:rsidRPr="00255D8D">
        <w:t>factory</w:t>
      </w:r>
      <w:r w:rsidR="0013032F" w:rsidRPr="00255D8D">
        <w:t xml:space="preserve"> </w:t>
      </w:r>
      <w:r w:rsidRPr="00255D8D">
        <w:t>into</w:t>
      </w:r>
      <w:r w:rsidR="0013032F" w:rsidRPr="00255D8D">
        <w:t xml:space="preserve"> </w:t>
      </w:r>
      <w:r w:rsidRPr="00255D8D">
        <w:t>a</w:t>
      </w:r>
      <w:r w:rsidR="0013032F" w:rsidRPr="00255D8D">
        <w:t xml:space="preserve"> </w:t>
      </w:r>
      <w:r w:rsidRPr="00255D8D">
        <w:t>modern</w:t>
      </w:r>
      <w:r w:rsidR="0013032F" w:rsidRPr="00255D8D">
        <w:t xml:space="preserve"> </w:t>
      </w:r>
      <w:r w:rsidRPr="00255D8D">
        <w:t>brewery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paddock-to-plate</w:t>
      </w:r>
      <w:r w:rsidR="0013032F" w:rsidRPr="00255D8D">
        <w:t xml:space="preserve"> </w:t>
      </w:r>
      <w:r w:rsidRPr="00255D8D">
        <w:t>restaurant.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grand</w:t>
      </w:r>
      <w:r w:rsidR="0013032F" w:rsidRPr="00255D8D">
        <w:t xml:space="preserve"> </w:t>
      </w:r>
      <w:r w:rsidRPr="00255D8D">
        <w:t>opening</w:t>
      </w:r>
      <w:r w:rsidR="0013032F" w:rsidRPr="00255D8D">
        <w:t xml:space="preserve"> </w:t>
      </w:r>
      <w:r w:rsidRPr="00255D8D">
        <w:t>weekend</w:t>
      </w:r>
      <w:r w:rsidR="0013032F" w:rsidRPr="00255D8D">
        <w:t xml:space="preserve"> </w:t>
      </w:r>
      <w:r w:rsidRPr="00255D8D">
        <w:t>in</w:t>
      </w:r>
      <w:r w:rsidR="0013032F" w:rsidRPr="00255D8D">
        <w:t xml:space="preserve"> </w:t>
      </w:r>
      <w:r w:rsidRPr="00255D8D">
        <w:t>May</w:t>
      </w:r>
      <w:r w:rsidR="0013032F" w:rsidRPr="00255D8D">
        <w:t xml:space="preserve"> </w:t>
      </w:r>
      <w:r w:rsidRPr="00255D8D">
        <w:t>2023</w:t>
      </w:r>
      <w:r w:rsidR="0013032F" w:rsidRPr="00255D8D">
        <w:t xml:space="preserve"> </w:t>
      </w:r>
      <w:r w:rsidRPr="00255D8D">
        <w:t>celebrated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project</w:t>
      </w:r>
      <w:r w:rsidR="0013032F" w:rsidRPr="00255D8D">
        <w:t xml:space="preserve"> </w:t>
      </w:r>
      <w:r w:rsidRPr="00255D8D">
        <w:t>completion</w:t>
      </w:r>
      <w:r w:rsidR="0013032F" w:rsidRPr="00255D8D">
        <w:t xml:space="preserve"> </w:t>
      </w:r>
      <w:r w:rsidRPr="00255D8D">
        <w:t>6</w:t>
      </w:r>
      <w:r w:rsidR="0013032F" w:rsidRPr="00255D8D">
        <w:t xml:space="preserve"> </w:t>
      </w:r>
      <w:r w:rsidRPr="00255D8D">
        <w:t>months</w:t>
      </w:r>
      <w:r w:rsidR="0013032F" w:rsidRPr="00255D8D">
        <w:t xml:space="preserve"> </w:t>
      </w:r>
      <w:r w:rsidRPr="00255D8D">
        <w:t>ahead</w:t>
      </w:r>
      <w:r w:rsidR="0013032F" w:rsidRPr="00255D8D">
        <w:t xml:space="preserve"> </w:t>
      </w:r>
      <w:r w:rsidRPr="00255D8D">
        <w:t>of</w:t>
      </w:r>
      <w:r w:rsidR="0013032F" w:rsidRPr="00255D8D">
        <w:t xml:space="preserve"> </w:t>
      </w:r>
      <w:r w:rsidRPr="00255D8D">
        <w:t>schedule.</w:t>
      </w:r>
      <w:r w:rsidR="0013032F" w:rsidRPr="00255D8D">
        <w:t xml:space="preserve"> </w:t>
      </w:r>
      <w:r w:rsidRPr="00255D8D">
        <w:t>Up</w:t>
      </w:r>
      <w:r w:rsidR="0013032F" w:rsidRPr="00255D8D">
        <w:t xml:space="preserve"> </w:t>
      </w:r>
      <w:r w:rsidRPr="00255D8D">
        <w:t>to</w:t>
      </w:r>
      <w:r w:rsidR="0013032F" w:rsidRPr="00255D8D">
        <w:t xml:space="preserve"> </w:t>
      </w:r>
      <w:r w:rsidRPr="00255D8D">
        <w:t>15</w:t>
      </w:r>
      <w:r w:rsidR="0013032F" w:rsidRPr="00255D8D">
        <w:t xml:space="preserve"> </w:t>
      </w:r>
      <w:r w:rsidRPr="00255D8D">
        <w:t>jobs</w:t>
      </w:r>
      <w:r w:rsidR="0013032F" w:rsidRPr="00255D8D">
        <w:t xml:space="preserve"> </w:t>
      </w:r>
      <w:r w:rsidRPr="00255D8D">
        <w:t>were</w:t>
      </w:r>
      <w:r w:rsidR="0013032F" w:rsidRPr="00255D8D">
        <w:t xml:space="preserve"> </w:t>
      </w:r>
      <w:r w:rsidRPr="00255D8D">
        <w:t>created</w:t>
      </w:r>
      <w:r w:rsidR="0013032F" w:rsidRPr="00255D8D">
        <w:t xml:space="preserve"> </w:t>
      </w:r>
      <w:r w:rsidRPr="00255D8D">
        <w:t>during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renovation</w:t>
      </w:r>
      <w:r w:rsidR="0013032F" w:rsidRPr="00255D8D">
        <w:t xml:space="preserve"> </w:t>
      </w:r>
      <w:r w:rsidRPr="00255D8D">
        <w:t>with</w:t>
      </w:r>
      <w:r w:rsidR="0013032F" w:rsidRPr="00255D8D">
        <w:t xml:space="preserve"> </w:t>
      </w:r>
      <w:r w:rsidRPr="00255D8D">
        <w:t>an</w:t>
      </w:r>
      <w:r w:rsidR="0013032F" w:rsidRPr="00255D8D">
        <w:t xml:space="preserve"> </w:t>
      </w:r>
      <w:r w:rsidRPr="00255D8D">
        <w:t>additional</w:t>
      </w:r>
      <w:r w:rsidR="0013032F" w:rsidRPr="00255D8D">
        <w:t xml:space="preserve"> </w:t>
      </w:r>
      <w:r w:rsidRPr="00255D8D">
        <w:t>8</w:t>
      </w:r>
      <w:r w:rsidR="0013032F" w:rsidRPr="00255D8D">
        <w:t xml:space="preserve"> </w:t>
      </w:r>
      <w:r w:rsidRPr="00255D8D">
        <w:t>ongoing</w:t>
      </w:r>
      <w:r w:rsidR="0013032F" w:rsidRPr="00255D8D">
        <w:t xml:space="preserve"> </w:t>
      </w:r>
      <w:r w:rsidRPr="00255D8D">
        <w:t>roles</w:t>
      </w:r>
      <w:r w:rsidR="0013032F" w:rsidRPr="00255D8D">
        <w:t xml:space="preserve"> </w:t>
      </w:r>
      <w:r w:rsidRPr="00255D8D">
        <w:t>already</w:t>
      </w:r>
      <w:r w:rsidR="0013032F" w:rsidRPr="00255D8D">
        <w:t xml:space="preserve"> </w:t>
      </w:r>
      <w:r w:rsidRPr="00255D8D">
        <w:t>filled.</w:t>
      </w:r>
      <w:r w:rsidR="0013032F" w:rsidRPr="00255D8D">
        <w:t xml:space="preserve"> </w:t>
      </w:r>
      <w:r w:rsidRPr="00255D8D">
        <w:t>Funding</w:t>
      </w:r>
      <w:r w:rsidR="0013032F" w:rsidRPr="00255D8D">
        <w:t xml:space="preserve"> </w:t>
      </w:r>
      <w:r w:rsidRPr="00255D8D">
        <w:t>of</w:t>
      </w:r>
      <w:r w:rsidR="0013032F" w:rsidRPr="00255D8D">
        <w:t xml:space="preserve"> </w:t>
      </w:r>
      <w:r w:rsidRPr="00255D8D">
        <w:t>$400,000</w:t>
      </w:r>
      <w:r w:rsidR="0013032F" w:rsidRPr="00255D8D">
        <w:t xml:space="preserve"> </w:t>
      </w:r>
      <w:r w:rsidRPr="00255D8D">
        <w:t>was</w:t>
      </w:r>
      <w:r w:rsidR="0013032F" w:rsidRPr="00255D8D">
        <w:t xml:space="preserve"> </w:t>
      </w:r>
      <w:r w:rsidRPr="00255D8D">
        <w:t>provided</w:t>
      </w:r>
      <w:r w:rsidR="0013032F" w:rsidRPr="00255D8D">
        <w:t xml:space="preserve"> </w:t>
      </w:r>
      <w:r w:rsidRPr="00255D8D">
        <w:t>from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Regional</w:t>
      </w:r>
      <w:r w:rsidR="0013032F" w:rsidRPr="00255D8D">
        <w:t xml:space="preserve"> </w:t>
      </w:r>
      <w:r w:rsidRPr="00255D8D">
        <w:t>Tourism</w:t>
      </w:r>
      <w:r w:rsidR="0013032F" w:rsidRPr="00255D8D">
        <w:t xml:space="preserve"> </w:t>
      </w:r>
      <w:r w:rsidRPr="00255D8D">
        <w:t>Investment</w:t>
      </w:r>
      <w:r w:rsidR="0013032F" w:rsidRPr="00255D8D">
        <w:t xml:space="preserve"> </w:t>
      </w:r>
      <w:r w:rsidRPr="00255D8D">
        <w:t>Fund</w:t>
      </w:r>
    </w:p>
    <w:p w14:paraId="4902C6A4" w14:textId="2742FEF0" w:rsidR="00757772" w:rsidRPr="00255D8D" w:rsidRDefault="00305D3C" w:rsidP="00255D8D">
      <w:pPr>
        <w:pStyle w:val="Bullet"/>
      </w:pPr>
      <w:r w:rsidRPr="00255D8D">
        <w:t>Delivered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Metung</w:t>
      </w:r>
      <w:r w:rsidR="0013032F" w:rsidRPr="00255D8D">
        <w:t xml:space="preserve"> </w:t>
      </w:r>
      <w:r w:rsidRPr="00255D8D">
        <w:t>Hot</w:t>
      </w:r>
      <w:r w:rsidR="0013032F" w:rsidRPr="00255D8D">
        <w:t xml:space="preserve"> </w:t>
      </w:r>
      <w:r w:rsidRPr="00255D8D">
        <w:t>Springs</w:t>
      </w:r>
      <w:r w:rsidR="0013032F" w:rsidRPr="00255D8D">
        <w:t xml:space="preserve"> </w:t>
      </w:r>
      <w:r w:rsidRPr="00255D8D">
        <w:t>project,</w:t>
      </w:r>
      <w:r w:rsidR="0013032F" w:rsidRPr="00255D8D">
        <w:t xml:space="preserve"> </w:t>
      </w:r>
      <w:r w:rsidRPr="00255D8D">
        <w:t>with</w:t>
      </w:r>
      <w:r w:rsidR="0013032F" w:rsidRPr="00255D8D">
        <w:t xml:space="preserve"> </w:t>
      </w:r>
      <w:r w:rsidRPr="00255D8D">
        <w:t>$1.5</w:t>
      </w:r>
      <w:r w:rsidR="0013032F" w:rsidRPr="00255D8D">
        <w:t xml:space="preserve"> </w:t>
      </w:r>
      <w:r w:rsidRPr="00255D8D">
        <w:t>million</w:t>
      </w:r>
      <w:r w:rsidR="0013032F" w:rsidRPr="00255D8D">
        <w:t xml:space="preserve"> </w:t>
      </w:r>
      <w:r w:rsidRPr="00255D8D">
        <w:t>funding</w:t>
      </w:r>
      <w:r w:rsidR="0013032F" w:rsidRPr="00255D8D">
        <w:t xml:space="preserve"> </w:t>
      </w:r>
      <w:r w:rsidRPr="00255D8D">
        <w:t>each</w:t>
      </w:r>
      <w:r w:rsidR="0013032F" w:rsidRPr="00255D8D">
        <w:t xml:space="preserve"> </w:t>
      </w:r>
      <w:r w:rsidRPr="00255D8D">
        <w:t>from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Tourism</w:t>
      </w:r>
      <w:r w:rsidR="0013032F" w:rsidRPr="00255D8D">
        <w:t xml:space="preserve"> </w:t>
      </w:r>
      <w:r w:rsidRPr="00255D8D">
        <w:t>Infrastructure</w:t>
      </w:r>
      <w:r w:rsidR="0013032F" w:rsidRPr="00255D8D">
        <w:t xml:space="preserve"> </w:t>
      </w:r>
      <w:r w:rsidRPr="00255D8D">
        <w:t>Program</w:t>
      </w:r>
      <w:r w:rsidR="0013032F" w:rsidRPr="00255D8D">
        <w:t xml:space="preserve"> </w:t>
      </w:r>
      <w:r w:rsidRPr="00255D8D">
        <w:t>–</w:t>
      </w:r>
      <w:r w:rsidR="0013032F" w:rsidRPr="00255D8D">
        <w:t xml:space="preserve"> </w:t>
      </w:r>
      <w:r w:rsidRPr="00255D8D">
        <w:t>Flagship</w:t>
      </w:r>
      <w:r w:rsidR="0013032F" w:rsidRPr="00255D8D">
        <w:t xml:space="preserve"> </w:t>
      </w:r>
      <w:r w:rsidRPr="00255D8D">
        <w:t>Projects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Local</w:t>
      </w:r>
      <w:r w:rsidR="0013032F" w:rsidRPr="00255D8D">
        <w:t xml:space="preserve"> </w:t>
      </w:r>
      <w:r w:rsidRPr="00255D8D">
        <w:t>Economic</w:t>
      </w:r>
      <w:r w:rsidR="0013032F" w:rsidRPr="00255D8D">
        <w:t xml:space="preserve"> </w:t>
      </w:r>
      <w:r w:rsidRPr="00255D8D">
        <w:t>Recovery</w:t>
      </w:r>
      <w:r w:rsidR="0013032F" w:rsidRPr="00255D8D">
        <w:t xml:space="preserve"> </w:t>
      </w:r>
      <w:r w:rsidRPr="00255D8D">
        <w:t>Regional</w:t>
      </w:r>
      <w:r w:rsidR="0013032F" w:rsidRPr="00255D8D">
        <w:t xml:space="preserve"> </w:t>
      </w:r>
      <w:r w:rsidRPr="00255D8D">
        <w:t>Economic</w:t>
      </w:r>
      <w:r w:rsidR="0013032F" w:rsidRPr="00255D8D">
        <w:t xml:space="preserve"> </w:t>
      </w:r>
      <w:r w:rsidRPr="00255D8D">
        <w:t>Programs</w:t>
      </w:r>
      <w:r w:rsidR="0013032F" w:rsidRPr="00255D8D">
        <w:t xml:space="preserve"> </w:t>
      </w:r>
      <w:r w:rsidRPr="00255D8D">
        <w:t>Fund,</w:t>
      </w:r>
      <w:r w:rsidR="0013032F" w:rsidRPr="00255D8D">
        <w:t xml:space="preserve"> </w:t>
      </w:r>
      <w:r w:rsidRPr="00255D8D">
        <w:t>for</w:t>
      </w:r>
      <w:r w:rsidR="0013032F" w:rsidRPr="00255D8D">
        <w:t xml:space="preserve"> </w:t>
      </w:r>
      <w:r w:rsidRPr="00255D8D">
        <w:t>a</w:t>
      </w:r>
      <w:r w:rsidR="0013032F" w:rsidRPr="00255D8D">
        <w:t xml:space="preserve"> </w:t>
      </w:r>
      <w:r w:rsidRPr="00255D8D">
        <w:t>total</w:t>
      </w:r>
      <w:r w:rsidR="0013032F" w:rsidRPr="00255D8D">
        <w:t xml:space="preserve"> </w:t>
      </w:r>
      <w:r w:rsidRPr="00255D8D">
        <w:t>co-investment</w:t>
      </w:r>
      <w:r w:rsidR="0013032F" w:rsidRPr="00255D8D">
        <w:t xml:space="preserve"> </w:t>
      </w:r>
      <w:r w:rsidRPr="00255D8D">
        <w:t>of</w:t>
      </w:r>
      <w:r w:rsidR="0013032F" w:rsidRPr="00255D8D">
        <w:t xml:space="preserve"> </w:t>
      </w:r>
      <w:r w:rsidRPr="00255D8D">
        <w:t>$4.5</w:t>
      </w:r>
      <w:r w:rsidR="0013032F" w:rsidRPr="00255D8D">
        <w:t xml:space="preserve"> </w:t>
      </w:r>
      <w:r w:rsidRPr="00255D8D">
        <w:t>million.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project</w:t>
      </w:r>
      <w:r w:rsidR="0013032F" w:rsidRPr="00255D8D">
        <w:t xml:space="preserve"> </w:t>
      </w:r>
      <w:r w:rsidRPr="00255D8D">
        <w:t>has</w:t>
      </w:r>
      <w:r w:rsidR="0013032F" w:rsidRPr="00255D8D">
        <w:t xml:space="preserve"> </w:t>
      </w:r>
      <w:r w:rsidRPr="00255D8D">
        <w:t>produced</w:t>
      </w:r>
      <w:r w:rsidR="0013032F" w:rsidRPr="00255D8D">
        <w:t xml:space="preserve"> </w:t>
      </w:r>
      <w:r w:rsidRPr="00255D8D">
        <w:t>Australia’s</w:t>
      </w:r>
      <w:r w:rsidR="0013032F" w:rsidRPr="00255D8D">
        <w:t xml:space="preserve"> </w:t>
      </w:r>
      <w:r w:rsidRPr="00255D8D">
        <w:t>first</w:t>
      </w:r>
      <w:r w:rsidR="0013032F" w:rsidRPr="00255D8D">
        <w:t xml:space="preserve"> </w:t>
      </w:r>
      <w:r w:rsidRPr="00255D8D">
        <w:t>hot</w:t>
      </w:r>
      <w:r w:rsidR="0013032F" w:rsidRPr="00255D8D">
        <w:t xml:space="preserve"> </w:t>
      </w:r>
      <w:r w:rsidRPr="00255D8D">
        <w:t>springs</w:t>
      </w:r>
      <w:r w:rsidR="0013032F" w:rsidRPr="00255D8D">
        <w:t xml:space="preserve"> </w:t>
      </w:r>
      <w:r w:rsidRPr="00255D8D">
        <w:t>golf</w:t>
      </w:r>
      <w:r w:rsidR="0013032F" w:rsidRPr="00255D8D">
        <w:t xml:space="preserve"> </w:t>
      </w:r>
      <w:r w:rsidRPr="00255D8D">
        <w:t>course,</w:t>
      </w:r>
      <w:r w:rsidR="0013032F" w:rsidRPr="00255D8D">
        <w:t xml:space="preserve"> </w:t>
      </w:r>
      <w:r w:rsidRPr="00255D8D">
        <w:t>with</w:t>
      </w:r>
      <w:r w:rsidR="0013032F" w:rsidRPr="00255D8D">
        <w:t xml:space="preserve"> </w:t>
      </w:r>
      <w:r w:rsidRPr="00255D8D">
        <w:t>more</w:t>
      </w:r>
      <w:r w:rsidR="0013032F" w:rsidRPr="00255D8D">
        <w:t xml:space="preserve"> </w:t>
      </w:r>
      <w:r w:rsidRPr="00255D8D">
        <w:t>than</w:t>
      </w:r>
      <w:r w:rsidR="0013032F" w:rsidRPr="00255D8D">
        <w:t xml:space="preserve"> </w:t>
      </w:r>
      <w:r w:rsidRPr="00255D8D">
        <w:t>30</w:t>
      </w:r>
      <w:r w:rsidR="0013032F" w:rsidRPr="00255D8D">
        <w:t xml:space="preserve"> </w:t>
      </w:r>
      <w:r w:rsidRPr="00255D8D">
        <w:t>people</w:t>
      </w:r>
      <w:r w:rsidR="0013032F" w:rsidRPr="00255D8D">
        <w:t xml:space="preserve"> </w:t>
      </w:r>
      <w:r w:rsidRPr="00255D8D">
        <w:t>employed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up</w:t>
      </w:r>
      <w:r w:rsidR="0013032F" w:rsidRPr="00255D8D">
        <w:t xml:space="preserve"> </w:t>
      </w:r>
      <w:r w:rsidRPr="00255D8D">
        <w:t>to</w:t>
      </w:r>
      <w:r w:rsidR="0013032F" w:rsidRPr="00255D8D">
        <w:t xml:space="preserve"> </w:t>
      </w:r>
      <w:r w:rsidRPr="00255D8D">
        <w:t>200</w:t>
      </w:r>
      <w:r w:rsidR="0013032F" w:rsidRPr="00255D8D">
        <w:t xml:space="preserve"> </w:t>
      </w:r>
      <w:r w:rsidRPr="00255D8D">
        <w:t>patrons</w:t>
      </w:r>
      <w:r w:rsidR="0013032F" w:rsidRPr="00255D8D">
        <w:t xml:space="preserve"> </w:t>
      </w:r>
      <w:r w:rsidRPr="00255D8D">
        <w:t>visiting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hot</w:t>
      </w:r>
      <w:r w:rsidR="0013032F" w:rsidRPr="00255D8D">
        <w:t xml:space="preserve"> </w:t>
      </w:r>
      <w:r w:rsidRPr="00255D8D">
        <w:t>springs</w:t>
      </w:r>
      <w:r w:rsidR="0013032F" w:rsidRPr="00255D8D">
        <w:t xml:space="preserve"> </w:t>
      </w:r>
      <w:r w:rsidRPr="00255D8D">
        <w:t>daily</w:t>
      </w:r>
    </w:p>
    <w:p w14:paraId="0A8B5D85" w14:textId="183F7610" w:rsidR="00757772" w:rsidRPr="00255D8D" w:rsidRDefault="00305D3C" w:rsidP="00255D8D">
      <w:pPr>
        <w:pStyle w:val="Bulletlast"/>
        <w:keepLines/>
      </w:pPr>
      <w:r w:rsidRPr="00255D8D">
        <w:lastRenderedPageBreak/>
        <w:t>Continued</w:t>
      </w:r>
      <w:r w:rsidR="0013032F" w:rsidRPr="00255D8D">
        <w:t xml:space="preserve"> </w:t>
      </w:r>
      <w:r w:rsidRPr="00255D8D">
        <w:t>to</w:t>
      </w:r>
      <w:r w:rsidR="0013032F" w:rsidRPr="00255D8D">
        <w:t xml:space="preserve"> </w:t>
      </w:r>
      <w:r w:rsidRPr="00255D8D">
        <w:t>support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Bullock</w:t>
      </w:r>
      <w:r w:rsidR="0013032F" w:rsidRPr="00255D8D">
        <w:t xml:space="preserve"> </w:t>
      </w:r>
      <w:r w:rsidRPr="00255D8D">
        <w:t>Island</w:t>
      </w:r>
      <w:r w:rsidR="0013032F" w:rsidRPr="00255D8D">
        <w:t xml:space="preserve"> </w:t>
      </w:r>
      <w:r w:rsidRPr="00255D8D">
        <w:t>Masterplan</w:t>
      </w:r>
      <w:r w:rsidR="0013032F" w:rsidRPr="00255D8D">
        <w:t xml:space="preserve"> </w:t>
      </w:r>
      <w:r w:rsidRPr="00255D8D">
        <w:t>with</w:t>
      </w:r>
      <w:r w:rsidR="0013032F" w:rsidRPr="00255D8D">
        <w:t xml:space="preserve"> </w:t>
      </w:r>
      <w:r w:rsidRPr="00255D8D">
        <w:t>funding</w:t>
      </w:r>
      <w:r w:rsidR="0013032F" w:rsidRPr="00255D8D">
        <w:t xml:space="preserve"> </w:t>
      </w:r>
      <w:r w:rsidRPr="00255D8D">
        <w:t>of</w:t>
      </w:r>
      <w:r w:rsidR="0013032F" w:rsidRPr="00255D8D">
        <w:t xml:space="preserve"> </w:t>
      </w:r>
      <w:r w:rsidRPr="00255D8D">
        <w:t>$1.9</w:t>
      </w:r>
      <w:r w:rsidR="0013032F" w:rsidRPr="00255D8D">
        <w:t xml:space="preserve"> </w:t>
      </w:r>
      <w:r w:rsidRPr="00255D8D">
        <w:t>million.</w:t>
      </w:r>
      <w:r w:rsidR="0013032F" w:rsidRPr="00255D8D">
        <w:t xml:space="preserve"> </w:t>
      </w:r>
      <w:r w:rsidRPr="00255D8D">
        <w:t>This</w:t>
      </w:r>
      <w:r w:rsidR="0013032F" w:rsidRPr="00255D8D">
        <w:t xml:space="preserve"> </w:t>
      </w:r>
      <w:r w:rsidRPr="00255D8D">
        <w:t>has</w:t>
      </w:r>
      <w:r w:rsidR="0013032F" w:rsidRPr="00255D8D">
        <w:t xml:space="preserve"> </w:t>
      </w:r>
      <w:r w:rsidRPr="00255D8D">
        <w:t>contributed</w:t>
      </w:r>
      <w:r w:rsidR="0013032F" w:rsidRPr="00255D8D">
        <w:t xml:space="preserve"> </w:t>
      </w:r>
      <w:r w:rsidRPr="00255D8D">
        <w:t>to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redevelopment</w:t>
      </w:r>
      <w:r w:rsidR="0013032F" w:rsidRPr="00255D8D">
        <w:t xml:space="preserve"> </w:t>
      </w:r>
      <w:r w:rsidRPr="00255D8D">
        <w:t>of</w:t>
      </w:r>
      <w:r w:rsidR="0013032F" w:rsidRPr="00255D8D">
        <w:t xml:space="preserve"> </w:t>
      </w:r>
      <w:r w:rsidRPr="00255D8D">
        <w:t>Bullock</w:t>
      </w:r>
      <w:r w:rsidR="0013032F" w:rsidRPr="00255D8D">
        <w:t xml:space="preserve"> </w:t>
      </w:r>
      <w:r w:rsidRPr="00255D8D">
        <w:t>Island’s</w:t>
      </w:r>
      <w:r w:rsidR="0013032F" w:rsidRPr="00255D8D">
        <w:t xml:space="preserve"> </w:t>
      </w:r>
      <w:r w:rsidRPr="00255D8D">
        <w:t>public</w:t>
      </w:r>
      <w:r w:rsidR="0013032F" w:rsidRPr="00255D8D">
        <w:t xml:space="preserve"> </w:t>
      </w:r>
      <w:r w:rsidRPr="00255D8D">
        <w:t>spaces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will</w:t>
      </w:r>
      <w:r w:rsidR="0013032F" w:rsidRPr="00255D8D">
        <w:t xml:space="preserve"> </w:t>
      </w:r>
      <w:r w:rsidRPr="00255D8D">
        <w:t>help</w:t>
      </w:r>
      <w:r w:rsidR="0013032F" w:rsidRPr="00255D8D">
        <w:t xml:space="preserve"> </w:t>
      </w:r>
      <w:r w:rsidRPr="00255D8D">
        <w:t>support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facilitate</w:t>
      </w:r>
      <w:r w:rsidR="0013032F" w:rsidRPr="00255D8D">
        <w:t xml:space="preserve"> </w:t>
      </w:r>
      <w:r w:rsidRPr="00255D8D">
        <w:t>further</w:t>
      </w:r>
      <w:r w:rsidR="0013032F" w:rsidRPr="00255D8D">
        <w:t xml:space="preserve"> </w:t>
      </w:r>
      <w:r w:rsidRPr="00255D8D">
        <w:t>private</w:t>
      </w:r>
      <w:r w:rsidR="0013032F" w:rsidRPr="00255D8D">
        <w:t xml:space="preserve"> </w:t>
      </w:r>
      <w:r w:rsidRPr="00255D8D">
        <w:t>sector</w:t>
      </w:r>
      <w:r w:rsidR="0013032F" w:rsidRPr="00255D8D">
        <w:t xml:space="preserve"> </w:t>
      </w:r>
      <w:r w:rsidRPr="00255D8D">
        <w:t>investment</w:t>
      </w:r>
      <w:r w:rsidR="0013032F" w:rsidRPr="00255D8D">
        <w:t xml:space="preserve"> </w:t>
      </w:r>
      <w:r w:rsidRPr="00255D8D">
        <w:t>in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area.</w:t>
      </w:r>
      <w:r w:rsidR="0013032F" w:rsidRPr="00255D8D">
        <w:t xml:space="preserve"> </w:t>
      </w:r>
      <w:r w:rsidRPr="00255D8D">
        <w:t>Upgrades</w:t>
      </w:r>
      <w:r w:rsidR="0013032F" w:rsidRPr="00255D8D">
        <w:t xml:space="preserve"> </w:t>
      </w:r>
      <w:r w:rsidRPr="00255D8D">
        <w:t>to</w:t>
      </w:r>
      <w:r w:rsidR="0013032F" w:rsidRPr="00255D8D">
        <w:t xml:space="preserve"> </w:t>
      </w:r>
      <w:r w:rsidRPr="00255D8D">
        <w:t>visitor</w:t>
      </w:r>
      <w:r w:rsidR="0013032F" w:rsidRPr="00255D8D">
        <w:t xml:space="preserve"> </w:t>
      </w:r>
      <w:r w:rsidRPr="00255D8D">
        <w:t>facilities</w:t>
      </w:r>
      <w:r w:rsidR="0013032F" w:rsidRPr="00255D8D">
        <w:t xml:space="preserve"> </w:t>
      </w:r>
      <w:r w:rsidRPr="00255D8D">
        <w:t>will</w:t>
      </w:r>
      <w:r w:rsidR="0013032F" w:rsidRPr="00255D8D">
        <w:t xml:space="preserve"> </w:t>
      </w:r>
      <w:r w:rsidRPr="00255D8D">
        <w:t>enhance</w:t>
      </w:r>
      <w:r w:rsidR="0013032F" w:rsidRPr="00255D8D">
        <w:t xml:space="preserve"> </w:t>
      </w:r>
      <w:r w:rsidRPr="00255D8D">
        <w:t>recreational</w:t>
      </w:r>
      <w:r w:rsidR="0013032F" w:rsidRPr="00255D8D">
        <w:t xml:space="preserve"> </w:t>
      </w:r>
      <w:r w:rsidRPr="00255D8D">
        <w:t>fishing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crabbing</w:t>
      </w:r>
      <w:r w:rsidR="0013032F" w:rsidRPr="00255D8D">
        <w:t xml:space="preserve"> </w:t>
      </w:r>
      <w:r w:rsidRPr="00255D8D">
        <w:t>activities</w:t>
      </w:r>
      <w:r w:rsidR="0013032F" w:rsidRPr="00255D8D">
        <w:t xml:space="preserve"> </w:t>
      </w:r>
      <w:r w:rsidRPr="00255D8D">
        <w:t>while</w:t>
      </w:r>
      <w:r w:rsidR="0013032F" w:rsidRPr="00255D8D">
        <w:t xml:space="preserve"> </w:t>
      </w:r>
      <w:r w:rsidRPr="00255D8D">
        <w:t>supporting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visitor</w:t>
      </w:r>
      <w:r w:rsidR="0013032F" w:rsidRPr="00255D8D">
        <w:t xml:space="preserve"> </w:t>
      </w:r>
      <w:r w:rsidRPr="00255D8D">
        <w:t>economy</w:t>
      </w:r>
      <w:r w:rsidR="0013032F" w:rsidRPr="00255D8D">
        <w:t xml:space="preserve"> </w:t>
      </w:r>
      <w:r w:rsidRPr="00255D8D">
        <w:t>in</w:t>
      </w:r>
      <w:r w:rsidR="0013032F" w:rsidRPr="00255D8D">
        <w:t xml:space="preserve"> </w:t>
      </w:r>
      <w:r w:rsidRPr="00255D8D">
        <w:t>Lakes</w:t>
      </w:r>
      <w:r w:rsidR="0013032F" w:rsidRPr="00255D8D">
        <w:t xml:space="preserve"> </w:t>
      </w:r>
      <w:r w:rsidRPr="00255D8D">
        <w:t>Entrance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more</w:t>
      </w:r>
      <w:r w:rsidR="0013032F" w:rsidRPr="00255D8D">
        <w:t xml:space="preserve"> </w:t>
      </w:r>
      <w:r w:rsidRPr="00255D8D">
        <w:t>broadly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Gippsland</w:t>
      </w:r>
      <w:r w:rsidR="0013032F" w:rsidRPr="00255D8D">
        <w:t xml:space="preserve"> </w:t>
      </w:r>
      <w:r w:rsidRPr="00255D8D">
        <w:t>Lakes.</w:t>
      </w:r>
    </w:p>
    <w:p w14:paraId="1F8F65ED" w14:textId="1BCB5D17" w:rsidR="00757772" w:rsidRDefault="00305D3C" w:rsidP="00255D8D">
      <w:pPr>
        <w:pStyle w:val="Heading2"/>
      </w:pPr>
      <w:bookmarkStart w:id="46" w:name="_Toc149566592"/>
      <w:r>
        <w:t>Key</w:t>
      </w:r>
      <w:r w:rsidR="0013032F">
        <w:t xml:space="preserve"> </w:t>
      </w:r>
      <w:r>
        <w:t>outcomes</w:t>
      </w:r>
      <w:bookmarkEnd w:id="46"/>
    </w:p>
    <w:p w14:paraId="5B45E7D3" w14:textId="535ED0E9" w:rsidR="00757772" w:rsidRPr="00255D8D" w:rsidRDefault="00305D3C" w:rsidP="00255D8D">
      <w:pPr>
        <w:pStyle w:val="Normalbeforebullets"/>
        <w:rPr>
          <w:b/>
          <w:bCs/>
        </w:rPr>
      </w:pPr>
      <w:r w:rsidRPr="00255D8D">
        <w:rPr>
          <w:b/>
          <w:bCs/>
        </w:rPr>
        <w:t>Yes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Youth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Hub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–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Backyard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project</w:t>
      </w:r>
    </w:p>
    <w:p w14:paraId="23DB625F" w14:textId="150B1230" w:rsidR="00757772" w:rsidRPr="00255D8D" w:rsidRDefault="00305D3C" w:rsidP="00255D8D">
      <w:r w:rsidRPr="00255D8D">
        <w:t>Supported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Yes</w:t>
      </w:r>
      <w:r w:rsidR="0013032F" w:rsidRPr="00255D8D">
        <w:t xml:space="preserve"> </w:t>
      </w:r>
      <w:r w:rsidRPr="00255D8D">
        <w:t>Youth</w:t>
      </w:r>
      <w:r w:rsidR="0013032F" w:rsidRPr="00255D8D">
        <w:t xml:space="preserve"> </w:t>
      </w:r>
      <w:r w:rsidRPr="00255D8D">
        <w:t>Hub</w:t>
      </w:r>
      <w:r w:rsidR="0013032F" w:rsidRPr="00255D8D">
        <w:t xml:space="preserve"> </w:t>
      </w:r>
      <w:r w:rsidRPr="00255D8D">
        <w:t>–</w:t>
      </w:r>
      <w:r w:rsidR="0013032F" w:rsidRPr="00255D8D">
        <w:t xml:space="preserve"> </w:t>
      </w:r>
      <w:r w:rsidRPr="00255D8D">
        <w:t>Backyard</w:t>
      </w:r>
      <w:r w:rsidR="0013032F" w:rsidRPr="00255D8D">
        <w:t xml:space="preserve"> </w:t>
      </w:r>
      <w:r w:rsidRPr="00255D8D">
        <w:t>project</w:t>
      </w:r>
      <w:r w:rsidR="0013032F" w:rsidRPr="00255D8D">
        <w:t xml:space="preserve"> </w:t>
      </w:r>
      <w:r w:rsidRPr="00255D8D">
        <w:t>with</w:t>
      </w:r>
      <w:r w:rsidR="0013032F" w:rsidRPr="00255D8D">
        <w:t xml:space="preserve"> </w:t>
      </w:r>
      <w:r w:rsidRPr="00255D8D">
        <w:t>$15,681</w:t>
      </w:r>
      <w:r w:rsidR="0013032F" w:rsidRPr="00255D8D">
        <w:t xml:space="preserve"> </w:t>
      </w:r>
      <w:r w:rsidRPr="00255D8D">
        <w:t>funding</w:t>
      </w:r>
      <w:r w:rsidR="0013032F" w:rsidRPr="00255D8D">
        <w:t xml:space="preserve"> </w:t>
      </w:r>
      <w:r w:rsidRPr="00255D8D">
        <w:t>from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Living</w:t>
      </w:r>
      <w:r w:rsidR="0013032F" w:rsidRPr="00255D8D">
        <w:t xml:space="preserve"> </w:t>
      </w:r>
      <w:r w:rsidRPr="00255D8D">
        <w:t>Local</w:t>
      </w:r>
      <w:r w:rsidR="0013032F" w:rsidRPr="00255D8D">
        <w:t xml:space="preserve"> </w:t>
      </w:r>
      <w:r w:rsidRPr="00255D8D">
        <w:t>–</w:t>
      </w:r>
      <w:r w:rsidR="0013032F" w:rsidRPr="00255D8D">
        <w:t xml:space="preserve"> </w:t>
      </w:r>
      <w:r w:rsidRPr="00255D8D">
        <w:t>Regional</w:t>
      </w:r>
      <w:r w:rsidR="0013032F" w:rsidRPr="00255D8D">
        <w:t xml:space="preserve"> </w:t>
      </w:r>
      <w:r w:rsidRPr="00255D8D">
        <w:t>Fund.</w:t>
      </w:r>
      <w:r w:rsidR="0013032F" w:rsidRPr="00255D8D">
        <w:t xml:space="preserve"> </w:t>
      </w:r>
      <w:r w:rsidRPr="00255D8D">
        <w:t>Yes</w:t>
      </w:r>
      <w:r w:rsidR="0013032F" w:rsidRPr="00255D8D">
        <w:t xml:space="preserve"> </w:t>
      </w:r>
      <w:r w:rsidRPr="00255D8D">
        <w:t>Youth</w:t>
      </w:r>
      <w:r w:rsidR="0013032F" w:rsidRPr="00255D8D">
        <w:t xml:space="preserve"> </w:t>
      </w:r>
      <w:r w:rsidRPr="00255D8D">
        <w:t>Hub</w:t>
      </w:r>
      <w:r w:rsidR="0013032F" w:rsidRPr="00255D8D">
        <w:t xml:space="preserve"> </w:t>
      </w:r>
      <w:r w:rsidRPr="00255D8D">
        <w:t>Bass</w:t>
      </w:r>
      <w:r w:rsidR="0013032F" w:rsidRPr="00255D8D">
        <w:t xml:space="preserve"> </w:t>
      </w:r>
      <w:r w:rsidRPr="00255D8D">
        <w:t>Coast</w:t>
      </w:r>
      <w:r w:rsidR="0013032F" w:rsidRPr="00255D8D">
        <w:t xml:space="preserve"> </w:t>
      </w:r>
      <w:r w:rsidRPr="00255D8D">
        <w:t>is</w:t>
      </w:r>
      <w:r w:rsidR="0013032F" w:rsidRPr="00255D8D">
        <w:t xml:space="preserve"> </w:t>
      </w:r>
      <w:r w:rsidRPr="00255D8D">
        <w:t>a</w:t>
      </w:r>
      <w:r w:rsidR="0013032F" w:rsidRPr="00255D8D">
        <w:t xml:space="preserve"> </w:t>
      </w:r>
      <w:r w:rsidRPr="00255D8D">
        <w:t>community-driven</w:t>
      </w:r>
      <w:r w:rsidR="0013032F" w:rsidRPr="00255D8D">
        <w:t xml:space="preserve"> </w:t>
      </w:r>
      <w:r w:rsidRPr="00255D8D">
        <w:t>space</w:t>
      </w:r>
      <w:r w:rsidR="0013032F" w:rsidRPr="00255D8D">
        <w:t xml:space="preserve"> </w:t>
      </w:r>
      <w:r w:rsidRPr="00255D8D">
        <w:t>for</w:t>
      </w:r>
      <w:r w:rsidR="0013032F" w:rsidRPr="00255D8D">
        <w:t xml:space="preserve"> </w:t>
      </w:r>
      <w:r w:rsidRPr="00255D8D">
        <w:t>young</w:t>
      </w:r>
      <w:r w:rsidR="0013032F" w:rsidRPr="00255D8D">
        <w:t xml:space="preserve"> </w:t>
      </w:r>
      <w:r w:rsidRPr="00255D8D">
        <w:t>people</w:t>
      </w:r>
      <w:r w:rsidR="0013032F" w:rsidRPr="00255D8D">
        <w:t xml:space="preserve"> </w:t>
      </w:r>
      <w:r w:rsidRPr="00255D8D">
        <w:t>to</w:t>
      </w:r>
      <w:r w:rsidR="0013032F" w:rsidRPr="00255D8D">
        <w:t xml:space="preserve"> </w:t>
      </w:r>
      <w:r w:rsidRPr="00255D8D">
        <w:t>come</w:t>
      </w:r>
      <w:r w:rsidR="0013032F" w:rsidRPr="00255D8D">
        <w:t xml:space="preserve"> </w:t>
      </w:r>
      <w:r w:rsidRPr="00255D8D">
        <w:t>together,</w:t>
      </w:r>
      <w:r w:rsidR="0013032F" w:rsidRPr="00255D8D">
        <w:t xml:space="preserve"> </w:t>
      </w:r>
      <w:r w:rsidRPr="00255D8D">
        <w:t>connect,</w:t>
      </w:r>
      <w:r w:rsidR="0013032F" w:rsidRPr="00255D8D">
        <w:t xml:space="preserve"> </w:t>
      </w:r>
      <w:r w:rsidRPr="00255D8D">
        <w:t>grow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have</w:t>
      </w:r>
      <w:r w:rsidR="0013032F" w:rsidRPr="00255D8D">
        <w:t xml:space="preserve"> </w:t>
      </w:r>
      <w:r w:rsidRPr="00255D8D">
        <w:t>fun.</w:t>
      </w:r>
      <w:r w:rsidR="0013032F" w:rsidRPr="00255D8D">
        <w:t xml:space="preserve"> </w:t>
      </w:r>
      <w:r w:rsidRPr="00255D8D">
        <w:t>Improving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backyard</w:t>
      </w:r>
      <w:r w:rsidR="0013032F" w:rsidRPr="00255D8D">
        <w:t xml:space="preserve"> </w:t>
      </w:r>
      <w:r w:rsidRPr="00255D8D">
        <w:t>area</w:t>
      </w:r>
      <w:r w:rsidR="0013032F" w:rsidRPr="00255D8D">
        <w:t xml:space="preserve"> </w:t>
      </w:r>
      <w:r w:rsidRPr="00255D8D">
        <w:t>has</w:t>
      </w:r>
      <w:r w:rsidR="0013032F" w:rsidRPr="00255D8D">
        <w:t xml:space="preserve"> </w:t>
      </w:r>
      <w:r w:rsidRPr="00255D8D">
        <w:t>allowed</w:t>
      </w:r>
      <w:r w:rsidR="0013032F" w:rsidRPr="00255D8D">
        <w:t xml:space="preserve"> </w:t>
      </w:r>
      <w:r w:rsidRPr="00255D8D">
        <w:t>for</w:t>
      </w:r>
      <w:r w:rsidR="0013032F" w:rsidRPr="00255D8D">
        <w:t xml:space="preserve"> </w:t>
      </w:r>
      <w:r w:rsidRPr="00255D8D">
        <w:t>greater</w:t>
      </w:r>
      <w:r w:rsidR="0013032F" w:rsidRPr="00255D8D">
        <w:t xml:space="preserve"> </w:t>
      </w:r>
      <w:r w:rsidRPr="00255D8D">
        <w:t>attendance,</w:t>
      </w:r>
      <w:r w:rsidR="0013032F" w:rsidRPr="00255D8D">
        <w:t xml:space="preserve"> </w:t>
      </w:r>
      <w:r w:rsidRPr="00255D8D">
        <w:t>improved</w:t>
      </w:r>
      <w:r w:rsidR="0013032F" w:rsidRPr="00255D8D">
        <w:t xml:space="preserve"> </w:t>
      </w:r>
      <w:r w:rsidRPr="00255D8D">
        <w:t>experiences,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provided</w:t>
      </w:r>
      <w:r w:rsidR="0013032F" w:rsidRPr="00255D8D">
        <w:t xml:space="preserve"> </w:t>
      </w:r>
      <w:r w:rsidRPr="00255D8D">
        <w:t>more</w:t>
      </w:r>
      <w:r w:rsidR="0013032F" w:rsidRPr="00255D8D">
        <w:t xml:space="preserve"> </w:t>
      </w:r>
      <w:r w:rsidRPr="00255D8D">
        <w:t>opportunities</w:t>
      </w:r>
      <w:r w:rsidR="0013032F" w:rsidRPr="00255D8D">
        <w:t xml:space="preserve"> </w:t>
      </w:r>
      <w:r w:rsidRPr="00255D8D">
        <w:t>for</w:t>
      </w:r>
      <w:r w:rsidR="0013032F" w:rsidRPr="00255D8D">
        <w:t xml:space="preserve"> </w:t>
      </w:r>
      <w:r w:rsidRPr="00255D8D">
        <w:t>young</w:t>
      </w:r>
      <w:r w:rsidR="0013032F" w:rsidRPr="00255D8D">
        <w:t xml:space="preserve"> </w:t>
      </w:r>
      <w:r w:rsidRPr="00255D8D">
        <w:t>people</w:t>
      </w:r>
      <w:r w:rsidR="0013032F" w:rsidRPr="00255D8D">
        <w:t xml:space="preserve"> </w:t>
      </w:r>
      <w:r w:rsidRPr="00255D8D">
        <w:t>to</w:t>
      </w:r>
      <w:r w:rsidR="0013032F" w:rsidRPr="00255D8D">
        <w:t xml:space="preserve"> </w:t>
      </w:r>
      <w:r w:rsidRPr="00255D8D">
        <w:t>connect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participate.</w:t>
      </w:r>
    </w:p>
    <w:p w14:paraId="32598C63" w14:textId="074DC0E3" w:rsidR="00757772" w:rsidRPr="00255D8D" w:rsidRDefault="00305D3C" w:rsidP="00255D8D">
      <w:pPr>
        <w:pStyle w:val="Normalbeforebullets"/>
        <w:rPr>
          <w:b/>
          <w:bCs/>
        </w:rPr>
      </w:pPr>
      <w:r w:rsidRPr="00255D8D">
        <w:rPr>
          <w:b/>
          <w:bCs/>
        </w:rPr>
        <w:t>Habitat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Creations</w:t>
      </w:r>
    </w:p>
    <w:p w14:paraId="306B7C72" w14:textId="6CAFCB41" w:rsidR="00757772" w:rsidRDefault="00305D3C" w:rsidP="00255D8D">
      <w:r>
        <w:t>Supported</w:t>
      </w:r>
      <w:r w:rsidR="0013032F">
        <w:t xml:space="preserve"> </w:t>
      </w:r>
      <w:r>
        <w:t>Habitat</w:t>
      </w:r>
      <w:r w:rsidR="0013032F">
        <w:t xml:space="preserve"> </w:t>
      </w:r>
      <w:r>
        <w:t>Creations</w:t>
      </w:r>
      <w:r w:rsidR="0013032F">
        <w:t xml:space="preserve"> </w:t>
      </w:r>
      <w:r>
        <w:t>in</w:t>
      </w:r>
      <w:r w:rsidR="0013032F">
        <w:t xml:space="preserve"> </w:t>
      </w:r>
      <w:r>
        <w:t>progressing</w:t>
      </w:r>
      <w:r w:rsidR="0013032F">
        <w:t xml:space="preserve"> </w:t>
      </w:r>
      <w:r>
        <w:t>a</w:t>
      </w:r>
      <w:r w:rsidR="0013032F">
        <w:t xml:space="preserve"> </w:t>
      </w:r>
      <w:r>
        <w:t>$613,000</w:t>
      </w:r>
      <w:r w:rsidR="0013032F">
        <w:t xml:space="preserve"> </w:t>
      </w:r>
      <w:r>
        <w:t>investment</w:t>
      </w:r>
      <w:r w:rsidR="0013032F">
        <w:t xml:space="preserve"> </w:t>
      </w:r>
      <w:r>
        <w:t>to</w:t>
      </w:r>
      <w:r w:rsidR="0013032F">
        <w:t xml:space="preserve"> </w:t>
      </w:r>
      <w:r>
        <w:t>expand</w:t>
      </w:r>
      <w:r w:rsidR="0013032F">
        <w:t xml:space="preserve"> </w:t>
      </w:r>
      <w:r>
        <w:t>its</w:t>
      </w:r>
      <w:r w:rsidR="0013032F">
        <w:t xml:space="preserve"> </w:t>
      </w:r>
      <w:r>
        <w:t>plant</w:t>
      </w:r>
      <w:r w:rsidR="0013032F">
        <w:t xml:space="preserve"> </w:t>
      </w:r>
      <w:r>
        <w:t>nursery</w:t>
      </w:r>
      <w:r w:rsidR="0013032F">
        <w:t xml:space="preserve"> </w:t>
      </w:r>
      <w:r>
        <w:t>growing</w:t>
      </w:r>
      <w:r w:rsidR="0013032F">
        <w:t xml:space="preserve"> </w:t>
      </w:r>
      <w:r>
        <w:t>area</w:t>
      </w:r>
      <w:r w:rsidR="0013032F">
        <w:t xml:space="preserve"> </w:t>
      </w:r>
      <w:r>
        <w:rPr>
          <w:spacing w:val="-3"/>
        </w:rPr>
        <w:t>and</w:t>
      </w:r>
      <w:r w:rsidR="0013032F">
        <w:rPr>
          <w:spacing w:val="-3"/>
        </w:rPr>
        <w:t xml:space="preserve"> </w:t>
      </w:r>
      <w:r>
        <w:rPr>
          <w:spacing w:val="-3"/>
        </w:rPr>
        <w:t>develop</w:t>
      </w:r>
      <w:r w:rsidR="0013032F">
        <w:rPr>
          <w:spacing w:val="-3"/>
        </w:rPr>
        <w:t xml:space="preserve"> </w:t>
      </w:r>
      <w:r>
        <w:rPr>
          <w:spacing w:val="-3"/>
        </w:rPr>
        <w:t>its</w:t>
      </w:r>
      <w:r w:rsidR="0013032F">
        <w:rPr>
          <w:spacing w:val="-3"/>
        </w:rPr>
        <w:t xml:space="preserve"> </w:t>
      </w:r>
      <w:r>
        <w:rPr>
          <w:spacing w:val="-3"/>
        </w:rPr>
        <w:t>new</w:t>
      </w:r>
      <w:r w:rsidR="0013032F">
        <w:rPr>
          <w:spacing w:val="-3"/>
        </w:rPr>
        <w:t xml:space="preserve"> </w:t>
      </w:r>
      <w:r>
        <w:rPr>
          <w:spacing w:val="-3"/>
        </w:rPr>
        <w:t>head</w:t>
      </w:r>
      <w:r w:rsidR="0013032F">
        <w:rPr>
          <w:spacing w:val="-3"/>
        </w:rPr>
        <w:t xml:space="preserve"> </w:t>
      </w:r>
      <w:r>
        <w:rPr>
          <w:spacing w:val="-3"/>
        </w:rPr>
        <w:t>office</w:t>
      </w:r>
      <w:r w:rsidR="0013032F">
        <w:rPr>
          <w:spacing w:val="-3"/>
        </w:rPr>
        <w:t xml:space="preserve"> </w:t>
      </w:r>
      <w:r>
        <w:rPr>
          <w:spacing w:val="-3"/>
        </w:rPr>
        <w:t>at</w:t>
      </w:r>
      <w:r w:rsidR="0013032F">
        <w:rPr>
          <w:spacing w:val="-3"/>
        </w:rPr>
        <w:t xml:space="preserve"> </w:t>
      </w:r>
      <w:r>
        <w:rPr>
          <w:spacing w:val="-3"/>
        </w:rPr>
        <w:t>Yarragon.</w:t>
      </w:r>
      <w:r w:rsidR="0013032F">
        <w:rPr>
          <w:spacing w:val="-3"/>
        </w:rPr>
        <w:t xml:space="preserve"> </w:t>
      </w:r>
      <w:r>
        <w:rPr>
          <w:spacing w:val="-3"/>
        </w:rPr>
        <w:t>The</w:t>
      </w:r>
      <w:r w:rsidR="0013032F">
        <w:rPr>
          <w:spacing w:val="-3"/>
        </w:rPr>
        <w:t xml:space="preserve"> </w:t>
      </w:r>
      <w:r>
        <w:rPr>
          <w:spacing w:val="-3"/>
        </w:rPr>
        <w:t>project</w:t>
      </w:r>
      <w:r w:rsidR="0013032F">
        <w:rPr>
          <w:spacing w:val="-3"/>
        </w:rPr>
        <w:t xml:space="preserve"> </w:t>
      </w:r>
      <w:r>
        <w:rPr>
          <w:spacing w:val="-3"/>
        </w:rPr>
        <w:t>will</w:t>
      </w:r>
      <w:r w:rsidR="0013032F">
        <w:rPr>
          <w:spacing w:val="-3"/>
        </w:rPr>
        <w:t xml:space="preserve"> </w:t>
      </w:r>
      <w:r>
        <w:rPr>
          <w:spacing w:val="-3"/>
        </w:rPr>
        <w:t>create</w:t>
      </w:r>
      <w:r w:rsidR="0013032F">
        <w:rPr>
          <w:spacing w:val="-3"/>
        </w:rPr>
        <w:t xml:space="preserve"> </w:t>
      </w:r>
      <w:r>
        <w:rPr>
          <w:spacing w:val="-3"/>
        </w:rPr>
        <w:t>up</w:t>
      </w:r>
      <w:r w:rsidR="0013032F">
        <w:rPr>
          <w:spacing w:val="-3"/>
        </w:rPr>
        <w:t xml:space="preserve"> </w:t>
      </w:r>
      <w:r>
        <w:rPr>
          <w:spacing w:val="-3"/>
        </w:rPr>
        <w:t>to</w:t>
      </w:r>
      <w:r w:rsidR="0013032F">
        <w:rPr>
          <w:spacing w:val="-3"/>
        </w:rPr>
        <w:t xml:space="preserve"> </w:t>
      </w:r>
      <w:r>
        <w:rPr>
          <w:spacing w:val="-3"/>
        </w:rPr>
        <w:t>8</w:t>
      </w:r>
      <w:r w:rsidR="0013032F">
        <w:rPr>
          <w:spacing w:val="-3"/>
        </w:rPr>
        <w:t xml:space="preserve"> </w:t>
      </w:r>
      <w:r>
        <w:rPr>
          <w:spacing w:val="-3"/>
        </w:rPr>
        <w:t>new</w:t>
      </w:r>
      <w:r w:rsidR="0013032F">
        <w:rPr>
          <w:spacing w:val="-3"/>
        </w:rPr>
        <w:t xml:space="preserve"> </w:t>
      </w:r>
      <w:r>
        <w:rPr>
          <w:spacing w:val="-3"/>
        </w:rPr>
        <w:t>jobs</w:t>
      </w:r>
      <w:r w:rsidR="0013032F">
        <w:rPr>
          <w:spacing w:val="-3"/>
        </w:rPr>
        <w:t xml:space="preserve"> </w:t>
      </w:r>
      <w:r>
        <w:rPr>
          <w:spacing w:val="-3"/>
        </w:rPr>
        <w:t>in</w:t>
      </w:r>
      <w:r w:rsidR="0013032F">
        <w:rPr>
          <w:spacing w:val="-3"/>
        </w:rPr>
        <w:t xml:space="preserve"> </w:t>
      </w:r>
      <w:r>
        <w:rPr>
          <w:spacing w:val="-3"/>
        </w:rPr>
        <w:t>the</w:t>
      </w:r>
      <w:r w:rsidR="0013032F">
        <w:rPr>
          <w:spacing w:val="-3"/>
        </w:rPr>
        <w:t xml:space="preserve"> </w:t>
      </w:r>
      <w:r>
        <w:rPr>
          <w:spacing w:val="-3"/>
        </w:rPr>
        <w:t>Latrobe</w:t>
      </w:r>
      <w:r w:rsidR="0013032F">
        <w:rPr>
          <w:spacing w:val="-3"/>
        </w:rPr>
        <w:t xml:space="preserve"> </w:t>
      </w:r>
      <w:r>
        <w:rPr>
          <w:spacing w:val="-3"/>
        </w:rPr>
        <w:t>Valley</w:t>
      </w:r>
      <w:r w:rsidR="0013032F">
        <w:rPr>
          <w:spacing w:val="-3"/>
        </w:rPr>
        <w:t xml:space="preserve"> </w:t>
      </w:r>
      <w:r>
        <w:rPr>
          <w:spacing w:val="-3"/>
        </w:rPr>
        <w:t>providing</w:t>
      </w:r>
      <w:r w:rsidR="0013032F">
        <w:t xml:space="preserve"> </w:t>
      </w:r>
      <w:r>
        <w:t>the</w:t>
      </w:r>
      <w:r w:rsidR="0013032F">
        <w:t xml:space="preserve"> </w:t>
      </w:r>
      <w:r>
        <w:t>site</w:t>
      </w:r>
      <w:r w:rsidR="0013032F">
        <w:t xml:space="preserve"> </w:t>
      </w:r>
      <w:r>
        <w:t>with</w:t>
      </w:r>
      <w:r w:rsidR="0013032F">
        <w:t xml:space="preserve"> </w:t>
      </w:r>
      <w:r>
        <w:t>a</w:t>
      </w:r>
      <w:r w:rsidR="0013032F">
        <w:t xml:space="preserve"> </w:t>
      </w:r>
      <w:r>
        <w:t>plant</w:t>
      </w:r>
      <w:r w:rsidR="0013032F">
        <w:t xml:space="preserve"> </w:t>
      </w:r>
      <w:r>
        <w:t>holding</w:t>
      </w:r>
      <w:r w:rsidR="0013032F">
        <w:t xml:space="preserve"> </w:t>
      </w:r>
      <w:r>
        <w:t>area</w:t>
      </w:r>
      <w:r w:rsidR="0013032F">
        <w:t xml:space="preserve"> </w:t>
      </w:r>
      <w:r>
        <w:t>under</w:t>
      </w:r>
      <w:r w:rsidR="0013032F">
        <w:t xml:space="preserve"> </w:t>
      </w:r>
      <w:r>
        <w:t>a</w:t>
      </w:r>
      <w:r w:rsidR="0013032F">
        <w:t xml:space="preserve"> </w:t>
      </w:r>
      <w:r>
        <w:t>multi-span</w:t>
      </w:r>
      <w:r w:rsidR="0013032F">
        <w:t xml:space="preserve"> </w:t>
      </w:r>
      <w:r>
        <w:t>shade</w:t>
      </w:r>
      <w:r w:rsidR="0013032F">
        <w:t xml:space="preserve"> </w:t>
      </w:r>
      <w:r>
        <w:t>house</w:t>
      </w:r>
      <w:r w:rsidR="0013032F">
        <w:t xml:space="preserve"> </w:t>
      </w:r>
      <w:r>
        <w:t>structure</w:t>
      </w:r>
      <w:r w:rsidR="0013032F">
        <w:t xml:space="preserve"> </w:t>
      </w:r>
      <w:r>
        <w:t>for</w:t>
      </w:r>
      <w:r w:rsidR="0013032F">
        <w:t xml:space="preserve"> </w:t>
      </w:r>
      <w:r>
        <w:t>more</w:t>
      </w:r>
      <w:r w:rsidR="0013032F">
        <w:t xml:space="preserve"> </w:t>
      </w:r>
      <w:r>
        <w:t>efficient</w:t>
      </w:r>
      <w:r w:rsidR="0013032F">
        <w:t xml:space="preserve"> </w:t>
      </w:r>
      <w:r>
        <w:t>irrigation</w:t>
      </w:r>
      <w:r w:rsidR="0013032F">
        <w:t xml:space="preserve"> </w:t>
      </w:r>
      <w:r>
        <w:t>and</w:t>
      </w:r>
      <w:r w:rsidR="0013032F">
        <w:t xml:space="preserve"> </w:t>
      </w:r>
      <w:r>
        <w:t>improved</w:t>
      </w:r>
      <w:r w:rsidR="0013032F">
        <w:t xml:space="preserve"> </w:t>
      </w:r>
      <w:r>
        <w:t>plant</w:t>
      </w:r>
      <w:r w:rsidR="0013032F">
        <w:t xml:space="preserve"> </w:t>
      </w:r>
      <w:r>
        <w:t>health.</w:t>
      </w:r>
      <w:r w:rsidR="0013032F">
        <w:t xml:space="preserve"> </w:t>
      </w:r>
    </w:p>
    <w:p w14:paraId="2691EA05" w14:textId="2DEECEF5" w:rsidR="00757772" w:rsidRPr="00255D8D" w:rsidRDefault="00305D3C" w:rsidP="00255D8D">
      <w:pPr>
        <w:pStyle w:val="Normalbeforebullets"/>
        <w:rPr>
          <w:b/>
          <w:bCs/>
        </w:rPr>
      </w:pPr>
      <w:r w:rsidRPr="00255D8D">
        <w:rPr>
          <w:b/>
          <w:bCs/>
        </w:rPr>
        <w:t>Wood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Street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Windows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Pty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Ltd</w:t>
      </w:r>
    </w:p>
    <w:p w14:paraId="46CB9C08" w14:textId="59A423D9" w:rsidR="00757772" w:rsidRPr="00255D8D" w:rsidRDefault="00305D3C" w:rsidP="00255D8D">
      <w:r w:rsidRPr="00255D8D">
        <w:t>Supported</w:t>
      </w:r>
      <w:r w:rsidR="0013032F" w:rsidRPr="00255D8D">
        <w:t xml:space="preserve"> </w:t>
      </w:r>
      <w:r w:rsidRPr="00255D8D">
        <w:t>expansion</w:t>
      </w:r>
      <w:r w:rsidR="0013032F" w:rsidRPr="00255D8D">
        <w:t xml:space="preserve"> </w:t>
      </w:r>
      <w:r w:rsidRPr="00255D8D">
        <w:t>of</w:t>
      </w:r>
      <w:r w:rsidR="0013032F" w:rsidRPr="00255D8D">
        <w:t xml:space="preserve"> </w:t>
      </w:r>
      <w:r w:rsidRPr="00255D8D">
        <w:t>Wood</w:t>
      </w:r>
      <w:r w:rsidR="0013032F" w:rsidRPr="00255D8D">
        <w:t xml:space="preserve"> </w:t>
      </w:r>
      <w:r w:rsidRPr="00255D8D">
        <w:t>Street</w:t>
      </w:r>
      <w:r w:rsidR="0013032F" w:rsidRPr="00255D8D">
        <w:t xml:space="preserve"> </w:t>
      </w:r>
      <w:r w:rsidRPr="00255D8D">
        <w:t>Windows</w:t>
      </w:r>
      <w:r w:rsidR="0013032F" w:rsidRPr="00255D8D">
        <w:t xml:space="preserve"> </w:t>
      </w:r>
      <w:r w:rsidRPr="00255D8D">
        <w:t>in</w:t>
      </w:r>
      <w:r w:rsidR="0013032F" w:rsidRPr="00255D8D">
        <w:t xml:space="preserve"> </w:t>
      </w:r>
      <w:r w:rsidRPr="00255D8D">
        <w:t>Bairnsdale.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$700,000</w:t>
      </w:r>
      <w:r w:rsidR="0013032F" w:rsidRPr="00255D8D">
        <w:t xml:space="preserve"> </w:t>
      </w:r>
      <w:r w:rsidRPr="00255D8D">
        <w:t>project</w:t>
      </w:r>
      <w:r w:rsidR="0013032F" w:rsidRPr="00255D8D">
        <w:t xml:space="preserve"> </w:t>
      </w:r>
      <w:r w:rsidRPr="00255D8D">
        <w:t>will</w:t>
      </w:r>
      <w:r w:rsidR="0013032F" w:rsidRPr="00255D8D">
        <w:t xml:space="preserve"> </w:t>
      </w:r>
      <w:r w:rsidRPr="00255D8D">
        <w:t>deliver</w:t>
      </w:r>
      <w:r w:rsidR="0013032F" w:rsidRPr="00255D8D">
        <w:t xml:space="preserve"> </w:t>
      </w:r>
      <w:r w:rsidRPr="00255D8D">
        <w:t>an</w:t>
      </w:r>
      <w:r w:rsidR="0013032F" w:rsidRPr="00255D8D">
        <w:t xml:space="preserve"> </w:t>
      </w:r>
      <w:r w:rsidRPr="00255D8D">
        <w:t>uplift</w:t>
      </w:r>
      <w:r w:rsidR="0013032F" w:rsidRPr="00255D8D">
        <w:t xml:space="preserve"> </w:t>
      </w:r>
      <w:r w:rsidRPr="00255D8D">
        <w:t>of</w:t>
      </w:r>
      <w:r w:rsidR="0013032F" w:rsidRPr="00255D8D">
        <w:t xml:space="preserve"> </w:t>
      </w:r>
      <w:r w:rsidRPr="00255D8D">
        <w:t>30%</w:t>
      </w:r>
      <w:r w:rsidR="0013032F" w:rsidRPr="00255D8D">
        <w:t xml:space="preserve"> </w:t>
      </w:r>
      <w:r w:rsidRPr="00255D8D">
        <w:t>in</w:t>
      </w:r>
      <w:r w:rsidR="0013032F" w:rsidRPr="00255D8D">
        <w:t xml:space="preserve"> </w:t>
      </w:r>
      <w:r w:rsidRPr="00255D8D">
        <w:t>manufacturing</w:t>
      </w:r>
      <w:r w:rsidR="0013032F" w:rsidRPr="00255D8D">
        <w:t xml:space="preserve"> </w:t>
      </w:r>
      <w:r w:rsidRPr="00255D8D">
        <w:t>capability</w:t>
      </w:r>
      <w:r w:rsidR="0013032F" w:rsidRPr="00255D8D">
        <w:t xml:space="preserve"> </w:t>
      </w:r>
      <w:r w:rsidRPr="00255D8D">
        <w:t>ensuring</w:t>
      </w:r>
      <w:r w:rsidR="0013032F" w:rsidRPr="00255D8D">
        <w:t xml:space="preserve"> </w:t>
      </w:r>
      <w:r w:rsidRPr="00255D8D">
        <w:t>that</w:t>
      </w:r>
      <w:r w:rsidR="0013032F" w:rsidRPr="00255D8D">
        <w:t xml:space="preserve"> </w:t>
      </w:r>
      <w:r w:rsidRPr="00255D8D">
        <w:t>more</w:t>
      </w:r>
      <w:r w:rsidR="0013032F" w:rsidRPr="00255D8D">
        <w:t xml:space="preserve"> </w:t>
      </w:r>
      <w:r w:rsidRPr="00255D8D">
        <w:t>people</w:t>
      </w:r>
      <w:r w:rsidR="0013032F" w:rsidRPr="00255D8D">
        <w:t xml:space="preserve"> </w:t>
      </w:r>
      <w:r w:rsidRPr="00255D8D">
        <w:t>in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region</w:t>
      </w:r>
      <w:r w:rsidR="0013032F" w:rsidRPr="00255D8D">
        <w:t xml:space="preserve"> </w:t>
      </w:r>
      <w:r w:rsidRPr="00255D8D">
        <w:t>can</w:t>
      </w:r>
      <w:r w:rsidR="0013032F" w:rsidRPr="00255D8D">
        <w:t xml:space="preserve"> </w:t>
      </w:r>
      <w:r w:rsidRPr="00255D8D">
        <w:t>build</w:t>
      </w:r>
      <w:r w:rsidR="0013032F" w:rsidRPr="00255D8D">
        <w:t xml:space="preserve"> </w:t>
      </w:r>
      <w:r w:rsidRPr="00255D8D">
        <w:t>their</w:t>
      </w:r>
      <w:r w:rsidR="0013032F" w:rsidRPr="00255D8D">
        <w:t xml:space="preserve"> </w:t>
      </w:r>
      <w:r w:rsidRPr="00255D8D">
        <w:t>homes</w:t>
      </w:r>
      <w:r w:rsidR="0013032F" w:rsidRPr="00255D8D">
        <w:t xml:space="preserve"> </w:t>
      </w:r>
      <w:r w:rsidRPr="00255D8D">
        <w:t>with</w:t>
      </w:r>
      <w:r w:rsidR="0013032F" w:rsidRPr="00255D8D">
        <w:t xml:space="preserve"> </w:t>
      </w:r>
      <w:r w:rsidRPr="00255D8D">
        <w:t>locally</w:t>
      </w:r>
      <w:r w:rsidR="0013032F" w:rsidRPr="00255D8D">
        <w:t xml:space="preserve"> </w:t>
      </w:r>
      <w:r w:rsidRPr="00255D8D">
        <w:t>manufactured</w:t>
      </w:r>
      <w:r w:rsidR="0013032F" w:rsidRPr="00255D8D">
        <w:t xml:space="preserve"> </w:t>
      </w:r>
      <w:r w:rsidRPr="00255D8D">
        <w:t>components.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expansion</w:t>
      </w:r>
      <w:r w:rsidR="0013032F" w:rsidRPr="00255D8D">
        <w:t xml:space="preserve"> </w:t>
      </w:r>
      <w:r w:rsidRPr="00255D8D">
        <w:t>will</w:t>
      </w:r>
      <w:r w:rsidR="0013032F" w:rsidRPr="00255D8D">
        <w:t xml:space="preserve"> </w:t>
      </w:r>
      <w:r w:rsidRPr="00255D8D">
        <w:t>create</w:t>
      </w:r>
      <w:r w:rsidR="0013032F" w:rsidRPr="00255D8D">
        <w:t xml:space="preserve"> </w:t>
      </w:r>
      <w:r w:rsidRPr="00255D8D">
        <w:t>10</w:t>
      </w:r>
      <w:r w:rsidR="0013032F" w:rsidRPr="00255D8D">
        <w:t xml:space="preserve"> </w:t>
      </w:r>
      <w:r w:rsidRPr="00255D8D">
        <w:t>new</w:t>
      </w:r>
      <w:r w:rsidR="0013032F" w:rsidRPr="00255D8D">
        <w:t xml:space="preserve"> </w:t>
      </w:r>
      <w:r w:rsidRPr="00255D8D">
        <w:t>jobs.</w:t>
      </w:r>
    </w:p>
    <w:p w14:paraId="4F54DD3C" w14:textId="33A29FE9" w:rsidR="00757772" w:rsidRPr="00255D8D" w:rsidRDefault="00305D3C" w:rsidP="00255D8D">
      <w:pPr>
        <w:pStyle w:val="Normalbeforebullets"/>
        <w:rPr>
          <w:b/>
          <w:bCs/>
        </w:rPr>
      </w:pPr>
      <w:r w:rsidRPr="00255D8D">
        <w:rPr>
          <w:b/>
          <w:bCs/>
        </w:rPr>
        <w:t>Conservation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and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Land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Management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program</w:t>
      </w:r>
    </w:p>
    <w:p w14:paraId="05B816E6" w14:textId="59CCD6A8" w:rsidR="00757772" w:rsidRPr="00255D8D" w:rsidRDefault="00305D3C" w:rsidP="00255D8D">
      <w:r w:rsidRPr="00255D8D">
        <w:t>Supported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Conservation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Land</w:t>
      </w:r>
      <w:r w:rsidR="0013032F" w:rsidRPr="00255D8D">
        <w:t xml:space="preserve"> </w:t>
      </w:r>
      <w:r w:rsidRPr="00255D8D">
        <w:t>Management</w:t>
      </w:r>
      <w:r w:rsidR="0013032F" w:rsidRPr="00255D8D">
        <w:t xml:space="preserve"> </w:t>
      </w:r>
      <w:r w:rsidRPr="00255D8D">
        <w:t>program</w:t>
      </w:r>
      <w:r w:rsidR="0013032F" w:rsidRPr="00255D8D">
        <w:t xml:space="preserve"> </w:t>
      </w:r>
      <w:r w:rsidRPr="00255D8D">
        <w:t>with</w:t>
      </w:r>
      <w:r w:rsidR="0013032F" w:rsidRPr="00255D8D">
        <w:t xml:space="preserve"> </w:t>
      </w:r>
      <w:r w:rsidRPr="00255D8D">
        <w:t>$851,600</w:t>
      </w:r>
      <w:r w:rsidR="0013032F" w:rsidRPr="00255D8D">
        <w:t xml:space="preserve"> </w:t>
      </w:r>
      <w:r w:rsidRPr="00255D8D">
        <w:t>funding</w:t>
      </w:r>
      <w:r w:rsidR="0013032F" w:rsidRPr="00255D8D">
        <w:t xml:space="preserve"> </w:t>
      </w:r>
      <w:r w:rsidRPr="00255D8D">
        <w:t>from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Local</w:t>
      </w:r>
      <w:r w:rsidR="0013032F" w:rsidRPr="00255D8D">
        <w:t xml:space="preserve"> </w:t>
      </w:r>
      <w:r w:rsidRPr="00255D8D">
        <w:t>Economic</w:t>
      </w:r>
      <w:r w:rsidR="0013032F" w:rsidRPr="00255D8D">
        <w:t xml:space="preserve"> </w:t>
      </w:r>
      <w:r w:rsidRPr="00255D8D">
        <w:t>Recovery</w:t>
      </w:r>
      <w:r w:rsidR="0013032F" w:rsidRPr="00255D8D">
        <w:t xml:space="preserve"> </w:t>
      </w:r>
      <w:r w:rsidRPr="00255D8D">
        <w:t>Regional</w:t>
      </w:r>
      <w:r w:rsidR="0013032F" w:rsidRPr="00255D8D">
        <w:t xml:space="preserve"> </w:t>
      </w:r>
      <w:r w:rsidRPr="00255D8D">
        <w:t>Economic</w:t>
      </w:r>
      <w:r w:rsidR="0013032F" w:rsidRPr="00255D8D">
        <w:t xml:space="preserve"> </w:t>
      </w:r>
      <w:r w:rsidRPr="00255D8D">
        <w:t>Programs</w:t>
      </w:r>
      <w:r w:rsidR="0013032F" w:rsidRPr="00255D8D">
        <w:t xml:space="preserve"> </w:t>
      </w:r>
      <w:r w:rsidRPr="00255D8D">
        <w:t>Fund.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program</w:t>
      </w:r>
      <w:r w:rsidR="0013032F" w:rsidRPr="00255D8D">
        <w:t xml:space="preserve"> </w:t>
      </w:r>
      <w:r w:rsidRPr="00255D8D">
        <w:t>aims</w:t>
      </w:r>
      <w:r w:rsidR="0013032F" w:rsidRPr="00255D8D">
        <w:t xml:space="preserve"> </w:t>
      </w:r>
      <w:r w:rsidRPr="00255D8D">
        <w:t>to</w:t>
      </w:r>
      <w:r w:rsidR="0013032F" w:rsidRPr="00255D8D">
        <w:t xml:space="preserve"> </w:t>
      </w:r>
      <w:r w:rsidRPr="00255D8D">
        <w:t>empower</w:t>
      </w:r>
      <w:r w:rsidR="0013032F" w:rsidRPr="00255D8D">
        <w:t xml:space="preserve"> </w:t>
      </w:r>
      <w:r w:rsidRPr="00255D8D">
        <w:t>young</w:t>
      </w:r>
      <w:r w:rsidR="0013032F" w:rsidRPr="00255D8D">
        <w:t xml:space="preserve"> </w:t>
      </w:r>
      <w:r w:rsidRPr="00255D8D">
        <w:t>people</w:t>
      </w:r>
      <w:r w:rsidR="0013032F" w:rsidRPr="00255D8D">
        <w:t xml:space="preserve"> </w:t>
      </w:r>
      <w:r w:rsidRPr="00255D8D">
        <w:t>by</w:t>
      </w:r>
      <w:r w:rsidR="0013032F" w:rsidRPr="00255D8D">
        <w:t xml:space="preserve"> </w:t>
      </w:r>
      <w:r w:rsidRPr="00255D8D">
        <w:t>building</w:t>
      </w:r>
      <w:r w:rsidR="0013032F" w:rsidRPr="00255D8D">
        <w:t xml:space="preserve"> </w:t>
      </w:r>
      <w:r w:rsidRPr="00255D8D">
        <w:t>their</w:t>
      </w:r>
      <w:r w:rsidR="0013032F" w:rsidRPr="00255D8D">
        <w:t xml:space="preserve"> </w:t>
      </w:r>
      <w:r w:rsidRPr="00255D8D">
        <w:t>confidence,</w:t>
      </w:r>
      <w:r w:rsidR="0013032F" w:rsidRPr="00255D8D">
        <w:t xml:space="preserve"> </w:t>
      </w:r>
      <w:r w:rsidRPr="00255D8D">
        <w:t>providing</w:t>
      </w:r>
      <w:r w:rsidR="0013032F" w:rsidRPr="00255D8D">
        <w:t xml:space="preserve"> </w:t>
      </w:r>
      <w:r w:rsidRPr="00255D8D">
        <w:t>a</w:t>
      </w:r>
      <w:r w:rsidR="0013032F" w:rsidRPr="00255D8D">
        <w:t xml:space="preserve"> </w:t>
      </w:r>
      <w:r w:rsidRPr="00255D8D">
        <w:t>sense</w:t>
      </w:r>
      <w:r w:rsidR="0013032F" w:rsidRPr="00255D8D">
        <w:t xml:space="preserve"> </w:t>
      </w:r>
      <w:r w:rsidRPr="00255D8D">
        <w:t>of</w:t>
      </w:r>
      <w:r w:rsidR="0013032F" w:rsidRPr="00255D8D">
        <w:t xml:space="preserve"> </w:t>
      </w:r>
      <w:r w:rsidRPr="00255D8D">
        <w:t>purpose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creating</w:t>
      </w:r>
      <w:r w:rsidR="0013032F" w:rsidRPr="00255D8D">
        <w:t xml:space="preserve"> </w:t>
      </w:r>
      <w:r w:rsidRPr="00255D8D">
        <w:t>direction</w:t>
      </w:r>
      <w:r w:rsidR="0013032F" w:rsidRPr="00255D8D">
        <w:t xml:space="preserve"> </w:t>
      </w:r>
      <w:r w:rsidRPr="00255D8D">
        <w:t>through</w:t>
      </w:r>
      <w:r w:rsidR="0013032F" w:rsidRPr="00255D8D">
        <w:t xml:space="preserve"> </w:t>
      </w:r>
      <w:r w:rsidRPr="00255D8D">
        <w:t>education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work</w:t>
      </w:r>
      <w:r w:rsidR="0013032F" w:rsidRPr="00255D8D">
        <w:t xml:space="preserve"> </w:t>
      </w:r>
      <w:r w:rsidRPr="00255D8D">
        <w:t>experience.</w:t>
      </w:r>
      <w:r w:rsidR="0013032F" w:rsidRPr="00255D8D">
        <w:t xml:space="preserve"> </w:t>
      </w:r>
      <w:r w:rsidRPr="00255D8D">
        <w:t>A</w:t>
      </w:r>
      <w:r w:rsidR="0013032F" w:rsidRPr="00255D8D">
        <w:t xml:space="preserve"> </w:t>
      </w:r>
      <w:r w:rsidRPr="00255D8D">
        <w:t>total</w:t>
      </w:r>
      <w:r w:rsidR="0013032F" w:rsidRPr="00255D8D">
        <w:t xml:space="preserve"> </w:t>
      </w:r>
      <w:r w:rsidRPr="00255D8D">
        <w:t>of</w:t>
      </w:r>
      <w:r w:rsidR="0013032F" w:rsidRPr="00255D8D">
        <w:t xml:space="preserve"> </w:t>
      </w:r>
      <w:r w:rsidRPr="00255D8D">
        <w:t>20</w:t>
      </w:r>
      <w:r w:rsidR="0013032F" w:rsidRPr="00255D8D">
        <w:t xml:space="preserve"> </w:t>
      </w:r>
      <w:r w:rsidRPr="00255D8D">
        <w:t>trainees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6</w:t>
      </w:r>
      <w:r w:rsidR="0013032F" w:rsidRPr="00255D8D">
        <w:t xml:space="preserve"> </w:t>
      </w:r>
      <w:r w:rsidRPr="00255D8D">
        <w:t>school-based</w:t>
      </w:r>
      <w:r w:rsidR="0013032F" w:rsidRPr="00255D8D">
        <w:t xml:space="preserve"> </w:t>
      </w:r>
      <w:r w:rsidRPr="00255D8D">
        <w:t>trainees</w:t>
      </w:r>
      <w:r w:rsidR="0013032F" w:rsidRPr="00255D8D">
        <w:t xml:space="preserve"> </w:t>
      </w:r>
      <w:r w:rsidRPr="00255D8D">
        <w:t>aged</w:t>
      </w:r>
      <w:r w:rsidR="0013032F" w:rsidRPr="00255D8D">
        <w:t xml:space="preserve"> </w:t>
      </w:r>
      <w:r w:rsidRPr="00255D8D">
        <w:t>14–18</w:t>
      </w:r>
      <w:r w:rsidR="0013032F" w:rsidRPr="00255D8D">
        <w:t xml:space="preserve"> </w:t>
      </w:r>
      <w:r w:rsidRPr="00255D8D">
        <w:t>participated</w:t>
      </w:r>
      <w:r w:rsidR="0013032F" w:rsidRPr="00255D8D">
        <w:t xml:space="preserve"> </w:t>
      </w:r>
      <w:r w:rsidRPr="00255D8D">
        <w:t>in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program</w:t>
      </w:r>
      <w:r w:rsidR="0013032F" w:rsidRPr="00255D8D">
        <w:t xml:space="preserve"> </w:t>
      </w:r>
      <w:r w:rsidRPr="00255D8D">
        <w:t>with</w:t>
      </w:r>
      <w:r w:rsidR="0013032F" w:rsidRPr="00255D8D">
        <w:t xml:space="preserve"> </w:t>
      </w:r>
      <w:r w:rsidRPr="00255D8D">
        <w:t>17</w:t>
      </w:r>
      <w:r w:rsidR="0013032F" w:rsidRPr="00255D8D">
        <w:t xml:space="preserve"> </w:t>
      </w:r>
      <w:r w:rsidRPr="00255D8D">
        <w:t>trainees</w:t>
      </w:r>
      <w:r w:rsidR="0013032F" w:rsidRPr="00255D8D">
        <w:t xml:space="preserve"> </w:t>
      </w:r>
      <w:r w:rsidRPr="00255D8D">
        <w:t>successfully</w:t>
      </w:r>
      <w:r w:rsidR="0013032F" w:rsidRPr="00255D8D">
        <w:t xml:space="preserve"> </w:t>
      </w:r>
      <w:r w:rsidRPr="00255D8D">
        <w:t>transitioned</w:t>
      </w:r>
      <w:r w:rsidR="0013032F" w:rsidRPr="00255D8D">
        <w:t xml:space="preserve"> </w:t>
      </w:r>
      <w:r w:rsidRPr="00255D8D">
        <w:t>into</w:t>
      </w:r>
      <w:r w:rsidR="0013032F" w:rsidRPr="00255D8D">
        <w:t xml:space="preserve"> </w:t>
      </w:r>
      <w:r w:rsidRPr="00255D8D">
        <w:t>work</w:t>
      </w:r>
      <w:r w:rsidR="0013032F" w:rsidRPr="00255D8D">
        <w:t xml:space="preserve"> </w:t>
      </w:r>
      <w:r w:rsidRPr="00255D8D">
        <w:t>and/or</w:t>
      </w:r>
      <w:r w:rsidR="0013032F" w:rsidRPr="00255D8D">
        <w:t xml:space="preserve"> </w:t>
      </w:r>
      <w:r w:rsidRPr="00255D8D">
        <w:t>further</w:t>
      </w:r>
      <w:r w:rsidR="0013032F" w:rsidRPr="00255D8D">
        <w:t xml:space="preserve"> </w:t>
      </w:r>
      <w:r w:rsidRPr="00255D8D">
        <w:t>education.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project</w:t>
      </w:r>
      <w:r w:rsidR="0013032F" w:rsidRPr="00255D8D">
        <w:t xml:space="preserve"> </w:t>
      </w:r>
      <w:r w:rsidRPr="00255D8D">
        <w:t>supported</w:t>
      </w:r>
      <w:r w:rsidR="0013032F" w:rsidRPr="00255D8D">
        <w:t xml:space="preserve"> </w:t>
      </w:r>
      <w:r w:rsidRPr="00255D8D">
        <w:t>more</w:t>
      </w:r>
      <w:r w:rsidR="0013032F" w:rsidRPr="00255D8D">
        <w:t xml:space="preserve"> </w:t>
      </w:r>
      <w:r w:rsidRPr="00255D8D">
        <w:t>than</w:t>
      </w:r>
      <w:r w:rsidR="0013032F" w:rsidRPr="00255D8D">
        <w:t xml:space="preserve"> </w:t>
      </w:r>
      <w:r w:rsidRPr="00255D8D">
        <w:t>40</w:t>
      </w:r>
      <w:r w:rsidR="0013032F" w:rsidRPr="00255D8D">
        <w:t xml:space="preserve"> </w:t>
      </w:r>
      <w:r w:rsidRPr="00255D8D">
        <w:t>bushfire-impacted</w:t>
      </w:r>
      <w:r w:rsidR="0013032F" w:rsidRPr="00255D8D">
        <w:t xml:space="preserve"> </w:t>
      </w:r>
      <w:r w:rsidRPr="00255D8D">
        <w:t>landowners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15</w:t>
      </w:r>
      <w:r w:rsidR="0013032F" w:rsidRPr="00255D8D">
        <w:t xml:space="preserve"> </w:t>
      </w:r>
      <w:r w:rsidRPr="00255D8D">
        <w:t>community</w:t>
      </w:r>
      <w:r w:rsidR="0013032F" w:rsidRPr="00255D8D">
        <w:t xml:space="preserve"> </w:t>
      </w:r>
      <w:r w:rsidRPr="00255D8D">
        <w:t>projects</w:t>
      </w:r>
      <w:r w:rsidR="0013032F" w:rsidRPr="00255D8D">
        <w:t xml:space="preserve"> </w:t>
      </w:r>
      <w:r w:rsidRPr="00255D8D">
        <w:t>resulting</w:t>
      </w:r>
      <w:r w:rsidR="0013032F" w:rsidRPr="00255D8D">
        <w:t xml:space="preserve"> </w:t>
      </w:r>
      <w:r w:rsidRPr="00255D8D">
        <w:t>in</w:t>
      </w:r>
      <w:r w:rsidR="0013032F" w:rsidRPr="00255D8D">
        <w:t xml:space="preserve"> </w:t>
      </w:r>
      <w:r w:rsidRPr="00255D8D">
        <w:t>positive</w:t>
      </w:r>
      <w:r w:rsidR="0013032F" w:rsidRPr="00255D8D">
        <w:t xml:space="preserve"> </w:t>
      </w:r>
      <w:r w:rsidRPr="00255D8D">
        <w:t>social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environmental</w:t>
      </w:r>
      <w:r w:rsidR="0013032F" w:rsidRPr="00255D8D">
        <w:t xml:space="preserve"> </w:t>
      </w:r>
      <w:r w:rsidRPr="00255D8D">
        <w:t>o</w:t>
      </w:r>
      <w:r w:rsidRPr="00255D8D">
        <w:t>utcomes</w:t>
      </w:r>
      <w:r w:rsidR="0013032F" w:rsidRPr="00255D8D">
        <w:t xml:space="preserve"> </w:t>
      </w:r>
      <w:r w:rsidRPr="00255D8D">
        <w:t>in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East</w:t>
      </w:r>
      <w:r w:rsidR="0013032F" w:rsidRPr="00255D8D">
        <w:t xml:space="preserve"> </w:t>
      </w:r>
      <w:r w:rsidRPr="00255D8D">
        <w:t>Gippsland</w:t>
      </w:r>
      <w:r w:rsidR="0013032F" w:rsidRPr="00255D8D">
        <w:t xml:space="preserve"> </w:t>
      </w:r>
      <w:r w:rsidRPr="00255D8D">
        <w:t>community.</w:t>
      </w:r>
    </w:p>
    <w:p w14:paraId="02532FB4" w14:textId="4267FDA5" w:rsidR="00757772" w:rsidRPr="00255D8D" w:rsidRDefault="00305D3C" w:rsidP="00255D8D">
      <w:pPr>
        <w:pStyle w:val="Normalbeforebullets"/>
        <w:rPr>
          <w:b/>
          <w:bCs/>
        </w:rPr>
      </w:pPr>
      <w:r w:rsidRPr="00255D8D">
        <w:rPr>
          <w:b/>
          <w:bCs/>
        </w:rPr>
        <w:t>Latrobe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Valley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Smart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Geothermal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Industrial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Loop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feasibility</w:t>
      </w:r>
    </w:p>
    <w:p w14:paraId="4C59BE11" w14:textId="3470346E" w:rsidR="00757772" w:rsidRPr="00255D8D" w:rsidRDefault="00305D3C" w:rsidP="00255D8D">
      <w:r w:rsidRPr="00255D8D">
        <w:t>Provided</w:t>
      </w:r>
      <w:r w:rsidR="0013032F" w:rsidRPr="00255D8D">
        <w:t xml:space="preserve"> </w:t>
      </w:r>
      <w:r w:rsidRPr="00255D8D">
        <w:t>support</w:t>
      </w:r>
      <w:r w:rsidR="0013032F" w:rsidRPr="00255D8D">
        <w:t xml:space="preserve"> </w:t>
      </w:r>
      <w:r w:rsidRPr="00255D8D">
        <w:t>through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Investment</w:t>
      </w:r>
      <w:r w:rsidR="0013032F" w:rsidRPr="00255D8D">
        <w:t xml:space="preserve"> </w:t>
      </w:r>
      <w:r w:rsidRPr="00255D8D">
        <w:t>Fast-Track</w:t>
      </w:r>
      <w:r w:rsidR="0013032F" w:rsidRPr="00255D8D">
        <w:t xml:space="preserve"> </w:t>
      </w:r>
      <w:r w:rsidRPr="00255D8D">
        <w:t>Fund</w:t>
      </w:r>
      <w:r w:rsidR="0013032F" w:rsidRPr="00255D8D">
        <w:t xml:space="preserve"> </w:t>
      </w:r>
      <w:r w:rsidRPr="00255D8D">
        <w:t>for</w:t>
      </w:r>
      <w:r w:rsidR="0013032F" w:rsidRPr="00255D8D">
        <w:t xml:space="preserve"> </w:t>
      </w:r>
      <w:r w:rsidRPr="00255D8D">
        <w:t>Melbourne</w:t>
      </w:r>
      <w:r w:rsidR="0013032F" w:rsidRPr="00255D8D">
        <w:t xml:space="preserve"> </w:t>
      </w:r>
      <w:r w:rsidRPr="00255D8D">
        <w:t>University</w:t>
      </w:r>
      <w:r w:rsidR="0013032F" w:rsidRPr="00255D8D">
        <w:t xml:space="preserve"> </w:t>
      </w:r>
      <w:r w:rsidRPr="00255D8D">
        <w:t>to</w:t>
      </w:r>
      <w:r w:rsidR="0013032F" w:rsidRPr="00255D8D">
        <w:t xml:space="preserve"> </w:t>
      </w:r>
      <w:r w:rsidRPr="00255D8D">
        <w:t>undertake</w:t>
      </w:r>
      <w:r w:rsidR="0013032F" w:rsidRPr="00255D8D">
        <w:t xml:space="preserve"> </w:t>
      </w:r>
      <w:r w:rsidRPr="00255D8D">
        <w:t>a</w:t>
      </w:r>
      <w:r w:rsidR="0013032F" w:rsidRPr="00255D8D">
        <w:t xml:space="preserve"> </w:t>
      </w:r>
      <w:r w:rsidRPr="00255D8D">
        <w:t>design</w:t>
      </w:r>
      <w:r w:rsidR="0013032F" w:rsidRPr="00255D8D">
        <w:t xml:space="preserve"> </w:t>
      </w:r>
      <w:r w:rsidRPr="00255D8D">
        <w:t>study</w:t>
      </w:r>
      <w:r w:rsidR="0013032F" w:rsidRPr="00255D8D">
        <w:t xml:space="preserve"> </w:t>
      </w:r>
      <w:r w:rsidRPr="00255D8D">
        <w:t>for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Smart</w:t>
      </w:r>
      <w:r w:rsidR="0013032F" w:rsidRPr="00255D8D">
        <w:t xml:space="preserve"> </w:t>
      </w:r>
      <w:r w:rsidRPr="00255D8D">
        <w:t>Geothermal</w:t>
      </w:r>
      <w:r w:rsidR="0013032F" w:rsidRPr="00255D8D">
        <w:t xml:space="preserve"> </w:t>
      </w:r>
      <w:r w:rsidRPr="00255D8D">
        <w:t>Industrial</w:t>
      </w:r>
      <w:r w:rsidR="0013032F" w:rsidRPr="00255D8D">
        <w:t xml:space="preserve"> </w:t>
      </w:r>
      <w:r w:rsidRPr="00255D8D">
        <w:t>Loop</w:t>
      </w:r>
      <w:r w:rsidR="0013032F" w:rsidRPr="00255D8D">
        <w:t xml:space="preserve"> </w:t>
      </w:r>
      <w:r w:rsidRPr="00255D8D">
        <w:t>(SGIL)</w:t>
      </w:r>
      <w:r w:rsidR="0013032F" w:rsidRPr="00255D8D">
        <w:t xml:space="preserve"> </w:t>
      </w:r>
      <w:r w:rsidRPr="00255D8D">
        <w:t>with</w:t>
      </w:r>
      <w:r w:rsidR="0013032F" w:rsidRPr="00255D8D">
        <w:t xml:space="preserve"> </w:t>
      </w:r>
      <w:r w:rsidRPr="00255D8D">
        <w:t>a</w:t>
      </w:r>
      <w:r w:rsidR="0013032F" w:rsidRPr="00255D8D">
        <w:t xml:space="preserve"> </w:t>
      </w:r>
      <w:r w:rsidRPr="00255D8D">
        <w:t>focus</w:t>
      </w:r>
      <w:r w:rsidR="0013032F" w:rsidRPr="00255D8D">
        <w:t xml:space="preserve"> </w:t>
      </w:r>
      <w:r w:rsidRPr="00255D8D">
        <w:t>on</w:t>
      </w:r>
      <w:r w:rsidR="0013032F" w:rsidRPr="00255D8D">
        <w:t xml:space="preserve"> </w:t>
      </w:r>
      <w:r w:rsidRPr="00255D8D">
        <w:t>industrial-zoned</w:t>
      </w:r>
      <w:r w:rsidR="0013032F" w:rsidRPr="00255D8D">
        <w:t xml:space="preserve"> </w:t>
      </w:r>
      <w:r w:rsidRPr="00255D8D">
        <w:t>areas</w:t>
      </w:r>
      <w:r w:rsidR="0013032F" w:rsidRPr="00255D8D">
        <w:t xml:space="preserve"> </w:t>
      </w:r>
      <w:r w:rsidRPr="00255D8D">
        <w:t>of</w:t>
      </w:r>
      <w:r w:rsidR="0013032F" w:rsidRPr="00255D8D">
        <w:t xml:space="preserve"> </w:t>
      </w:r>
      <w:r w:rsidRPr="00255D8D">
        <w:t>Morwell,</w:t>
      </w:r>
      <w:r w:rsidR="0013032F" w:rsidRPr="00255D8D">
        <w:t xml:space="preserve"> </w:t>
      </w:r>
      <w:r w:rsidRPr="00255D8D">
        <w:t>to</w:t>
      </w:r>
      <w:r w:rsidR="0013032F" w:rsidRPr="00255D8D">
        <w:t xml:space="preserve"> </w:t>
      </w:r>
      <w:r w:rsidRPr="00255D8D">
        <w:t>advance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development</w:t>
      </w:r>
      <w:r w:rsidR="0013032F" w:rsidRPr="00255D8D">
        <w:t xml:space="preserve"> </w:t>
      </w:r>
      <w:r w:rsidRPr="00255D8D">
        <w:t>of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SGIL</w:t>
      </w:r>
      <w:r w:rsidR="0013032F" w:rsidRPr="00255D8D">
        <w:t xml:space="preserve"> </w:t>
      </w:r>
      <w:r w:rsidRPr="00255D8D">
        <w:t>to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pre-tender</w:t>
      </w:r>
      <w:r w:rsidR="0013032F" w:rsidRPr="00255D8D">
        <w:t xml:space="preserve"> </w:t>
      </w:r>
      <w:r w:rsidRPr="00255D8D">
        <w:t>stage.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aim</w:t>
      </w:r>
      <w:r w:rsidR="0013032F" w:rsidRPr="00255D8D">
        <w:t xml:space="preserve"> </w:t>
      </w:r>
      <w:r w:rsidRPr="00255D8D">
        <w:t>of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project</w:t>
      </w:r>
      <w:r w:rsidR="0013032F" w:rsidRPr="00255D8D">
        <w:t xml:space="preserve"> </w:t>
      </w:r>
      <w:r w:rsidRPr="00255D8D">
        <w:t>is</w:t>
      </w:r>
      <w:r w:rsidR="0013032F" w:rsidRPr="00255D8D">
        <w:t xml:space="preserve"> </w:t>
      </w:r>
      <w:r w:rsidRPr="00255D8D">
        <w:t>to</w:t>
      </w:r>
      <w:r w:rsidR="0013032F" w:rsidRPr="00255D8D">
        <w:t xml:space="preserve"> </w:t>
      </w:r>
      <w:r w:rsidRPr="00255D8D">
        <w:t>sustainably</w:t>
      </w:r>
      <w:r w:rsidR="0013032F" w:rsidRPr="00255D8D">
        <w:t xml:space="preserve"> </w:t>
      </w:r>
      <w:r w:rsidRPr="00255D8D">
        <w:t>develop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use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geothermal</w:t>
      </w:r>
      <w:r w:rsidR="0013032F" w:rsidRPr="00255D8D">
        <w:t xml:space="preserve"> </w:t>
      </w:r>
      <w:r w:rsidRPr="00255D8D">
        <w:t>resource</w:t>
      </w:r>
      <w:r w:rsidR="0013032F" w:rsidRPr="00255D8D">
        <w:t xml:space="preserve"> </w:t>
      </w:r>
      <w:r w:rsidRPr="00255D8D">
        <w:t>in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Latrobe</w:t>
      </w:r>
      <w:r w:rsidR="0013032F" w:rsidRPr="00255D8D">
        <w:t xml:space="preserve"> </w:t>
      </w:r>
      <w:r w:rsidRPr="00255D8D">
        <w:t>Valley</w:t>
      </w:r>
      <w:r w:rsidR="0013032F" w:rsidRPr="00255D8D">
        <w:t xml:space="preserve"> </w:t>
      </w:r>
      <w:r w:rsidRPr="00255D8D">
        <w:t>for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benefit</w:t>
      </w:r>
      <w:r w:rsidR="0013032F" w:rsidRPr="00255D8D">
        <w:t xml:space="preserve"> </w:t>
      </w:r>
      <w:r w:rsidRPr="00255D8D">
        <w:t>of</w:t>
      </w:r>
      <w:r w:rsidR="0013032F" w:rsidRPr="00255D8D">
        <w:t xml:space="preserve"> </w:t>
      </w:r>
      <w:r w:rsidRPr="00255D8D">
        <w:t>business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community.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findings</w:t>
      </w:r>
      <w:r w:rsidR="0013032F" w:rsidRPr="00255D8D">
        <w:t xml:space="preserve"> </w:t>
      </w:r>
      <w:r w:rsidRPr="00255D8D">
        <w:lastRenderedPageBreak/>
        <w:t>from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feasibility</w:t>
      </w:r>
      <w:r w:rsidR="0013032F" w:rsidRPr="00255D8D">
        <w:t xml:space="preserve"> </w:t>
      </w:r>
      <w:r w:rsidRPr="00255D8D">
        <w:t>study</w:t>
      </w:r>
      <w:r w:rsidR="0013032F" w:rsidRPr="00255D8D">
        <w:t xml:space="preserve"> </w:t>
      </w:r>
      <w:r w:rsidRPr="00255D8D">
        <w:t>will</w:t>
      </w:r>
      <w:r w:rsidR="0013032F" w:rsidRPr="00255D8D">
        <w:t xml:space="preserve"> </w:t>
      </w:r>
      <w:r w:rsidRPr="00255D8D">
        <w:t>be</w:t>
      </w:r>
      <w:r w:rsidR="0013032F" w:rsidRPr="00255D8D">
        <w:t xml:space="preserve"> </w:t>
      </w:r>
      <w:r w:rsidRPr="00255D8D">
        <w:t>available</w:t>
      </w:r>
      <w:r w:rsidR="0013032F" w:rsidRPr="00255D8D">
        <w:t xml:space="preserve"> </w:t>
      </w:r>
      <w:r w:rsidRPr="00255D8D">
        <w:t>late</w:t>
      </w:r>
      <w:r w:rsidR="0013032F" w:rsidRPr="00255D8D">
        <w:t xml:space="preserve"> </w:t>
      </w:r>
      <w:r w:rsidRPr="00255D8D">
        <w:t>2023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will</w:t>
      </w:r>
      <w:r w:rsidR="0013032F" w:rsidRPr="00255D8D">
        <w:t xml:space="preserve"> </w:t>
      </w:r>
      <w:r w:rsidRPr="00255D8D">
        <w:t>inform</w:t>
      </w:r>
      <w:r w:rsidR="0013032F" w:rsidRPr="00255D8D">
        <w:t xml:space="preserve"> </w:t>
      </w:r>
      <w:r w:rsidRPr="00255D8D">
        <w:t>further</w:t>
      </w:r>
      <w:r w:rsidR="0013032F" w:rsidRPr="00255D8D">
        <w:t xml:space="preserve"> </w:t>
      </w:r>
      <w:r w:rsidRPr="00255D8D">
        <w:t>investigation</w:t>
      </w:r>
      <w:r w:rsidR="0013032F" w:rsidRPr="00255D8D">
        <w:t xml:space="preserve"> </w:t>
      </w:r>
      <w:r w:rsidRPr="00255D8D">
        <w:t>into</w:t>
      </w:r>
      <w:r w:rsidR="0013032F" w:rsidRPr="00255D8D">
        <w:t xml:space="preserve"> </w:t>
      </w:r>
      <w:r w:rsidRPr="00255D8D">
        <w:t>detailed</w:t>
      </w:r>
      <w:r w:rsidR="0013032F" w:rsidRPr="00255D8D">
        <w:t xml:space="preserve"> </w:t>
      </w:r>
      <w:r w:rsidRPr="00255D8D">
        <w:t>design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governance</w:t>
      </w:r>
      <w:r w:rsidR="0013032F" w:rsidRPr="00255D8D">
        <w:t xml:space="preserve"> </w:t>
      </w:r>
      <w:r w:rsidRPr="00255D8D">
        <w:t>modelling.</w:t>
      </w:r>
    </w:p>
    <w:p w14:paraId="29DD7C6E" w14:textId="15320CB8" w:rsidR="00757772" w:rsidRPr="00255D8D" w:rsidRDefault="00305D3C" w:rsidP="00255D8D">
      <w:pPr>
        <w:pStyle w:val="Normalbeforebullets"/>
        <w:rPr>
          <w:b/>
          <w:bCs/>
        </w:rPr>
      </w:pPr>
      <w:r w:rsidRPr="00255D8D">
        <w:rPr>
          <w:b/>
          <w:bCs/>
        </w:rPr>
        <w:t>Energy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transition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project</w:t>
      </w:r>
    </w:p>
    <w:p w14:paraId="30FB41CF" w14:textId="13688A12" w:rsidR="00757772" w:rsidRPr="00255D8D" w:rsidRDefault="00305D3C" w:rsidP="00255D8D">
      <w:r w:rsidRPr="00255D8D">
        <w:t>Facilitated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development</w:t>
      </w:r>
      <w:r w:rsidR="0013032F" w:rsidRPr="00255D8D">
        <w:t xml:space="preserve"> </w:t>
      </w:r>
      <w:r w:rsidRPr="00255D8D">
        <w:t>of</w:t>
      </w:r>
      <w:r w:rsidR="0013032F" w:rsidRPr="00255D8D">
        <w:t xml:space="preserve"> </w:t>
      </w:r>
      <w:r w:rsidRPr="00255D8D">
        <w:t>Victoria’s</w:t>
      </w:r>
      <w:r w:rsidR="0013032F" w:rsidRPr="00255D8D">
        <w:t xml:space="preserve"> </w:t>
      </w:r>
      <w:r w:rsidRPr="00255D8D">
        <w:t>first</w:t>
      </w:r>
      <w:r w:rsidR="0013032F" w:rsidRPr="00255D8D">
        <w:t xml:space="preserve"> </w:t>
      </w:r>
      <w:r w:rsidRPr="00255D8D">
        <w:t>end-of-life</w:t>
      </w:r>
      <w:r w:rsidR="0013032F" w:rsidRPr="00255D8D">
        <w:t xml:space="preserve"> </w:t>
      </w:r>
      <w:r w:rsidRPr="00255D8D">
        <w:t>solar</w:t>
      </w:r>
      <w:r w:rsidR="0013032F" w:rsidRPr="00255D8D">
        <w:t xml:space="preserve"> </w:t>
      </w:r>
      <w:r w:rsidRPr="00255D8D">
        <w:t>panel</w:t>
      </w:r>
      <w:r w:rsidR="0013032F" w:rsidRPr="00255D8D">
        <w:t xml:space="preserve"> </w:t>
      </w:r>
      <w:r w:rsidRPr="00255D8D">
        <w:t>recycling</w:t>
      </w:r>
      <w:r w:rsidR="0013032F" w:rsidRPr="00255D8D">
        <w:t xml:space="preserve"> </w:t>
      </w:r>
      <w:r w:rsidRPr="00255D8D">
        <w:t>plant</w:t>
      </w:r>
      <w:r w:rsidR="0013032F" w:rsidRPr="00255D8D">
        <w:t xml:space="preserve"> </w:t>
      </w:r>
      <w:r w:rsidRPr="00255D8D">
        <w:t>at</w:t>
      </w:r>
      <w:r w:rsidR="0013032F" w:rsidRPr="00255D8D">
        <w:t xml:space="preserve"> </w:t>
      </w:r>
      <w:r w:rsidRPr="00255D8D">
        <w:t>Kilmany</w:t>
      </w:r>
      <w:r w:rsidR="0013032F" w:rsidRPr="00255D8D">
        <w:t xml:space="preserve"> </w:t>
      </w:r>
      <w:r w:rsidRPr="00255D8D">
        <w:t>near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Latrobe</w:t>
      </w:r>
      <w:r w:rsidR="0013032F" w:rsidRPr="00255D8D">
        <w:t xml:space="preserve"> </w:t>
      </w:r>
      <w:r w:rsidRPr="00255D8D">
        <w:t>Valley.</w:t>
      </w:r>
      <w:r w:rsidR="0013032F" w:rsidRPr="00255D8D">
        <w:t xml:space="preserve"> </w:t>
      </w:r>
      <w:r w:rsidRPr="00255D8D">
        <w:t>A</w:t>
      </w:r>
      <w:r w:rsidR="0013032F" w:rsidRPr="00255D8D">
        <w:t xml:space="preserve"> </w:t>
      </w:r>
      <w:r w:rsidRPr="00255D8D">
        <w:t>state</w:t>
      </w:r>
      <w:r w:rsidR="0013032F" w:rsidRPr="00255D8D">
        <w:t xml:space="preserve"> </w:t>
      </w:r>
      <w:r w:rsidRPr="00255D8D">
        <w:t>of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art</w:t>
      </w:r>
      <w:r w:rsidR="0013032F" w:rsidRPr="00255D8D">
        <w:t xml:space="preserve"> </w:t>
      </w:r>
      <w:r w:rsidRPr="00255D8D">
        <w:t>project</w:t>
      </w:r>
      <w:r w:rsidR="0013032F" w:rsidRPr="00255D8D">
        <w:t xml:space="preserve"> </w:t>
      </w:r>
      <w:r w:rsidRPr="00255D8D">
        <w:t>supporting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region’s</w:t>
      </w:r>
      <w:r w:rsidR="0013032F" w:rsidRPr="00255D8D">
        <w:t xml:space="preserve"> </w:t>
      </w:r>
      <w:r w:rsidRPr="00255D8D">
        <w:t>strategic</w:t>
      </w:r>
      <w:r w:rsidR="0013032F" w:rsidRPr="00255D8D">
        <w:t xml:space="preserve"> </w:t>
      </w:r>
      <w:r w:rsidRPr="00255D8D">
        <w:t>energy</w:t>
      </w:r>
      <w:r w:rsidR="0013032F" w:rsidRPr="00255D8D">
        <w:t xml:space="preserve"> </w:t>
      </w:r>
      <w:r w:rsidRPr="00255D8D">
        <w:t>transition,</w:t>
      </w:r>
      <w:r w:rsidR="0013032F" w:rsidRPr="00255D8D">
        <w:t xml:space="preserve"> </w:t>
      </w:r>
      <w:r w:rsidRPr="00255D8D">
        <w:t>along</w:t>
      </w:r>
      <w:r w:rsidR="0013032F" w:rsidRPr="00255D8D">
        <w:t xml:space="preserve"> </w:t>
      </w:r>
      <w:r w:rsidRPr="00255D8D">
        <w:t>with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creation</w:t>
      </w:r>
      <w:r w:rsidR="0013032F" w:rsidRPr="00255D8D">
        <w:t xml:space="preserve"> </w:t>
      </w:r>
      <w:r w:rsidRPr="00255D8D">
        <w:t>of</w:t>
      </w:r>
      <w:r w:rsidR="0013032F" w:rsidRPr="00255D8D">
        <w:t xml:space="preserve"> </w:t>
      </w:r>
      <w:r w:rsidRPr="00255D8D">
        <w:t>30</w:t>
      </w:r>
      <w:r w:rsidR="0013032F" w:rsidRPr="00255D8D">
        <w:t xml:space="preserve"> </w:t>
      </w:r>
      <w:r w:rsidRPr="00255D8D">
        <w:t>ongoing</w:t>
      </w:r>
      <w:r w:rsidR="0013032F" w:rsidRPr="00255D8D">
        <w:t xml:space="preserve"> </w:t>
      </w:r>
      <w:r w:rsidRPr="00255D8D">
        <w:t>jobs,</w:t>
      </w:r>
      <w:r w:rsidR="0013032F" w:rsidRPr="00255D8D">
        <w:t xml:space="preserve"> </w:t>
      </w:r>
      <w:proofErr w:type="spellStart"/>
      <w:r w:rsidRPr="00255D8D">
        <w:t>Elecsome</w:t>
      </w:r>
      <w:proofErr w:type="spellEnd"/>
      <w:r w:rsidR="0013032F" w:rsidRPr="00255D8D">
        <w:t xml:space="preserve"> </w:t>
      </w:r>
      <w:r w:rsidRPr="00255D8D">
        <w:t>Pty</w:t>
      </w:r>
      <w:r w:rsidR="0013032F" w:rsidRPr="00255D8D">
        <w:t xml:space="preserve"> </w:t>
      </w:r>
      <w:r w:rsidRPr="00255D8D">
        <w:t>Ltd</w:t>
      </w:r>
      <w:r w:rsidR="0013032F" w:rsidRPr="00255D8D">
        <w:t xml:space="preserve"> </w:t>
      </w:r>
      <w:r w:rsidRPr="00255D8D">
        <w:t>has</w:t>
      </w:r>
      <w:r w:rsidR="0013032F" w:rsidRPr="00255D8D">
        <w:t xml:space="preserve"> </w:t>
      </w:r>
      <w:r w:rsidRPr="00255D8D">
        <w:t>constructed</w:t>
      </w:r>
      <w:r w:rsidR="0013032F" w:rsidRPr="00255D8D">
        <w:t xml:space="preserve"> </w:t>
      </w:r>
      <w:r w:rsidRPr="00255D8D">
        <w:t>a</w:t>
      </w:r>
      <w:r w:rsidR="0013032F" w:rsidRPr="00255D8D">
        <w:t xml:space="preserve"> </w:t>
      </w:r>
      <w:r w:rsidRPr="00255D8D">
        <w:t>$3.65</w:t>
      </w:r>
      <w:r w:rsidR="0013032F" w:rsidRPr="00255D8D">
        <w:t xml:space="preserve"> </w:t>
      </w:r>
      <w:r w:rsidRPr="00255D8D">
        <w:t>million</w:t>
      </w:r>
      <w:r w:rsidR="0013032F" w:rsidRPr="00255D8D">
        <w:t xml:space="preserve"> </w:t>
      </w:r>
      <w:r w:rsidRPr="00255D8D">
        <w:t>facility</w:t>
      </w:r>
      <w:r w:rsidR="0013032F" w:rsidRPr="00255D8D">
        <w:t xml:space="preserve"> </w:t>
      </w:r>
      <w:r w:rsidRPr="00255D8D">
        <w:t>with</w:t>
      </w:r>
      <w:r w:rsidR="0013032F" w:rsidRPr="00255D8D">
        <w:t xml:space="preserve"> </w:t>
      </w:r>
      <w:r w:rsidRPr="00255D8D">
        <w:t>a</w:t>
      </w:r>
      <w:r w:rsidR="0013032F" w:rsidRPr="00255D8D">
        <w:t xml:space="preserve"> </w:t>
      </w:r>
      <w:r w:rsidRPr="00255D8D">
        <w:t>target</w:t>
      </w:r>
      <w:r w:rsidR="0013032F" w:rsidRPr="00255D8D">
        <w:t xml:space="preserve"> </w:t>
      </w:r>
      <w:r w:rsidRPr="00255D8D">
        <w:t>capacity</w:t>
      </w:r>
      <w:r w:rsidR="0013032F" w:rsidRPr="00255D8D">
        <w:t xml:space="preserve"> </w:t>
      </w:r>
      <w:r w:rsidRPr="00255D8D">
        <w:t>of</w:t>
      </w:r>
      <w:r w:rsidR="0013032F" w:rsidRPr="00255D8D">
        <w:t xml:space="preserve"> </w:t>
      </w:r>
      <w:r w:rsidRPr="00255D8D">
        <w:t>180</w:t>
      </w:r>
      <w:r w:rsidR="0013032F" w:rsidRPr="00255D8D">
        <w:t xml:space="preserve"> </w:t>
      </w:r>
      <w:proofErr w:type="spellStart"/>
      <w:r w:rsidRPr="00255D8D">
        <w:t>kilotonne</w:t>
      </w:r>
      <w:proofErr w:type="spellEnd"/>
      <w:r w:rsidR="0013032F" w:rsidRPr="00255D8D">
        <w:t xml:space="preserve"> </w:t>
      </w:r>
      <w:r w:rsidRPr="00255D8D">
        <w:t>(kt)</w:t>
      </w:r>
      <w:r w:rsidR="0013032F" w:rsidRPr="00255D8D">
        <w:t xml:space="preserve"> </w:t>
      </w:r>
      <w:r w:rsidRPr="00255D8D">
        <w:t>of</w:t>
      </w:r>
      <w:r w:rsidR="0013032F" w:rsidRPr="00255D8D">
        <w:t xml:space="preserve"> </w:t>
      </w:r>
      <w:r w:rsidRPr="00255D8D">
        <w:t>waste</w:t>
      </w:r>
      <w:r w:rsidR="0013032F" w:rsidRPr="00255D8D">
        <w:t xml:space="preserve"> </w:t>
      </w:r>
      <w:r w:rsidRPr="00255D8D">
        <w:t>processing</w:t>
      </w:r>
      <w:r w:rsidR="0013032F" w:rsidRPr="00255D8D">
        <w:t xml:space="preserve"> </w:t>
      </w:r>
      <w:r w:rsidRPr="00255D8D">
        <w:t>per</w:t>
      </w:r>
      <w:r w:rsidR="0013032F" w:rsidRPr="00255D8D">
        <w:t xml:space="preserve"> </w:t>
      </w:r>
      <w:r w:rsidRPr="00255D8D">
        <w:t>annum.</w:t>
      </w:r>
      <w:r w:rsidR="0013032F" w:rsidRPr="00255D8D">
        <w:t xml:space="preserve"> </w:t>
      </w:r>
      <w:r w:rsidRPr="00255D8D">
        <w:t>It</w:t>
      </w:r>
      <w:r w:rsidR="0013032F" w:rsidRPr="00255D8D">
        <w:t xml:space="preserve"> </w:t>
      </w:r>
      <w:r w:rsidRPr="00255D8D">
        <w:t>leverages</w:t>
      </w:r>
      <w:r w:rsidR="0013032F" w:rsidRPr="00255D8D">
        <w:t xml:space="preserve"> </w:t>
      </w:r>
      <w:r w:rsidRPr="00255D8D">
        <w:t>innovative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advanced</w:t>
      </w:r>
      <w:r w:rsidR="0013032F" w:rsidRPr="00255D8D">
        <w:t xml:space="preserve"> </w:t>
      </w:r>
      <w:r w:rsidRPr="00255D8D">
        <w:t>technology</w:t>
      </w:r>
      <w:r w:rsidR="0013032F" w:rsidRPr="00255D8D">
        <w:t xml:space="preserve"> </w:t>
      </w:r>
      <w:r w:rsidRPr="00255D8D">
        <w:t>to</w:t>
      </w:r>
      <w:r w:rsidR="0013032F" w:rsidRPr="00255D8D">
        <w:t xml:space="preserve"> </w:t>
      </w:r>
      <w:r w:rsidRPr="00255D8D">
        <w:t>achieve</w:t>
      </w:r>
      <w:r w:rsidR="0013032F" w:rsidRPr="00255D8D">
        <w:t xml:space="preserve"> </w:t>
      </w:r>
      <w:r w:rsidRPr="00255D8D">
        <w:t>up</w:t>
      </w:r>
      <w:r w:rsidR="0013032F" w:rsidRPr="00255D8D">
        <w:t xml:space="preserve"> </w:t>
      </w:r>
      <w:r w:rsidRPr="00255D8D">
        <w:t>to</w:t>
      </w:r>
      <w:r w:rsidR="0013032F" w:rsidRPr="00255D8D">
        <w:t xml:space="preserve"> </w:t>
      </w:r>
      <w:r w:rsidRPr="00255D8D">
        <w:t>98%</w:t>
      </w:r>
      <w:r w:rsidR="0013032F" w:rsidRPr="00255D8D">
        <w:t xml:space="preserve"> </w:t>
      </w:r>
      <w:r w:rsidRPr="00255D8D">
        <w:t>extraction</w:t>
      </w:r>
      <w:r w:rsidR="0013032F" w:rsidRPr="00255D8D">
        <w:t xml:space="preserve"> </w:t>
      </w:r>
      <w:r w:rsidRPr="00255D8D">
        <w:t>from</w:t>
      </w:r>
      <w:r w:rsidR="0013032F" w:rsidRPr="00255D8D">
        <w:t xml:space="preserve"> </w:t>
      </w:r>
      <w:r w:rsidRPr="00255D8D">
        <w:t>end-of-life</w:t>
      </w:r>
      <w:r w:rsidR="0013032F" w:rsidRPr="00255D8D">
        <w:t xml:space="preserve"> </w:t>
      </w:r>
      <w:r w:rsidRPr="00255D8D">
        <w:t>(EOL)</w:t>
      </w:r>
      <w:r w:rsidR="0013032F" w:rsidRPr="00255D8D">
        <w:t xml:space="preserve"> </w:t>
      </w:r>
      <w:r w:rsidRPr="00255D8D">
        <w:t>solar</w:t>
      </w:r>
      <w:r w:rsidR="0013032F" w:rsidRPr="00255D8D">
        <w:t xml:space="preserve"> </w:t>
      </w:r>
      <w:r w:rsidRPr="00255D8D">
        <w:t>panels.</w:t>
      </w:r>
    </w:p>
    <w:p w14:paraId="6BE91084" w14:textId="77777777" w:rsidR="00757772" w:rsidRDefault="00305D3C" w:rsidP="00255D8D">
      <w:pPr>
        <w:pStyle w:val="Heading2"/>
      </w:pPr>
      <w:bookmarkStart w:id="47" w:name="_Toc149566593"/>
      <w:r>
        <w:t>Grampians</w:t>
      </w:r>
      <w:bookmarkEnd w:id="47"/>
    </w:p>
    <w:p w14:paraId="672B8605" w14:textId="2C6FF095" w:rsidR="00757772" w:rsidRDefault="00305D3C" w:rsidP="00255D8D">
      <w:pPr>
        <w:pStyle w:val="Heading3"/>
      </w:pPr>
      <w:r>
        <w:t>Regional</w:t>
      </w:r>
      <w:r w:rsidR="0013032F">
        <w:t xml:space="preserve"> </w:t>
      </w:r>
      <w:r>
        <w:t>Director’s</w:t>
      </w:r>
      <w:r w:rsidR="0013032F">
        <w:t xml:space="preserve"> </w:t>
      </w:r>
      <w:r>
        <w:t>report</w:t>
      </w:r>
      <w:r w:rsidR="0013032F">
        <w:t xml:space="preserve"> </w:t>
      </w:r>
    </w:p>
    <w:p w14:paraId="0BC16794" w14:textId="070D827C" w:rsidR="00757772" w:rsidRPr="00255D8D" w:rsidRDefault="00305D3C" w:rsidP="00255D8D">
      <w:r w:rsidRPr="00255D8D">
        <w:t>The</w:t>
      </w:r>
      <w:r w:rsidR="0013032F" w:rsidRPr="00255D8D">
        <w:t xml:space="preserve"> </w:t>
      </w:r>
      <w:r w:rsidRPr="00255D8D">
        <w:t>2022–23</w:t>
      </w:r>
      <w:r w:rsidR="0013032F" w:rsidRPr="00255D8D">
        <w:t xml:space="preserve"> </w:t>
      </w:r>
      <w:r w:rsidRPr="00255D8D">
        <w:t>financial</w:t>
      </w:r>
      <w:r w:rsidR="0013032F" w:rsidRPr="00255D8D">
        <w:t xml:space="preserve"> </w:t>
      </w:r>
      <w:r w:rsidRPr="00255D8D">
        <w:t>year</w:t>
      </w:r>
      <w:r w:rsidR="0013032F" w:rsidRPr="00255D8D">
        <w:t xml:space="preserve"> </w:t>
      </w:r>
      <w:r w:rsidRPr="00255D8D">
        <w:t>has</w:t>
      </w:r>
      <w:r w:rsidR="0013032F" w:rsidRPr="00255D8D">
        <w:t xml:space="preserve"> </w:t>
      </w:r>
      <w:r w:rsidRPr="00255D8D">
        <w:t>been</w:t>
      </w:r>
      <w:r w:rsidR="0013032F" w:rsidRPr="00255D8D">
        <w:t xml:space="preserve"> </w:t>
      </w:r>
      <w:r w:rsidRPr="00255D8D">
        <w:t>a</w:t>
      </w:r>
      <w:r w:rsidR="0013032F" w:rsidRPr="00255D8D">
        <w:t xml:space="preserve"> </w:t>
      </w:r>
      <w:r w:rsidRPr="00255D8D">
        <w:t>time</w:t>
      </w:r>
      <w:r w:rsidR="0013032F" w:rsidRPr="00255D8D">
        <w:t xml:space="preserve"> </w:t>
      </w:r>
      <w:r w:rsidRPr="00255D8D">
        <w:t>of</w:t>
      </w:r>
      <w:r w:rsidR="0013032F" w:rsidRPr="00255D8D">
        <w:t xml:space="preserve"> </w:t>
      </w:r>
      <w:r w:rsidRPr="00255D8D">
        <w:t>rapid</w:t>
      </w:r>
      <w:r w:rsidR="0013032F" w:rsidRPr="00255D8D">
        <w:t xml:space="preserve"> </w:t>
      </w:r>
      <w:r w:rsidRPr="00255D8D">
        <w:t>population</w:t>
      </w:r>
      <w:r w:rsidR="0013032F" w:rsidRPr="00255D8D">
        <w:t xml:space="preserve"> </w:t>
      </w:r>
      <w:r w:rsidRPr="00255D8D">
        <w:t>growth</w:t>
      </w:r>
      <w:r w:rsidR="0013032F" w:rsidRPr="00255D8D">
        <w:t xml:space="preserve"> </w:t>
      </w:r>
      <w:r w:rsidRPr="00255D8D">
        <w:t>in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Central</w:t>
      </w:r>
      <w:r w:rsidR="0013032F" w:rsidRPr="00255D8D">
        <w:t xml:space="preserve"> </w:t>
      </w:r>
      <w:r w:rsidRPr="00255D8D">
        <w:t>Highlands</w:t>
      </w:r>
      <w:r w:rsidR="0013032F" w:rsidRPr="00255D8D">
        <w:t xml:space="preserve"> </w:t>
      </w:r>
      <w:r w:rsidRPr="00255D8D">
        <w:t>region,</w:t>
      </w:r>
      <w:r w:rsidR="0013032F" w:rsidRPr="00255D8D">
        <w:t xml:space="preserve"> </w:t>
      </w:r>
      <w:r w:rsidRPr="00255D8D">
        <w:t>particularly</w:t>
      </w:r>
      <w:r w:rsidR="0013032F" w:rsidRPr="00255D8D">
        <w:t xml:space="preserve"> </w:t>
      </w:r>
      <w:r w:rsidRPr="00255D8D">
        <w:t>in</w:t>
      </w:r>
      <w:r w:rsidR="0013032F" w:rsidRPr="00255D8D">
        <w:t xml:space="preserve"> </w:t>
      </w:r>
      <w:r w:rsidRPr="00255D8D">
        <w:t>Ballarat</w:t>
      </w:r>
      <w:r w:rsidR="0013032F" w:rsidRPr="00255D8D">
        <w:t xml:space="preserve"> </w:t>
      </w:r>
      <w:r w:rsidRPr="00255D8D">
        <w:t>as</w:t>
      </w:r>
      <w:r w:rsidR="0013032F" w:rsidRPr="00255D8D">
        <w:t xml:space="preserve"> </w:t>
      </w:r>
      <w:r w:rsidRPr="00255D8D">
        <w:t>more</w:t>
      </w:r>
      <w:r w:rsidR="0013032F" w:rsidRPr="00255D8D">
        <w:t xml:space="preserve"> </w:t>
      </w:r>
      <w:r w:rsidRPr="00255D8D">
        <w:t>people</w:t>
      </w:r>
      <w:r w:rsidR="0013032F" w:rsidRPr="00255D8D">
        <w:t xml:space="preserve"> </w:t>
      </w:r>
      <w:r w:rsidRPr="00255D8D">
        <w:t>discover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advantages</w:t>
      </w:r>
      <w:r w:rsidR="0013032F" w:rsidRPr="00255D8D">
        <w:t xml:space="preserve"> </w:t>
      </w:r>
      <w:r w:rsidRPr="00255D8D">
        <w:t>of</w:t>
      </w:r>
      <w:r w:rsidR="0013032F" w:rsidRPr="00255D8D">
        <w:t xml:space="preserve"> </w:t>
      </w:r>
      <w:r w:rsidRPr="00255D8D">
        <w:t>living</w:t>
      </w:r>
      <w:r w:rsidR="0013032F" w:rsidRPr="00255D8D">
        <w:t xml:space="preserve"> </w:t>
      </w:r>
      <w:r w:rsidRPr="00255D8D">
        <w:t>in</w:t>
      </w:r>
      <w:r w:rsidR="0013032F" w:rsidRPr="00255D8D">
        <w:t xml:space="preserve"> </w:t>
      </w:r>
      <w:r w:rsidRPr="00255D8D">
        <w:t>regional</w:t>
      </w:r>
      <w:r w:rsidR="0013032F" w:rsidRPr="00255D8D">
        <w:t xml:space="preserve"> </w:t>
      </w:r>
      <w:r w:rsidRPr="00255D8D">
        <w:t>Victoria.</w:t>
      </w:r>
      <w:r w:rsidR="0013032F" w:rsidRPr="00255D8D">
        <w:t xml:space="preserve"> </w:t>
      </w:r>
      <w:r w:rsidRPr="00255D8D">
        <w:t>Across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Wimmera,</w:t>
      </w:r>
      <w:r w:rsidR="0013032F" w:rsidRPr="00255D8D">
        <w:t xml:space="preserve"> </w:t>
      </w:r>
      <w:r w:rsidRPr="00255D8D">
        <w:t>population</w:t>
      </w:r>
      <w:r w:rsidR="0013032F" w:rsidRPr="00255D8D">
        <w:t xml:space="preserve"> </w:t>
      </w:r>
      <w:r w:rsidRPr="00255D8D">
        <w:t>numbers</w:t>
      </w:r>
      <w:r w:rsidR="0013032F" w:rsidRPr="00255D8D">
        <w:t xml:space="preserve"> </w:t>
      </w:r>
      <w:r w:rsidRPr="00255D8D">
        <w:t>have</w:t>
      </w:r>
      <w:r w:rsidR="0013032F" w:rsidRPr="00255D8D">
        <w:t xml:space="preserve"> </w:t>
      </w:r>
      <w:r w:rsidRPr="00255D8D">
        <w:t>tended</w:t>
      </w:r>
      <w:r w:rsidR="0013032F" w:rsidRPr="00255D8D">
        <w:t xml:space="preserve"> </w:t>
      </w:r>
      <w:r w:rsidRPr="00255D8D">
        <w:t>to</w:t>
      </w:r>
      <w:r w:rsidR="0013032F" w:rsidRPr="00255D8D">
        <w:t xml:space="preserve"> </w:t>
      </w:r>
      <w:r w:rsidRPr="00255D8D">
        <w:t>stabilise.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RDV</w:t>
      </w:r>
      <w:r w:rsidR="0013032F" w:rsidRPr="00255D8D">
        <w:t xml:space="preserve"> </w:t>
      </w:r>
      <w:r w:rsidRPr="00255D8D">
        <w:t>Grampians</w:t>
      </w:r>
      <w:r w:rsidR="0013032F" w:rsidRPr="00255D8D">
        <w:t xml:space="preserve"> </w:t>
      </w:r>
      <w:r w:rsidRPr="00255D8D">
        <w:t>team</w:t>
      </w:r>
      <w:r w:rsidR="0013032F" w:rsidRPr="00255D8D">
        <w:t xml:space="preserve"> </w:t>
      </w:r>
      <w:r w:rsidRPr="00255D8D">
        <w:t>has</w:t>
      </w:r>
      <w:r w:rsidR="0013032F" w:rsidRPr="00255D8D">
        <w:t xml:space="preserve"> </w:t>
      </w:r>
      <w:r w:rsidRPr="00255D8D">
        <w:t>supported</w:t>
      </w:r>
      <w:r w:rsidR="0013032F" w:rsidRPr="00255D8D">
        <w:t xml:space="preserve"> </w:t>
      </w:r>
      <w:r w:rsidRPr="00255D8D">
        <w:t>our</w:t>
      </w:r>
      <w:r w:rsidR="0013032F" w:rsidRPr="00255D8D">
        <w:t xml:space="preserve"> </w:t>
      </w:r>
      <w:r w:rsidRPr="00255D8D">
        <w:t>communities</w:t>
      </w:r>
      <w:r w:rsidR="0013032F" w:rsidRPr="00255D8D">
        <w:t xml:space="preserve"> </w:t>
      </w:r>
      <w:r w:rsidRPr="00255D8D">
        <w:t>to</w:t>
      </w:r>
      <w:r w:rsidR="0013032F" w:rsidRPr="00255D8D">
        <w:t xml:space="preserve"> </w:t>
      </w:r>
      <w:r w:rsidRPr="00255D8D">
        <w:t>embrace</w:t>
      </w:r>
      <w:r w:rsidR="0013032F" w:rsidRPr="00255D8D">
        <w:t xml:space="preserve"> </w:t>
      </w:r>
      <w:r w:rsidRPr="00255D8D">
        <w:t>new-found</w:t>
      </w:r>
      <w:r w:rsidR="0013032F" w:rsidRPr="00255D8D">
        <w:t xml:space="preserve"> </w:t>
      </w:r>
      <w:r w:rsidRPr="00255D8D">
        <w:t>opportunities</w:t>
      </w:r>
      <w:r w:rsidR="0013032F" w:rsidRPr="00255D8D">
        <w:t xml:space="preserve"> </w:t>
      </w:r>
      <w:r w:rsidRPr="00255D8D">
        <w:t>for</w:t>
      </w:r>
      <w:r w:rsidR="0013032F" w:rsidRPr="00255D8D">
        <w:t xml:space="preserve"> </w:t>
      </w:r>
      <w:r w:rsidRPr="00255D8D">
        <w:t>investment,</w:t>
      </w:r>
      <w:r w:rsidR="0013032F" w:rsidRPr="00255D8D">
        <w:t xml:space="preserve"> </w:t>
      </w:r>
      <w:r w:rsidRPr="00255D8D">
        <w:t>growth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liveability.</w:t>
      </w:r>
    </w:p>
    <w:p w14:paraId="15AF529D" w14:textId="1C35E406" w:rsidR="00757772" w:rsidRPr="00255D8D" w:rsidRDefault="00305D3C" w:rsidP="00255D8D">
      <w:r w:rsidRPr="00255D8D">
        <w:t>The</w:t>
      </w:r>
      <w:r w:rsidR="0013032F" w:rsidRPr="00255D8D">
        <w:t xml:space="preserve"> </w:t>
      </w:r>
      <w:r w:rsidRPr="00255D8D">
        <w:t>2</w:t>
      </w:r>
      <w:r w:rsidR="0013032F" w:rsidRPr="00255D8D">
        <w:t xml:space="preserve"> </w:t>
      </w:r>
      <w:r w:rsidRPr="00255D8D">
        <w:t>Regional</w:t>
      </w:r>
      <w:r w:rsidR="0013032F" w:rsidRPr="00255D8D">
        <w:t xml:space="preserve"> </w:t>
      </w:r>
      <w:r w:rsidRPr="00255D8D">
        <w:t>Economic</w:t>
      </w:r>
      <w:r w:rsidR="0013032F" w:rsidRPr="00255D8D">
        <w:t xml:space="preserve"> </w:t>
      </w:r>
      <w:r w:rsidRPr="00255D8D">
        <w:t>Development</w:t>
      </w:r>
      <w:r w:rsidR="0013032F" w:rsidRPr="00255D8D">
        <w:t xml:space="preserve"> </w:t>
      </w:r>
      <w:r w:rsidRPr="00255D8D">
        <w:t>Strategies</w:t>
      </w:r>
      <w:r w:rsidR="0013032F" w:rsidRPr="00255D8D">
        <w:t xml:space="preserve"> </w:t>
      </w:r>
      <w:r w:rsidRPr="00255D8D">
        <w:t>for</w:t>
      </w:r>
      <w:r w:rsidR="0013032F" w:rsidRPr="00255D8D">
        <w:t xml:space="preserve"> </w:t>
      </w:r>
      <w:r w:rsidRPr="00255D8D">
        <w:t>our</w:t>
      </w:r>
      <w:r w:rsidR="0013032F" w:rsidRPr="00255D8D">
        <w:t xml:space="preserve"> </w:t>
      </w:r>
      <w:r w:rsidRPr="00255D8D">
        <w:t>region</w:t>
      </w:r>
      <w:r w:rsidR="0013032F" w:rsidRPr="00255D8D">
        <w:t xml:space="preserve"> </w:t>
      </w:r>
      <w:r w:rsidRPr="00255D8D">
        <w:t>continue</w:t>
      </w:r>
      <w:r w:rsidR="0013032F" w:rsidRPr="00255D8D">
        <w:t xml:space="preserve"> </w:t>
      </w:r>
      <w:r w:rsidRPr="00255D8D">
        <w:t>to</w:t>
      </w:r>
      <w:r w:rsidR="0013032F" w:rsidRPr="00255D8D">
        <w:t xml:space="preserve"> </w:t>
      </w:r>
      <w:r w:rsidRPr="00255D8D">
        <w:t>provide</w:t>
      </w:r>
      <w:r w:rsidR="0013032F" w:rsidRPr="00255D8D">
        <w:t xml:space="preserve"> </w:t>
      </w:r>
      <w:r w:rsidRPr="00255D8D">
        <w:t>clear</w:t>
      </w:r>
      <w:r w:rsidR="0013032F" w:rsidRPr="00255D8D">
        <w:t xml:space="preserve"> </w:t>
      </w:r>
      <w:r w:rsidRPr="00255D8D">
        <w:t>direction</w:t>
      </w:r>
      <w:r w:rsidR="0013032F" w:rsidRPr="00255D8D">
        <w:t xml:space="preserve"> </w:t>
      </w:r>
      <w:r w:rsidRPr="00255D8D">
        <w:t>–</w:t>
      </w:r>
      <w:r w:rsidR="0013032F" w:rsidRPr="00255D8D">
        <w:t xml:space="preserve"> </w:t>
      </w:r>
      <w:r w:rsidRPr="00255D8D">
        <w:t>guiding</w:t>
      </w:r>
      <w:r w:rsidR="0013032F" w:rsidRPr="00255D8D">
        <w:t xml:space="preserve"> </w:t>
      </w:r>
      <w:r w:rsidRPr="00255D8D">
        <w:t>investment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support</w:t>
      </w:r>
      <w:r w:rsidR="0013032F" w:rsidRPr="00255D8D">
        <w:t xml:space="preserve"> </w:t>
      </w:r>
      <w:r w:rsidRPr="00255D8D">
        <w:t>that</w:t>
      </w:r>
      <w:r w:rsidR="0013032F" w:rsidRPr="00255D8D">
        <w:t xml:space="preserve"> </w:t>
      </w:r>
      <w:r w:rsidRPr="00255D8D">
        <w:t>will</w:t>
      </w:r>
      <w:r w:rsidR="0013032F" w:rsidRPr="00255D8D">
        <w:t xml:space="preserve"> </w:t>
      </w:r>
      <w:r w:rsidRPr="00255D8D">
        <w:t>effectively</w:t>
      </w:r>
      <w:r w:rsidR="0013032F" w:rsidRPr="00255D8D">
        <w:t xml:space="preserve"> </w:t>
      </w:r>
      <w:r w:rsidRPr="00255D8D">
        <w:t>capitalise</w:t>
      </w:r>
      <w:r w:rsidR="0013032F" w:rsidRPr="00255D8D">
        <w:t xml:space="preserve"> </w:t>
      </w:r>
      <w:r w:rsidRPr="00255D8D">
        <w:t>on</w:t>
      </w:r>
      <w:r w:rsidR="0013032F" w:rsidRPr="00255D8D">
        <w:t xml:space="preserve"> </w:t>
      </w:r>
      <w:r w:rsidRPr="00255D8D">
        <w:t>our</w:t>
      </w:r>
      <w:r w:rsidR="0013032F" w:rsidRPr="00255D8D">
        <w:t xml:space="preserve"> </w:t>
      </w:r>
      <w:r w:rsidRPr="00255D8D">
        <w:t>region’s</w:t>
      </w:r>
      <w:r w:rsidR="0013032F" w:rsidRPr="00255D8D">
        <w:t xml:space="preserve"> </w:t>
      </w:r>
      <w:r w:rsidRPr="00255D8D">
        <w:t>attributes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address</w:t>
      </w:r>
      <w:r w:rsidR="0013032F" w:rsidRPr="00255D8D">
        <w:t xml:space="preserve"> </w:t>
      </w:r>
      <w:r w:rsidRPr="00255D8D">
        <w:t>challenges.</w:t>
      </w:r>
      <w:r w:rsidR="0013032F" w:rsidRPr="00255D8D">
        <w:t xml:space="preserve"> </w:t>
      </w:r>
      <w:r w:rsidRPr="00255D8D">
        <w:t>This</w:t>
      </w:r>
      <w:r w:rsidR="0013032F" w:rsidRPr="00255D8D">
        <w:t xml:space="preserve"> </w:t>
      </w:r>
      <w:r w:rsidRPr="00255D8D">
        <w:t>was</w:t>
      </w:r>
      <w:r w:rsidR="0013032F" w:rsidRPr="00255D8D">
        <w:t xml:space="preserve"> </w:t>
      </w:r>
      <w:r w:rsidRPr="00255D8D">
        <w:t>evident</w:t>
      </w:r>
      <w:r w:rsidR="0013032F" w:rsidRPr="00255D8D">
        <w:t xml:space="preserve"> </w:t>
      </w:r>
      <w:r w:rsidRPr="00255D8D">
        <w:t>in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Wimmera</w:t>
      </w:r>
      <w:r w:rsidR="0013032F" w:rsidRPr="00255D8D">
        <w:t xml:space="preserve"> </w:t>
      </w:r>
      <w:r w:rsidRPr="00255D8D">
        <w:t>Southern</w:t>
      </w:r>
      <w:r w:rsidR="0013032F" w:rsidRPr="00255D8D">
        <w:t xml:space="preserve"> </w:t>
      </w:r>
      <w:r w:rsidRPr="00255D8D">
        <w:t>Mallee</w:t>
      </w:r>
      <w:r w:rsidR="0013032F" w:rsidRPr="00255D8D">
        <w:t xml:space="preserve"> </w:t>
      </w:r>
      <w:r w:rsidRPr="00255D8D">
        <w:t>where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REDS</w:t>
      </w:r>
      <w:r w:rsidR="0013032F" w:rsidRPr="00255D8D">
        <w:t xml:space="preserve"> </w:t>
      </w:r>
      <w:r w:rsidRPr="00255D8D">
        <w:t>highlighted</w:t>
      </w:r>
      <w:r w:rsidR="0013032F" w:rsidRPr="00255D8D">
        <w:t xml:space="preserve"> </w:t>
      </w:r>
      <w:r w:rsidRPr="00255D8D">
        <w:t>strengthening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diversifying</w:t>
      </w:r>
      <w:r w:rsidR="0013032F" w:rsidRPr="00255D8D">
        <w:t xml:space="preserve"> </w:t>
      </w:r>
      <w:r w:rsidRPr="00255D8D">
        <w:t>local</w:t>
      </w:r>
      <w:r w:rsidR="0013032F" w:rsidRPr="00255D8D">
        <w:t xml:space="preserve"> </w:t>
      </w:r>
      <w:r w:rsidRPr="00255D8D">
        <w:t>agriculture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food</w:t>
      </w:r>
      <w:r w:rsidR="0013032F" w:rsidRPr="00255D8D">
        <w:t xml:space="preserve"> </w:t>
      </w:r>
      <w:r w:rsidRPr="00255D8D">
        <w:t>produce</w:t>
      </w:r>
      <w:r w:rsidR="0013032F" w:rsidRPr="00255D8D">
        <w:t xml:space="preserve"> </w:t>
      </w:r>
      <w:r w:rsidRPr="00255D8D">
        <w:t>manufacturing</w:t>
      </w:r>
      <w:r w:rsidR="0013032F" w:rsidRPr="00255D8D">
        <w:t xml:space="preserve"> </w:t>
      </w:r>
      <w:r w:rsidRPr="00255D8D">
        <w:t>as</w:t>
      </w:r>
      <w:r w:rsidR="0013032F" w:rsidRPr="00255D8D">
        <w:t xml:space="preserve"> </w:t>
      </w:r>
      <w:r w:rsidRPr="00255D8D">
        <w:t>a</w:t>
      </w:r>
      <w:r w:rsidR="0013032F" w:rsidRPr="00255D8D">
        <w:t xml:space="preserve"> </w:t>
      </w:r>
      <w:r w:rsidRPr="00255D8D">
        <w:t>strategic</w:t>
      </w:r>
      <w:r w:rsidR="0013032F" w:rsidRPr="00255D8D">
        <w:t xml:space="preserve"> </w:t>
      </w:r>
      <w:r w:rsidRPr="00255D8D">
        <w:t>direction</w:t>
      </w:r>
      <w:r w:rsidR="0013032F" w:rsidRPr="00255D8D">
        <w:t xml:space="preserve"> </w:t>
      </w:r>
      <w:r w:rsidRPr="00255D8D">
        <w:t>for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region.</w:t>
      </w:r>
    </w:p>
    <w:p w14:paraId="02010D35" w14:textId="152AEE21" w:rsidR="00757772" w:rsidRPr="00255D8D" w:rsidRDefault="00305D3C" w:rsidP="00255D8D">
      <w:r w:rsidRPr="00255D8D">
        <w:t>The</w:t>
      </w:r>
      <w:r w:rsidR="0013032F" w:rsidRPr="00255D8D">
        <w:t xml:space="preserve"> </w:t>
      </w:r>
      <w:r w:rsidRPr="00255D8D">
        <w:t>year</w:t>
      </w:r>
      <w:r w:rsidR="0013032F" w:rsidRPr="00255D8D">
        <w:t xml:space="preserve"> </w:t>
      </w:r>
      <w:r w:rsidRPr="00255D8D">
        <w:t>has</w:t>
      </w:r>
      <w:r w:rsidR="0013032F" w:rsidRPr="00255D8D">
        <w:t xml:space="preserve"> </w:t>
      </w:r>
      <w:r w:rsidRPr="00255D8D">
        <w:t>not</w:t>
      </w:r>
      <w:r w:rsidR="0013032F" w:rsidRPr="00255D8D">
        <w:t xml:space="preserve"> </w:t>
      </w:r>
      <w:r w:rsidRPr="00255D8D">
        <w:t>been</w:t>
      </w:r>
      <w:r w:rsidR="0013032F" w:rsidRPr="00255D8D">
        <w:t xml:space="preserve"> </w:t>
      </w:r>
      <w:r w:rsidRPr="00255D8D">
        <w:t>without</w:t>
      </w:r>
      <w:r w:rsidR="0013032F" w:rsidRPr="00255D8D">
        <w:t xml:space="preserve"> </w:t>
      </w:r>
      <w:r w:rsidRPr="00255D8D">
        <w:t>its</w:t>
      </w:r>
      <w:r w:rsidR="0013032F" w:rsidRPr="00255D8D">
        <w:t xml:space="preserve"> </w:t>
      </w:r>
      <w:r w:rsidRPr="00255D8D">
        <w:t>adversities.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floods</w:t>
      </w:r>
      <w:r w:rsidR="0013032F" w:rsidRPr="00255D8D">
        <w:t xml:space="preserve"> </w:t>
      </w:r>
      <w:r w:rsidRPr="00255D8D">
        <w:t>in</w:t>
      </w:r>
      <w:r w:rsidR="0013032F" w:rsidRPr="00255D8D">
        <w:t xml:space="preserve"> </w:t>
      </w:r>
      <w:r w:rsidRPr="00255D8D">
        <w:t>October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November</w:t>
      </w:r>
      <w:r w:rsidR="0013032F" w:rsidRPr="00255D8D">
        <w:t xml:space="preserve"> </w:t>
      </w:r>
      <w:r w:rsidRPr="00255D8D">
        <w:t>2022</w:t>
      </w:r>
      <w:r w:rsidR="0013032F" w:rsidRPr="00255D8D">
        <w:t xml:space="preserve"> </w:t>
      </w:r>
      <w:r w:rsidRPr="00255D8D">
        <w:t>impacted</w:t>
      </w:r>
      <w:r w:rsidR="0013032F" w:rsidRPr="00255D8D">
        <w:t xml:space="preserve"> </w:t>
      </w:r>
      <w:r w:rsidRPr="00255D8D">
        <w:t>many</w:t>
      </w:r>
      <w:r w:rsidR="0013032F" w:rsidRPr="00255D8D">
        <w:t xml:space="preserve"> </w:t>
      </w:r>
      <w:r w:rsidRPr="00255D8D">
        <w:t>businesses,</w:t>
      </w:r>
      <w:r w:rsidR="0013032F" w:rsidRPr="00255D8D">
        <w:t xml:space="preserve"> </w:t>
      </w:r>
      <w:r w:rsidRPr="00255D8D">
        <w:t>communities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people</w:t>
      </w:r>
      <w:r w:rsidR="0013032F" w:rsidRPr="00255D8D">
        <w:t xml:space="preserve"> </w:t>
      </w:r>
      <w:r w:rsidRPr="00255D8D">
        <w:t>across</w:t>
      </w:r>
      <w:r w:rsidR="0013032F" w:rsidRPr="00255D8D">
        <w:t xml:space="preserve"> </w:t>
      </w:r>
      <w:r w:rsidRPr="00255D8D">
        <w:t>our</w:t>
      </w:r>
      <w:r w:rsidR="0013032F" w:rsidRPr="00255D8D">
        <w:t xml:space="preserve"> </w:t>
      </w:r>
      <w:r w:rsidRPr="00255D8D">
        <w:t>region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workforce</w:t>
      </w:r>
      <w:r w:rsidR="0013032F" w:rsidRPr="00255D8D">
        <w:t xml:space="preserve"> </w:t>
      </w:r>
      <w:r w:rsidRPr="00255D8D">
        <w:t>shortages</w:t>
      </w:r>
      <w:r w:rsidR="0013032F" w:rsidRPr="00255D8D">
        <w:t xml:space="preserve"> </w:t>
      </w:r>
      <w:r w:rsidRPr="00255D8D">
        <w:t>remain</w:t>
      </w:r>
      <w:r w:rsidR="0013032F" w:rsidRPr="00255D8D">
        <w:t xml:space="preserve"> </w:t>
      </w:r>
      <w:r w:rsidRPr="00255D8D">
        <w:t>in</w:t>
      </w:r>
      <w:r w:rsidR="0013032F" w:rsidRPr="00255D8D">
        <w:t xml:space="preserve"> </w:t>
      </w:r>
      <w:r w:rsidRPr="00255D8D">
        <w:t>some</w:t>
      </w:r>
      <w:r w:rsidR="0013032F" w:rsidRPr="00255D8D">
        <w:t xml:space="preserve"> </w:t>
      </w:r>
      <w:r w:rsidRPr="00255D8D">
        <w:t>sectors.</w:t>
      </w:r>
      <w:r w:rsidR="0013032F" w:rsidRPr="00255D8D">
        <w:t xml:space="preserve"> </w:t>
      </w:r>
      <w:r w:rsidRPr="00255D8D">
        <w:t>Nevertheless,</w:t>
      </w:r>
      <w:r w:rsidR="0013032F" w:rsidRPr="00255D8D">
        <w:t xml:space="preserve"> </w:t>
      </w:r>
      <w:r w:rsidRPr="00255D8D">
        <w:t>through</w:t>
      </w:r>
      <w:r w:rsidR="0013032F" w:rsidRPr="00255D8D">
        <w:t xml:space="preserve"> </w:t>
      </w:r>
      <w:r w:rsidRPr="00255D8D">
        <w:t>collaboration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co-design</w:t>
      </w:r>
      <w:r w:rsidR="0013032F" w:rsidRPr="00255D8D">
        <w:t xml:space="preserve"> </w:t>
      </w:r>
      <w:r w:rsidRPr="00255D8D">
        <w:t>with</w:t>
      </w:r>
      <w:r w:rsidR="0013032F" w:rsidRPr="00255D8D">
        <w:t xml:space="preserve"> </w:t>
      </w:r>
      <w:r w:rsidRPr="00255D8D">
        <w:t>our</w:t>
      </w:r>
      <w:r w:rsidR="0013032F" w:rsidRPr="00255D8D">
        <w:t xml:space="preserve"> </w:t>
      </w:r>
      <w:r w:rsidRPr="00255D8D">
        <w:t>project</w:t>
      </w:r>
      <w:r w:rsidR="0013032F" w:rsidRPr="00255D8D">
        <w:t xml:space="preserve"> </w:t>
      </w:r>
      <w:r w:rsidRPr="00255D8D">
        <w:t>partners</w:t>
      </w:r>
      <w:r w:rsidR="0013032F" w:rsidRPr="00255D8D">
        <w:t xml:space="preserve"> </w:t>
      </w:r>
      <w:r w:rsidRPr="00255D8D">
        <w:t>we</w:t>
      </w:r>
      <w:r w:rsidR="0013032F" w:rsidRPr="00255D8D">
        <w:t xml:space="preserve"> </w:t>
      </w:r>
      <w:r w:rsidRPr="00255D8D">
        <w:t>have</w:t>
      </w:r>
      <w:r w:rsidR="0013032F" w:rsidRPr="00255D8D">
        <w:t xml:space="preserve"> </w:t>
      </w:r>
      <w:r w:rsidRPr="00255D8D">
        <w:t>unlocked</w:t>
      </w:r>
      <w:r w:rsidR="0013032F" w:rsidRPr="00255D8D">
        <w:t xml:space="preserve"> </w:t>
      </w:r>
      <w:r w:rsidRPr="00255D8D">
        <w:t>more</w:t>
      </w:r>
      <w:r w:rsidR="0013032F" w:rsidRPr="00255D8D">
        <w:t xml:space="preserve"> </w:t>
      </w:r>
      <w:r w:rsidRPr="00255D8D">
        <w:t>than</w:t>
      </w:r>
      <w:r w:rsidR="0013032F" w:rsidRPr="00255D8D">
        <w:t xml:space="preserve"> </w:t>
      </w:r>
      <w:r w:rsidRPr="00255D8D">
        <w:t>$174</w:t>
      </w:r>
      <w:r w:rsidR="0013032F" w:rsidRPr="00255D8D">
        <w:t xml:space="preserve"> </w:t>
      </w:r>
      <w:r w:rsidRPr="00255D8D">
        <w:t>million</w:t>
      </w:r>
      <w:r w:rsidR="0013032F" w:rsidRPr="00255D8D">
        <w:t xml:space="preserve"> </w:t>
      </w:r>
      <w:r w:rsidRPr="00255D8D">
        <w:t>worth</w:t>
      </w:r>
      <w:r w:rsidR="0013032F" w:rsidRPr="00255D8D">
        <w:t xml:space="preserve"> </w:t>
      </w:r>
      <w:r w:rsidRPr="00255D8D">
        <w:t>of</w:t>
      </w:r>
      <w:r w:rsidR="0013032F" w:rsidRPr="00255D8D">
        <w:t xml:space="preserve"> </w:t>
      </w:r>
      <w:r w:rsidRPr="00255D8D">
        <w:t>capital</w:t>
      </w:r>
      <w:r w:rsidR="0013032F" w:rsidRPr="00255D8D">
        <w:t xml:space="preserve"> </w:t>
      </w:r>
      <w:r w:rsidRPr="00255D8D">
        <w:t>investment.</w:t>
      </w:r>
      <w:r w:rsidR="0013032F" w:rsidRPr="00255D8D">
        <w:t xml:space="preserve"> </w:t>
      </w:r>
    </w:p>
    <w:p w14:paraId="7D645842" w14:textId="579686A7" w:rsidR="00757772" w:rsidRPr="00255D8D" w:rsidRDefault="00305D3C" w:rsidP="00255D8D">
      <w:r w:rsidRPr="00255D8D">
        <w:t>Key</w:t>
      </w:r>
      <w:r w:rsidR="0013032F" w:rsidRPr="00255D8D">
        <w:t xml:space="preserve"> </w:t>
      </w:r>
      <w:r w:rsidRPr="00255D8D">
        <w:t>projects</w:t>
      </w:r>
      <w:r w:rsidR="0013032F" w:rsidRPr="00255D8D">
        <w:t xml:space="preserve"> </w:t>
      </w:r>
      <w:r w:rsidRPr="00255D8D">
        <w:t>included</w:t>
      </w:r>
      <w:r w:rsidR="0013032F" w:rsidRPr="00255D8D">
        <w:t xml:space="preserve"> </w:t>
      </w:r>
      <w:r w:rsidRPr="00255D8D">
        <w:t>renovations</w:t>
      </w:r>
      <w:r w:rsidR="0013032F" w:rsidRPr="00255D8D">
        <w:t xml:space="preserve"> </w:t>
      </w:r>
      <w:r w:rsidRPr="00255D8D">
        <w:t>to</w:t>
      </w:r>
      <w:r w:rsidR="0013032F" w:rsidRPr="00255D8D">
        <w:t xml:space="preserve"> </w:t>
      </w:r>
      <w:r w:rsidRPr="00255D8D">
        <w:t>Her</w:t>
      </w:r>
      <w:r w:rsidR="0013032F" w:rsidRPr="00255D8D">
        <w:t xml:space="preserve"> </w:t>
      </w:r>
      <w:r w:rsidRPr="00255D8D">
        <w:t>Majesty’s</w:t>
      </w:r>
      <w:r w:rsidR="0013032F" w:rsidRPr="00255D8D">
        <w:t xml:space="preserve"> </w:t>
      </w:r>
      <w:r w:rsidRPr="00255D8D">
        <w:t>Theatre,</w:t>
      </w:r>
      <w:r w:rsidR="0013032F" w:rsidRPr="00255D8D">
        <w:t xml:space="preserve"> </w:t>
      </w:r>
      <w:r w:rsidRPr="00255D8D">
        <w:t>construction</w:t>
      </w:r>
      <w:r w:rsidR="0013032F" w:rsidRPr="00255D8D">
        <w:t xml:space="preserve"> </w:t>
      </w:r>
      <w:r w:rsidRPr="00255D8D">
        <w:t>of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Hamilton</w:t>
      </w:r>
      <w:r w:rsidR="0013032F" w:rsidRPr="00255D8D">
        <w:t xml:space="preserve"> </w:t>
      </w:r>
      <w:r w:rsidRPr="00255D8D">
        <w:t>Street</w:t>
      </w:r>
      <w:r w:rsidR="0013032F" w:rsidRPr="00255D8D">
        <w:t xml:space="preserve"> </w:t>
      </w:r>
      <w:r w:rsidRPr="00255D8D">
        <w:t>bridge</w:t>
      </w:r>
      <w:r w:rsidR="0013032F" w:rsidRPr="00255D8D">
        <w:t xml:space="preserve"> </w:t>
      </w:r>
      <w:r w:rsidRPr="00255D8D">
        <w:t>in</w:t>
      </w:r>
      <w:r w:rsidR="0013032F" w:rsidRPr="00255D8D">
        <w:t xml:space="preserve"> </w:t>
      </w:r>
      <w:r w:rsidRPr="00255D8D">
        <w:t>Horsham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lighting</w:t>
      </w:r>
      <w:r w:rsidR="0013032F" w:rsidRPr="00255D8D">
        <w:t xml:space="preserve"> </w:t>
      </w:r>
      <w:r w:rsidRPr="00255D8D">
        <w:t>installation</w:t>
      </w:r>
      <w:r w:rsidR="0013032F" w:rsidRPr="00255D8D">
        <w:t xml:space="preserve"> </w:t>
      </w:r>
      <w:r w:rsidRPr="00255D8D">
        <w:t>at</w:t>
      </w:r>
      <w:r w:rsidR="0013032F" w:rsidRPr="00255D8D">
        <w:t xml:space="preserve"> </w:t>
      </w:r>
      <w:r w:rsidRPr="00255D8D">
        <w:t>Lake</w:t>
      </w:r>
      <w:r w:rsidR="0013032F" w:rsidRPr="00255D8D">
        <w:t xml:space="preserve"> </w:t>
      </w:r>
      <w:r w:rsidRPr="00255D8D">
        <w:t>Wendouree.</w:t>
      </w:r>
      <w:r w:rsidR="0013032F" w:rsidRPr="00255D8D">
        <w:t xml:space="preserve"> </w:t>
      </w:r>
      <w:r w:rsidRPr="00255D8D">
        <w:t>Our</w:t>
      </w:r>
      <w:r w:rsidR="0013032F" w:rsidRPr="00255D8D">
        <w:t xml:space="preserve"> </w:t>
      </w:r>
      <w:r w:rsidRPr="00255D8D">
        <w:t>team</w:t>
      </w:r>
      <w:r w:rsidR="0013032F" w:rsidRPr="00255D8D">
        <w:t xml:space="preserve"> </w:t>
      </w:r>
      <w:r w:rsidRPr="00255D8D">
        <w:t>is</w:t>
      </w:r>
      <w:r w:rsidR="0013032F" w:rsidRPr="00255D8D">
        <w:t xml:space="preserve"> </w:t>
      </w:r>
      <w:r w:rsidRPr="00255D8D">
        <w:t>proud</w:t>
      </w:r>
      <w:r w:rsidR="0013032F" w:rsidRPr="00255D8D">
        <w:t xml:space="preserve"> </w:t>
      </w:r>
      <w:r w:rsidRPr="00255D8D">
        <w:t>to</w:t>
      </w:r>
      <w:r w:rsidR="0013032F" w:rsidRPr="00255D8D">
        <w:t xml:space="preserve"> </w:t>
      </w:r>
      <w:r w:rsidRPr="00255D8D">
        <w:t>have</w:t>
      </w:r>
      <w:r w:rsidR="0013032F" w:rsidRPr="00255D8D">
        <w:t xml:space="preserve"> </w:t>
      </w:r>
      <w:r w:rsidRPr="00255D8D">
        <w:t>played</w:t>
      </w:r>
      <w:r w:rsidR="0013032F" w:rsidRPr="00255D8D">
        <w:t xml:space="preserve"> </w:t>
      </w:r>
      <w:r w:rsidRPr="00255D8D">
        <w:t>a</w:t>
      </w:r>
      <w:r w:rsidR="0013032F" w:rsidRPr="00255D8D">
        <w:t xml:space="preserve"> </w:t>
      </w:r>
      <w:r w:rsidRPr="00255D8D">
        <w:t>role</w:t>
      </w:r>
      <w:r w:rsidR="0013032F" w:rsidRPr="00255D8D">
        <w:t xml:space="preserve"> </w:t>
      </w:r>
      <w:r w:rsidRPr="00255D8D">
        <w:t>in</w:t>
      </w:r>
      <w:r w:rsidR="0013032F" w:rsidRPr="00255D8D">
        <w:t xml:space="preserve"> </w:t>
      </w:r>
      <w:r w:rsidRPr="00255D8D">
        <w:t>helping</w:t>
      </w:r>
      <w:r w:rsidR="0013032F" w:rsidRPr="00255D8D">
        <w:t xml:space="preserve"> </w:t>
      </w:r>
      <w:r w:rsidRPr="00255D8D">
        <w:t>communities</w:t>
      </w:r>
      <w:r w:rsidR="0013032F" w:rsidRPr="00255D8D">
        <w:t xml:space="preserve"> </w:t>
      </w:r>
      <w:r w:rsidRPr="00255D8D">
        <w:t>realise</w:t>
      </w:r>
      <w:r w:rsidR="0013032F" w:rsidRPr="00255D8D">
        <w:t xml:space="preserve"> </w:t>
      </w:r>
      <w:r w:rsidRPr="00255D8D">
        <w:t>other</w:t>
      </w:r>
      <w:r w:rsidR="0013032F" w:rsidRPr="00255D8D">
        <w:t xml:space="preserve"> </w:t>
      </w:r>
      <w:r w:rsidRPr="00255D8D">
        <w:t>vital</w:t>
      </w:r>
      <w:r w:rsidR="0013032F" w:rsidRPr="00255D8D">
        <w:t xml:space="preserve"> </w:t>
      </w:r>
      <w:r w:rsidRPr="00255D8D">
        <w:t>priorities</w:t>
      </w:r>
      <w:r w:rsidR="0013032F" w:rsidRPr="00255D8D">
        <w:t xml:space="preserve"> </w:t>
      </w:r>
      <w:r w:rsidRPr="00255D8D">
        <w:t>such</w:t>
      </w:r>
      <w:r w:rsidR="0013032F" w:rsidRPr="00255D8D">
        <w:t xml:space="preserve"> </w:t>
      </w:r>
      <w:r w:rsidRPr="00255D8D">
        <w:t>as</w:t>
      </w:r>
      <w:r w:rsidR="0013032F" w:rsidRPr="00255D8D">
        <w:t xml:space="preserve"> </w:t>
      </w:r>
      <w:r w:rsidRPr="00255D8D">
        <w:t>sharing</w:t>
      </w:r>
      <w:r w:rsidR="0013032F" w:rsidRPr="00255D8D">
        <w:t xml:space="preserve"> </w:t>
      </w:r>
      <w:r w:rsidRPr="00255D8D">
        <w:t>Aboriginal</w:t>
      </w:r>
      <w:r w:rsidR="0013032F" w:rsidRPr="00255D8D">
        <w:t xml:space="preserve"> </w:t>
      </w:r>
      <w:r w:rsidRPr="00255D8D">
        <w:t>art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stories</w:t>
      </w:r>
      <w:r w:rsidR="0013032F" w:rsidRPr="00255D8D">
        <w:t xml:space="preserve"> </w:t>
      </w:r>
      <w:r w:rsidRPr="00255D8D">
        <w:t>through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recently</w:t>
      </w:r>
      <w:r w:rsidR="0013032F" w:rsidRPr="00255D8D">
        <w:t xml:space="preserve"> </w:t>
      </w:r>
      <w:r w:rsidRPr="00255D8D">
        <w:t>opened</w:t>
      </w:r>
      <w:r w:rsidR="0013032F" w:rsidRPr="00255D8D">
        <w:t xml:space="preserve"> </w:t>
      </w:r>
      <w:r w:rsidRPr="00255D8D">
        <w:t>Ballarat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District</w:t>
      </w:r>
      <w:r w:rsidR="0013032F" w:rsidRPr="00255D8D">
        <w:t xml:space="preserve"> </w:t>
      </w:r>
      <w:r w:rsidRPr="00255D8D">
        <w:t>Aboriginal</w:t>
      </w:r>
      <w:r w:rsidR="0013032F" w:rsidRPr="00255D8D">
        <w:t xml:space="preserve"> </w:t>
      </w:r>
      <w:r w:rsidRPr="00255D8D">
        <w:t>Cooperative’s</w:t>
      </w:r>
      <w:r w:rsidR="0013032F" w:rsidRPr="00255D8D">
        <w:t xml:space="preserve"> </w:t>
      </w:r>
      <w:r w:rsidRPr="00255D8D">
        <w:t>(BADAC)</w:t>
      </w:r>
      <w:r w:rsidR="0013032F" w:rsidRPr="00255D8D">
        <w:t xml:space="preserve"> </w:t>
      </w:r>
      <w:proofErr w:type="spellStart"/>
      <w:r w:rsidRPr="00255D8D">
        <w:t>Perridak</w:t>
      </w:r>
      <w:proofErr w:type="spellEnd"/>
      <w:r w:rsidR="0013032F" w:rsidRPr="00255D8D">
        <w:t xml:space="preserve"> </w:t>
      </w:r>
      <w:r w:rsidRPr="00255D8D">
        <w:t>Art</w:t>
      </w:r>
      <w:r w:rsidR="0013032F" w:rsidRPr="00255D8D">
        <w:t xml:space="preserve"> </w:t>
      </w:r>
      <w:r w:rsidRPr="00255D8D">
        <w:t>Gallery.</w:t>
      </w:r>
      <w:r w:rsidR="0013032F" w:rsidRPr="00255D8D">
        <w:t xml:space="preserve"> </w:t>
      </w:r>
    </w:p>
    <w:p w14:paraId="0D9ACA0D" w14:textId="7367F39A" w:rsidR="00757772" w:rsidRPr="00255D8D" w:rsidRDefault="00305D3C" w:rsidP="00255D8D">
      <w:r w:rsidRPr="00255D8D">
        <w:t>RDV</w:t>
      </w:r>
      <w:r w:rsidR="0013032F" w:rsidRPr="00255D8D">
        <w:t xml:space="preserve"> </w:t>
      </w:r>
      <w:r w:rsidRPr="00255D8D">
        <w:t>Grampians</w:t>
      </w:r>
      <w:r w:rsidR="0013032F" w:rsidRPr="00255D8D">
        <w:t xml:space="preserve"> </w:t>
      </w:r>
      <w:r w:rsidRPr="00255D8D">
        <w:t>continues</w:t>
      </w:r>
      <w:r w:rsidR="0013032F" w:rsidRPr="00255D8D">
        <w:t xml:space="preserve"> </w:t>
      </w:r>
      <w:r w:rsidRPr="00255D8D">
        <w:t>to</w:t>
      </w:r>
      <w:r w:rsidR="0013032F" w:rsidRPr="00255D8D">
        <w:t xml:space="preserve"> </w:t>
      </w:r>
      <w:r w:rsidRPr="00255D8D">
        <w:t>benefit</w:t>
      </w:r>
      <w:r w:rsidR="0013032F" w:rsidRPr="00255D8D">
        <w:t xml:space="preserve"> </w:t>
      </w:r>
      <w:r w:rsidRPr="00255D8D">
        <w:t>from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passion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expertise</w:t>
      </w:r>
      <w:r w:rsidR="0013032F" w:rsidRPr="00255D8D">
        <w:t xml:space="preserve"> </w:t>
      </w:r>
      <w:r w:rsidRPr="00255D8D">
        <w:t>of</w:t>
      </w:r>
      <w:r w:rsidR="0013032F" w:rsidRPr="00255D8D">
        <w:t xml:space="preserve"> </w:t>
      </w:r>
      <w:r w:rsidRPr="00255D8D">
        <w:t>committee</w:t>
      </w:r>
      <w:r w:rsidR="0013032F" w:rsidRPr="00255D8D">
        <w:t xml:space="preserve"> </w:t>
      </w:r>
      <w:r w:rsidRPr="00255D8D">
        <w:t>members</w:t>
      </w:r>
      <w:r w:rsidR="0013032F" w:rsidRPr="00255D8D">
        <w:t xml:space="preserve"> </w:t>
      </w:r>
      <w:r w:rsidRPr="00255D8D">
        <w:t>on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Wi</w:t>
      </w:r>
      <w:r w:rsidRPr="00255D8D">
        <w:t>mmera</w:t>
      </w:r>
      <w:r w:rsidR="0013032F" w:rsidRPr="00255D8D">
        <w:t xml:space="preserve"> </w:t>
      </w:r>
      <w:r w:rsidRPr="00255D8D">
        <w:t>Southern</w:t>
      </w:r>
      <w:r w:rsidR="0013032F" w:rsidRPr="00255D8D">
        <w:t xml:space="preserve"> </w:t>
      </w:r>
      <w:r w:rsidRPr="00255D8D">
        <w:t>Mallee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Central</w:t>
      </w:r>
      <w:r w:rsidR="0013032F" w:rsidRPr="00255D8D">
        <w:t xml:space="preserve"> </w:t>
      </w:r>
      <w:r w:rsidRPr="00255D8D">
        <w:t>Highlands</w:t>
      </w:r>
      <w:r w:rsidR="0013032F" w:rsidRPr="00255D8D">
        <w:t xml:space="preserve"> </w:t>
      </w:r>
      <w:r w:rsidRPr="00255D8D">
        <w:t>Regional</w:t>
      </w:r>
      <w:r w:rsidR="0013032F" w:rsidRPr="00255D8D">
        <w:t xml:space="preserve"> </w:t>
      </w:r>
      <w:r w:rsidRPr="00255D8D">
        <w:t>Partnerships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Regional</w:t>
      </w:r>
      <w:r w:rsidR="0013032F" w:rsidRPr="00255D8D">
        <w:t xml:space="preserve"> </w:t>
      </w:r>
      <w:r w:rsidRPr="00255D8D">
        <w:t>Development</w:t>
      </w:r>
      <w:r w:rsidR="0013032F" w:rsidRPr="00255D8D">
        <w:t xml:space="preserve"> </w:t>
      </w:r>
      <w:r w:rsidRPr="00255D8D">
        <w:t>Australia.</w:t>
      </w:r>
      <w:r w:rsidR="0013032F" w:rsidRPr="00255D8D">
        <w:t xml:space="preserve"> </w:t>
      </w:r>
    </w:p>
    <w:p w14:paraId="4A2DC1BF" w14:textId="2639E0BB" w:rsidR="00757772" w:rsidRPr="00255D8D" w:rsidRDefault="00305D3C" w:rsidP="00255D8D">
      <w:r w:rsidRPr="00255D8D">
        <w:lastRenderedPageBreak/>
        <w:t>The</w:t>
      </w:r>
      <w:r w:rsidR="0013032F" w:rsidRPr="00255D8D">
        <w:t xml:space="preserve"> </w:t>
      </w:r>
      <w:r w:rsidRPr="00255D8D">
        <w:t>3</w:t>
      </w:r>
      <w:r w:rsidR="0013032F" w:rsidRPr="00255D8D">
        <w:t xml:space="preserve"> </w:t>
      </w:r>
      <w:r w:rsidRPr="00255D8D">
        <w:t>committees</w:t>
      </w:r>
      <w:r w:rsidR="0013032F" w:rsidRPr="00255D8D">
        <w:t xml:space="preserve"> </w:t>
      </w:r>
      <w:r w:rsidRPr="00255D8D">
        <w:t>have</w:t>
      </w:r>
      <w:r w:rsidR="0013032F" w:rsidRPr="00255D8D">
        <w:t xml:space="preserve"> </w:t>
      </w:r>
      <w:r w:rsidRPr="00255D8D">
        <w:t>worked</w:t>
      </w:r>
      <w:r w:rsidR="0013032F" w:rsidRPr="00255D8D">
        <w:t xml:space="preserve"> </w:t>
      </w:r>
      <w:r w:rsidRPr="00255D8D">
        <w:t>behind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scenes</w:t>
      </w:r>
      <w:r w:rsidR="0013032F" w:rsidRPr="00255D8D">
        <w:t xml:space="preserve"> </w:t>
      </w:r>
      <w:r w:rsidRPr="00255D8D">
        <w:t>to</w:t>
      </w:r>
      <w:r w:rsidR="0013032F" w:rsidRPr="00255D8D">
        <w:t xml:space="preserve"> </w:t>
      </w:r>
      <w:r w:rsidRPr="00255D8D">
        <w:t>successfully</w:t>
      </w:r>
      <w:r w:rsidR="0013032F" w:rsidRPr="00255D8D">
        <w:t xml:space="preserve"> </w:t>
      </w:r>
      <w:r w:rsidRPr="00255D8D">
        <w:t>advocate</w:t>
      </w:r>
      <w:r w:rsidR="0013032F" w:rsidRPr="00255D8D">
        <w:t xml:space="preserve"> </w:t>
      </w:r>
      <w:r w:rsidRPr="00255D8D">
        <w:t>for</w:t>
      </w:r>
      <w:r w:rsidR="0013032F" w:rsidRPr="00255D8D">
        <w:t xml:space="preserve"> </w:t>
      </w:r>
      <w:r w:rsidRPr="00255D8D">
        <w:t>new</w:t>
      </w:r>
      <w:r w:rsidR="0013032F" w:rsidRPr="00255D8D">
        <w:t xml:space="preserve"> </w:t>
      </w:r>
      <w:r w:rsidRPr="00255D8D">
        <w:t>strategic</w:t>
      </w:r>
      <w:r w:rsidR="0013032F" w:rsidRPr="00255D8D">
        <w:t xml:space="preserve"> </w:t>
      </w:r>
      <w:r w:rsidRPr="00255D8D">
        <w:t>projects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collaborations</w:t>
      </w:r>
      <w:r w:rsidR="0013032F" w:rsidRPr="00255D8D">
        <w:t xml:space="preserve"> </w:t>
      </w:r>
      <w:r w:rsidRPr="00255D8D">
        <w:t>that</w:t>
      </w:r>
      <w:r w:rsidR="0013032F" w:rsidRPr="00255D8D">
        <w:t xml:space="preserve"> </w:t>
      </w:r>
      <w:r w:rsidRPr="00255D8D">
        <w:t>will</w:t>
      </w:r>
      <w:r w:rsidR="0013032F" w:rsidRPr="00255D8D">
        <w:t xml:space="preserve"> </w:t>
      </w:r>
      <w:r w:rsidRPr="00255D8D">
        <w:t>help</w:t>
      </w:r>
      <w:r w:rsidR="0013032F" w:rsidRPr="00255D8D">
        <w:t xml:space="preserve"> </w:t>
      </w:r>
      <w:r w:rsidRPr="00255D8D">
        <w:t>meet</w:t>
      </w:r>
      <w:r w:rsidR="0013032F" w:rsidRPr="00255D8D">
        <w:t xml:space="preserve"> </w:t>
      </w:r>
      <w:r w:rsidRPr="00255D8D">
        <w:t>our</w:t>
      </w:r>
      <w:r w:rsidR="0013032F" w:rsidRPr="00255D8D">
        <w:t xml:space="preserve"> </w:t>
      </w:r>
      <w:r w:rsidRPr="00255D8D">
        <w:t>regions’</w:t>
      </w:r>
      <w:r w:rsidR="0013032F" w:rsidRPr="00255D8D">
        <w:t xml:space="preserve"> </w:t>
      </w:r>
      <w:r w:rsidRPr="00255D8D">
        <w:t>challenges</w:t>
      </w:r>
      <w:r w:rsidR="0013032F" w:rsidRPr="00255D8D">
        <w:t xml:space="preserve"> </w:t>
      </w:r>
      <w:r w:rsidRPr="00255D8D">
        <w:t>in</w:t>
      </w:r>
      <w:r w:rsidR="0013032F" w:rsidRPr="00255D8D">
        <w:t xml:space="preserve"> </w:t>
      </w:r>
      <w:r w:rsidRPr="00255D8D">
        <w:t>priority</w:t>
      </w:r>
      <w:r w:rsidR="0013032F" w:rsidRPr="00255D8D">
        <w:t xml:space="preserve"> </w:t>
      </w:r>
      <w:r w:rsidRPr="00255D8D">
        <w:t>areas</w:t>
      </w:r>
      <w:r w:rsidR="0013032F" w:rsidRPr="00255D8D">
        <w:t xml:space="preserve"> </w:t>
      </w:r>
      <w:r w:rsidRPr="00255D8D">
        <w:t>including</w:t>
      </w:r>
      <w:r w:rsidR="0013032F" w:rsidRPr="00255D8D">
        <w:t xml:space="preserve"> </w:t>
      </w:r>
      <w:r w:rsidRPr="00255D8D">
        <w:t>housing,</w:t>
      </w:r>
      <w:r w:rsidR="0013032F" w:rsidRPr="00255D8D">
        <w:t xml:space="preserve"> </w:t>
      </w:r>
      <w:r w:rsidRPr="00255D8D">
        <w:t>childcare,</w:t>
      </w:r>
      <w:r w:rsidR="0013032F" w:rsidRPr="00255D8D">
        <w:t xml:space="preserve"> </w:t>
      </w:r>
      <w:r w:rsidRPr="00255D8D">
        <w:t>digital</w:t>
      </w:r>
      <w:r w:rsidR="0013032F" w:rsidRPr="00255D8D">
        <w:t xml:space="preserve"> </w:t>
      </w:r>
      <w:r w:rsidRPr="00255D8D">
        <w:t>connectivity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tourism.</w:t>
      </w:r>
    </w:p>
    <w:p w14:paraId="586EA3DD" w14:textId="74140289" w:rsidR="00757772" w:rsidRPr="00255D8D" w:rsidRDefault="00305D3C" w:rsidP="00255D8D">
      <w:r w:rsidRPr="00255D8D">
        <w:t>Together,</w:t>
      </w:r>
      <w:r w:rsidR="0013032F" w:rsidRPr="00255D8D">
        <w:t xml:space="preserve"> </w:t>
      </w:r>
      <w:r w:rsidRPr="00255D8D">
        <w:t>businesses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communities</w:t>
      </w:r>
      <w:r w:rsidR="0013032F" w:rsidRPr="00255D8D">
        <w:t xml:space="preserve"> </w:t>
      </w:r>
      <w:r w:rsidRPr="00255D8D">
        <w:t>in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Grampians</w:t>
      </w:r>
      <w:r w:rsidR="0013032F" w:rsidRPr="00255D8D">
        <w:t xml:space="preserve"> </w:t>
      </w:r>
      <w:r w:rsidRPr="00255D8D">
        <w:t>can</w:t>
      </w:r>
      <w:r w:rsidR="0013032F" w:rsidRPr="00255D8D">
        <w:t xml:space="preserve"> </w:t>
      </w:r>
      <w:r w:rsidRPr="00255D8D">
        <w:t>look</w:t>
      </w:r>
      <w:r w:rsidR="0013032F" w:rsidRPr="00255D8D">
        <w:t xml:space="preserve"> </w:t>
      </w:r>
      <w:r w:rsidRPr="00255D8D">
        <w:t>back</w:t>
      </w:r>
      <w:r w:rsidR="0013032F" w:rsidRPr="00255D8D">
        <w:t xml:space="preserve"> </w:t>
      </w:r>
      <w:r w:rsidRPr="00255D8D">
        <w:t>on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year</w:t>
      </w:r>
      <w:r w:rsidR="0013032F" w:rsidRPr="00255D8D">
        <w:t xml:space="preserve"> </w:t>
      </w:r>
      <w:r w:rsidRPr="00255D8D">
        <w:t>with</w:t>
      </w:r>
      <w:r w:rsidR="0013032F" w:rsidRPr="00255D8D">
        <w:t xml:space="preserve"> </w:t>
      </w:r>
      <w:r w:rsidRPr="00255D8D">
        <w:t>a</w:t>
      </w:r>
      <w:r w:rsidR="0013032F" w:rsidRPr="00255D8D">
        <w:t xml:space="preserve"> </w:t>
      </w:r>
      <w:r w:rsidRPr="00255D8D">
        <w:t>sense</w:t>
      </w:r>
      <w:r w:rsidR="0013032F" w:rsidRPr="00255D8D">
        <w:t xml:space="preserve"> </w:t>
      </w:r>
      <w:r w:rsidRPr="00255D8D">
        <w:t>of</w:t>
      </w:r>
      <w:r w:rsidR="0013032F" w:rsidRPr="00255D8D">
        <w:t xml:space="preserve"> </w:t>
      </w:r>
      <w:r w:rsidRPr="00255D8D">
        <w:t>achievement.</w:t>
      </w:r>
      <w:r w:rsidR="0013032F" w:rsidRPr="00255D8D">
        <w:t xml:space="preserve"> </w:t>
      </w:r>
      <w:r w:rsidRPr="00255D8D">
        <w:t>As</w:t>
      </w:r>
      <w:r w:rsidR="0013032F" w:rsidRPr="00255D8D">
        <w:t xml:space="preserve"> </w:t>
      </w:r>
      <w:r w:rsidRPr="00255D8D">
        <w:t>a</w:t>
      </w:r>
      <w:r w:rsidR="0013032F" w:rsidRPr="00255D8D">
        <w:t xml:space="preserve"> </w:t>
      </w:r>
      <w:r w:rsidRPr="00255D8D">
        <w:t>team,</w:t>
      </w:r>
      <w:r w:rsidR="0013032F" w:rsidRPr="00255D8D">
        <w:t xml:space="preserve"> </w:t>
      </w:r>
      <w:r w:rsidRPr="00255D8D">
        <w:t>we</w:t>
      </w:r>
      <w:r w:rsidR="0013032F" w:rsidRPr="00255D8D">
        <w:t xml:space="preserve"> </w:t>
      </w:r>
      <w:r w:rsidRPr="00255D8D">
        <w:t>highly</w:t>
      </w:r>
      <w:r w:rsidR="0013032F" w:rsidRPr="00255D8D">
        <w:t xml:space="preserve"> </w:t>
      </w:r>
      <w:r w:rsidRPr="00255D8D">
        <w:t>value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relationships</w:t>
      </w:r>
      <w:r w:rsidR="0013032F" w:rsidRPr="00255D8D">
        <w:t xml:space="preserve"> </w:t>
      </w:r>
      <w:r w:rsidRPr="00255D8D">
        <w:t>we</w:t>
      </w:r>
      <w:r w:rsidR="0013032F" w:rsidRPr="00255D8D">
        <w:t xml:space="preserve"> </w:t>
      </w:r>
      <w:r w:rsidRPr="00255D8D">
        <w:t>have</w:t>
      </w:r>
      <w:r w:rsidR="0013032F" w:rsidRPr="00255D8D">
        <w:t xml:space="preserve"> </w:t>
      </w:r>
      <w:r w:rsidRPr="00255D8D">
        <w:t>with</w:t>
      </w:r>
      <w:r w:rsidR="0013032F" w:rsidRPr="00255D8D">
        <w:t xml:space="preserve"> </w:t>
      </w:r>
      <w:r w:rsidRPr="00255D8D">
        <w:t>our</w:t>
      </w:r>
      <w:r w:rsidR="0013032F" w:rsidRPr="00255D8D">
        <w:t xml:space="preserve"> </w:t>
      </w:r>
      <w:r w:rsidRPr="00255D8D">
        <w:t>key</w:t>
      </w:r>
      <w:r w:rsidR="0013032F" w:rsidRPr="00255D8D">
        <w:t xml:space="preserve"> </w:t>
      </w:r>
      <w:r w:rsidRPr="00255D8D">
        <w:t>stakeholders</w:t>
      </w:r>
      <w:r w:rsidR="0013032F" w:rsidRPr="00255D8D">
        <w:t xml:space="preserve"> </w:t>
      </w:r>
      <w:r w:rsidRPr="00255D8D">
        <w:t>across</w:t>
      </w:r>
      <w:r w:rsidR="0013032F" w:rsidRPr="00255D8D">
        <w:t xml:space="preserve"> </w:t>
      </w:r>
      <w:r w:rsidRPr="00255D8D">
        <w:t>private</w:t>
      </w:r>
      <w:r w:rsidR="0013032F" w:rsidRPr="00255D8D">
        <w:t xml:space="preserve"> </w:t>
      </w:r>
      <w:r w:rsidRPr="00255D8D">
        <w:t>industry,</w:t>
      </w:r>
      <w:r w:rsidR="0013032F" w:rsidRPr="00255D8D">
        <w:t xml:space="preserve"> </w:t>
      </w:r>
      <w:r w:rsidRPr="00255D8D">
        <w:t>local</w:t>
      </w:r>
      <w:r w:rsidR="0013032F" w:rsidRPr="00255D8D">
        <w:t xml:space="preserve"> </w:t>
      </w:r>
      <w:r w:rsidRPr="00255D8D">
        <w:t>government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community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look</w:t>
      </w:r>
      <w:r w:rsidR="0013032F" w:rsidRPr="00255D8D">
        <w:t xml:space="preserve"> </w:t>
      </w:r>
      <w:r w:rsidRPr="00255D8D">
        <w:t>forward</w:t>
      </w:r>
      <w:r w:rsidR="0013032F" w:rsidRPr="00255D8D">
        <w:t xml:space="preserve"> </w:t>
      </w:r>
      <w:r w:rsidRPr="00255D8D">
        <w:t>to</w:t>
      </w:r>
      <w:r w:rsidR="0013032F" w:rsidRPr="00255D8D">
        <w:t xml:space="preserve"> </w:t>
      </w:r>
      <w:r w:rsidRPr="00255D8D">
        <w:t>delivering</w:t>
      </w:r>
      <w:r w:rsidR="0013032F" w:rsidRPr="00255D8D">
        <w:t xml:space="preserve"> </w:t>
      </w:r>
      <w:r w:rsidRPr="00255D8D">
        <w:t>further</w:t>
      </w:r>
      <w:r w:rsidR="0013032F" w:rsidRPr="00255D8D">
        <w:t xml:space="preserve"> </w:t>
      </w:r>
      <w:r w:rsidRPr="00255D8D">
        <w:t>prosperity</w:t>
      </w:r>
      <w:r w:rsidR="0013032F" w:rsidRPr="00255D8D">
        <w:t xml:space="preserve"> </w:t>
      </w:r>
      <w:r w:rsidRPr="00255D8D">
        <w:t>with</w:t>
      </w:r>
      <w:r w:rsidR="0013032F" w:rsidRPr="00255D8D">
        <w:t xml:space="preserve"> </w:t>
      </w:r>
      <w:r w:rsidRPr="00255D8D">
        <w:t>them</w:t>
      </w:r>
      <w:r w:rsidR="0013032F" w:rsidRPr="00255D8D">
        <w:t xml:space="preserve"> </w:t>
      </w:r>
      <w:r w:rsidRPr="00255D8D">
        <w:t>in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year</w:t>
      </w:r>
      <w:r w:rsidR="0013032F" w:rsidRPr="00255D8D">
        <w:t xml:space="preserve"> </w:t>
      </w:r>
      <w:r w:rsidRPr="00255D8D">
        <w:t>ahead.</w:t>
      </w:r>
    </w:p>
    <w:p w14:paraId="27912935" w14:textId="7DA1A4B6" w:rsidR="00757772" w:rsidRPr="00255D8D" w:rsidRDefault="00305D3C" w:rsidP="00255D8D">
      <w:r w:rsidRPr="00255D8D">
        <w:rPr>
          <w:b/>
          <w:bCs/>
        </w:rPr>
        <w:t>Sarah</w:t>
      </w:r>
      <w:r w:rsidR="0013032F" w:rsidRPr="00255D8D">
        <w:rPr>
          <w:b/>
          <w:bCs/>
        </w:rPr>
        <w:t xml:space="preserve"> </w:t>
      </w:r>
      <w:r w:rsidRPr="00255D8D">
        <w:rPr>
          <w:b/>
          <w:bCs/>
        </w:rPr>
        <w:t>Henderson</w:t>
      </w:r>
      <w:r w:rsidRPr="00255D8D">
        <w:rPr>
          <w:b/>
          <w:bCs/>
        </w:rPr>
        <w:br/>
      </w:r>
      <w:r w:rsidRPr="00255D8D">
        <w:t>Acting</w:t>
      </w:r>
      <w:r w:rsidR="0013032F" w:rsidRPr="00255D8D">
        <w:t xml:space="preserve"> </w:t>
      </w:r>
      <w:r w:rsidRPr="00255D8D">
        <w:t>Regional</w:t>
      </w:r>
      <w:r w:rsidR="0013032F" w:rsidRPr="00255D8D">
        <w:t xml:space="preserve"> </w:t>
      </w:r>
      <w:r w:rsidRPr="00255D8D">
        <w:t>Director,</w:t>
      </w:r>
      <w:r w:rsidR="0013032F" w:rsidRPr="00255D8D">
        <w:t xml:space="preserve"> </w:t>
      </w:r>
      <w:r w:rsidRPr="00255D8D">
        <w:t>Grampians</w:t>
      </w:r>
      <w:r w:rsidR="0013032F" w:rsidRPr="00255D8D">
        <w:t xml:space="preserve"> </w:t>
      </w:r>
    </w:p>
    <w:p w14:paraId="57C27FA3" w14:textId="4AE2791A" w:rsidR="00757772" w:rsidRPr="00255D8D" w:rsidRDefault="00305D3C" w:rsidP="00255D8D">
      <w:pPr>
        <w:pStyle w:val="Heading2"/>
      </w:pPr>
      <w:bookmarkStart w:id="48" w:name="_Toc149566594"/>
      <w:r w:rsidRPr="00255D8D">
        <w:t>Regional</w:t>
      </w:r>
      <w:r w:rsidR="0013032F" w:rsidRPr="00255D8D">
        <w:t xml:space="preserve"> </w:t>
      </w:r>
      <w:r w:rsidRPr="00255D8D">
        <w:t>h</w:t>
      </w:r>
      <w:r w:rsidRPr="00255D8D">
        <w:t>ighlights</w:t>
      </w:r>
      <w:bookmarkEnd w:id="48"/>
    </w:p>
    <w:p w14:paraId="5BA76735" w14:textId="33F9EE02" w:rsidR="00757772" w:rsidRPr="00255D8D" w:rsidRDefault="00305D3C" w:rsidP="00255D8D">
      <w:pPr>
        <w:pStyle w:val="Bullet"/>
      </w:pPr>
      <w:r w:rsidRPr="00255D8D">
        <w:t>Supported</w:t>
      </w:r>
      <w:r w:rsidR="0013032F" w:rsidRPr="00255D8D">
        <w:t xml:space="preserve"> </w:t>
      </w:r>
      <w:r w:rsidRPr="00255D8D">
        <w:t>by</w:t>
      </w:r>
      <w:r w:rsidR="0013032F" w:rsidRPr="00255D8D">
        <w:t xml:space="preserve"> </w:t>
      </w:r>
      <w:r w:rsidRPr="00255D8D">
        <w:t>$2.1</w:t>
      </w:r>
      <w:r w:rsidR="0013032F" w:rsidRPr="00255D8D">
        <w:t xml:space="preserve"> </w:t>
      </w:r>
      <w:r w:rsidRPr="00255D8D">
        <w:t>million</w:t>
      </w:r>
      <w:r w:rsidR="0013032F" w:rsidRPr="00255D8D">
        <w:t xml:space="preserve"> </w:t>
      </w:r>
      <w:r w:rsidRPr="00255D8D">
        <w:t>in</w:t>
      </w:r>
      <w:r w:rsidR="0013032F" w:rsidRPr="00255D8D">
        <w:t xml:space="preserve"> </w:t>
      </w:r>
      <w:r w:rsidRPr="00255D8D">
        <w:t>Victorian</w:t>
      </w:r>
      <w:r w:rsidR="0013032F" w:rsidRPr="00255D8D">
        <w:t xml:space="preserve"> </w:t>
      </w:r>
      <w:r w:rsidRPr="00255D8D">
        <w:t>Government</w:t>
      </w:r>
      <w:r w:rsidR="0013032F" w:rsidRPr="00255D8D">
        <w:t xml:space="preserve"> </w:t>
      </w:r>
      <w:r w:rsidRPr="00255D8D">
        <w:t>funding,</w:t>
      </w:r>
      <w:r w:rsidR="0013032F" w:rsidRPr="00255D8D">
        <w:t xml:space="preserve"> </w:t>
      </w:r>
      <w:r w:rsidRPr="00255D8D">
        <w:t>delivered</w:t>
      </w:r>
      <w:r w:rsidR="0013032F" w:rsidRPr="00255D8D">
        <w:t xml:space="preserve"> </w:t>
      </w:r>
      <w:r w:rsidRPr="00255D8D">
        <w:t>Hammon</w:t>
      </w:r>
      <w:r w:rsidR="0013032F" w:rsidRPr="00255D8D">
        <w:t xml:space="preserve"> </w:t>
      </w:r>
      <w:r w:rsidRPr="00255D8D">
        <w:t>Park</w:t>
      </w:r>
      <w:r w:rsidR="0013032F" w:rsidRPr="00255D8D">
        <w:t xml:space="preserve"> </w:t>
      </w:r>
      <w:r w:rsidRPr="00255D8D">
        <w:t>Trailhead</w:t>
      </w:r>
      <w:r w:rsidR="0013032F" w:rsidRPr="00255D8D">
        <w:t xml:space="preserve"> </w:t>
      </w:r>
      <w:r w:rsidRPr="00255D8D">
        <w:t>in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heart</w:t>
      </w:r>
      <w:r w:rsidR="0013032F" w:rsidRPr="00255D8D">
        <w:t xml:space="preserve"> </w:t>
      </w:r>
      <w:r w:rsidRPr="00255D8D">
        <w:t>of</w:t>
      </w:r>
      <w:r w:rsidR="0013032F" w:rsidRPr="00255D8D">
        <w:t xml:space="preserve"> </w:t>
      </w:r>
      <w:r w:rsidRPr="00255D8D">
        <w:t>Creswick.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trailhead</w:t>
      </w:r>
      <w:r w:rsidR="0013032F" w:rsidRPr="00255D8D">
        <w:t xml:space="preserve"> </w:t>
      </w:r>
      <w:r w:rsidRPr="00255D8D">
        <w:t>was</w:t>
      </w:r>
      <w:r w:rsidR="0013032F" w:rsidRPr="00255D8D">
        <w:t xml:space="preserve"> </w:t>
      </w:r>
      <w:r w:rsidRPr="00255D8D">
        <w:t>designed</w:t>
      </w:r>
      <w:r w:rsidR="0013032F" w:rsidRPr="00255D8D">
        <w:t xml:space="preserve"> </w:t>
      </w:r>
      <w:r w:rsidRPr="00255D8D">
        <w:t>for</w:t>
      </w:r>
      <w:r w:rsidR="0013032F" w:rsidRPr="00255D8D">
        <w:t xml:space="preserve"> </w:t>
      </w:r>
      <w:r w:rsidRPr="00255D8D">
        <w:t>people</w:t>
      </w:r>
      <w:r w:rsidR="0013032F" w:rsidRPr="00255D8D">
        <w:t xml:space="preserve"> </w:t>
      </w:r>
      <w:r w:rsidRPr="00255D8D">
        <w:t>of</w:t>
      </w:r>
      <w:r w:rsidR="0013032F" w:rsidRPr="00255D8D">
        <w:t xml:space="preserve"> </w:t>
      </w:r>
      <w:r w:rsidRPr="00255D8D">
        <w:t>all</w:t>
      </w:r>
      <w:r w:rsidR="0013032F" w:rsidRPr="00255D8D">
        <w:t xml:space="preserve"> </w:t>
      </w:r>
      <w:r w:rsidRPr="00255D8D">
        <w:t>abilities</w:t>
      </w:r>
      <w:r w:rsidR="0013032F" w:rsidRPr="00255D8D">
        <w:t xml:space="preserve"> </w:t>
      </w:r>
      <w:r w:rsidRPr="00255D8D">
        <w:t>to</w:t>
      </w:r>
      <w:r w:rsidR="0013032F" w:rsidRPr="00255D8D">
        <w:t xml:space="preserve"> </w:t>
      </w:r>
      <w:r w:rsidRPr="00255D8D">
        <w:t>build</w:t>
      </w:r>
      <w:r w:rsidR="0013032F" w:rsidRPr="00255D8D">
        <w:t xml:space="preserve"> </w:t>
      </w:r>
      <w:r w:rsidRPr="00255D8D">
        <w:t>their</w:t>
      </w:r>
      <w:r w:rsidR="0013032F" w:rsidRPr="00255D8D">
        <w:t xml:space="preserve"> </w:t>
      </w:r>
      <w:r w:rsidRPr="00255D8D">
        <w:t>mountain</w:t>
      </w:r>
      <w:r w:rsidR="0013032F" w:rsidRPr="00255D8D">
        <w:t xml:space="preserve"> </w:t>
      </w:r>
      <w:r w:rsidRPr="00255D8D">
        <w:t>biking</w:t>
      </w:r>
      <w:r w:rsidR="0013032F" w:rsidRPr="00255D8D">
        <w:t xml:space="preserve"> </w:t>
      </w:r>
      <w:r w:rsidRPr="00255D8D">
        <w:t>experience</w:t>
      </w:r>
      <w:r w:rsidR="0013032F" w:rsidRPr="00255D8D">
        <w:t xml:space="preserve"> </w:t>
      </w:r>
      <w:r w:rsidRPr="00255D8D">
        <w:t>before</w:t>
      </w:r>
      <w:r w:rsidR="0013032F" w:rsidRPr="00255D8D">
        <w:t xml:space="preserve"> </w:t>
      </w:r>
      <w:r w:rsidRPr="00255D8D">
        <w:t>tackling</w:t>
      </w:r>
      <w:r w:rsidR="0013032F" w:rsidRPr="00255D8D">
        <w:t xml:space="preserve"> </w:t>
      </w:r>
      <w:r w:rsidRPr="00255D8D">
        <w:t>Creswick</w:t>
      </w:r>
      <w:r w:rsidR="0013032F" w:rsidRPr="00255D8D">
        <w:t xml:space="preserve"> </w:t>
      </w:r>
      <w:r w:rsidRPr="00255D8D">
        <w:t>Trails</w:t>
      </w:r>
      <w:r w:rsidR="0013032F" w:rsidRPr="00255D8D">
        <w:t xml:space="preserve"> </w:t>
      </w:r>
      <w:r w:rsidRPr="00255D8D">
        <w:t>within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neighbouring</w:t>
      </w:r>
      <w:r w:rsidR="0013032F" w:rsidRPr="00255D8D">
        <w:t xml:space="preserve"> </w:t>
      </w:r>
      <w:r w:rsidRPr="00255D8D">
        <w:t>network.</w:t>
      </w:r>
      <w:r w:rsidR="0013032F" w:rsidRPr="00255D8D">
        <w:t xml:space="preserve"> </w:t>
      </w:r>
      <w:r w:rsidRPr="00255D8D">
        <w:t>This</w:t>
      </w:r>
      <w:r w:rsidR="0013032F" w:rsidRPr="00255D8D">
        <w:t xml:space="preserve"> </w:t>
      </w:r>
      <w:r w:rsidRPr="00255D8D">
        <w:t>comprehensive</w:t>
      </w:r>
      <w:r w:rsidR="0013032F" w:rsidRPr="00255D8D">
        <w:t xml:space="preserve"> </w:t>
      </w:r>
      <w:r w:rsidRPr="00255D8D">
        <w:t>project</w:t>
      </w:r>
      <w:r w:rsidR="0013032F" w:rsidRPr="00255D8D">
        <w:t xml:space="preserve"> </w:t>
      </w:r>
      <w:r w:rsidRPr="00255D8D">
        <w:t>also</w:t>
      </w:r>
      <w:r w:rsidR="0013032F" w:rsidRPr="00255D8D">
        <w:t xml:space="preserve"> </w:t>
      </w:r>
      <w:r w:rsidRPr="00255D8D">
        <w:t>delivered</w:t>
      </w:r>
      <w:r w:rsidR="0013032F" w:rsidRPr="00255D8D">
        <w:t xml:space="preserve"> </w:t>
      </w:r>
      <w:r w:rsidRPr="00255D8D">
        <w:t>new</w:t>
      </w:r>
      <w:r w:rsidR="0013032F" w:rsidRPr="00255D8D">
        <w:t xml:space="preserve"> </w:t>
      </w:r>
      <w:r w:rsidRPr="00255D8D">
        <w:t>accessible</w:t>
      </w:r>
      <w:r w:rsidR="0013032F" w:rsidRPr="00255D8D">
        <w:t xml:space="preserve"> </w:t>
      </w:r>
      <w:r w:rsidRPr="00255D8D">
        <w:t>toilets,</w:t>
      </w:r>
      <w:r w:rsidR="0013032F" w:rsidRPr="00255D8D">
        <w:t xml:space="preserve"> </w:t>
      </w:r>
      <w:r w:rsidRPr="00255D8D">
        <w:t>picnic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barbecue</w:t>
      </w:r>
      <w:r w:rsidR="0013032F" w:rsidRPr="00255D8D">
        <w:t xml:space="preserve"> </w:t>
      </w:r>
      <w:r w:rsidRPr="00255D8D">
        <w:t>areas,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a</w:t>
      </w:r>
      <w:r w:rsidR="0013032F" w:rsidRPr="00255D8D">
        <w:t xml:space="preserve"> </w:t>
      </w:r>
      <w:r w:rsidRPr="00255D8D">
        <w:t>new</w:t>
      </w:r>
      <w:r w:rsidR="0013032F" w:rsidRPr="00255D8D">
        <w:t xml:space="preserve"> </w:t>
      </w:r>
      <w:r w:rsidRPr="00255D8D">
        <w:t>play</w:t>
      </w:r>
      <w:r w:rsidR="0013032F" w:rsidRPr="00255D8D">
        <w:t xml:space="preserve"> </w:t>
      </w:r>
      <w:r w:rsidRPr="00255D8D">
        <w:t>space</w:t>
      </w:r>
      <w:r w:rsidR="0013032F" w:rsidRPr="00255D8D">
        <w:t xml:space="preserve"> </w:t>
      </w:r>
      <w:r w:rsidRPr="00255D8D">
        <w:t>for</w:t>
      </w:r>
      <w:r w:rsidR="0013032F" w:rsidRPr="00255D8D">
        <w:t xml:space="preserve"> </w:t>
      </w:r>
      <w:r w:rsidRPr="00255D8D">
        <w:t>young</w:t>
      </w:r>
      <w:r w:rsidR="0013032F" w:rsidRPr="00255D8D">
        <w:t xml:space="preserve"> </w:t>
      </w:r>
      <w:r w:rsidRPr="00255D8D">
        <w:t>people.</w:t>
      </w:r>
      <w:r w:rsidR="0013032F" w:rsidRPr="00255D8D">
        <w:t xml:space="preserve"> </w:t>
      </w:r>
    </w:p>
    <w:p w14:paraId="402F31AC" w14:textId="629D5944" w:rsidR="00757772" w:rsidRPr="00255D8D" w:rsidRDefault="00305D3C" w:rsidP="00255D8D">
      <w:pPr>
        <w:pStyle w:val="Bullet"/>
      </w:pPr>
      <w:r w:rsidRPr="00255D8D">
        <w:t>Completed</w:t>
      </w:r>
      <w:r w:rsidR="0013032F" w:rsidRPr="00255D8D">
        <w:t xml:space="preserve"> </w:t>
      </w:r>
      <w:r w:rsidRPr="00255D8D">
        <w:t>works</w:t>
      </w:r>
      <w:r w:rsidR="0013032F" w:rsidRPr="00255D8D">
        <w:t xml:space="preserve"> </w:t>
      </w:r>
      <w:r w:rsidRPr="00255D8D">
        <w:t>at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proofErr w:type="spellStart"/>
      <w:r w:rsidRPr="00255D8D">
        <w:t>Perridak</w:t>
      </w:r>
      <w:proofErr w:type="spellEnd"/>
      <w:r w:rsidR="0013032F" w:rsidRPr="00255D8D">
        <w:t xml:space="preserve"> </w:t>
      </w:r>
      <w:r w:rsidRPr="00255D8D">
        <w:t>Art</w:t>
      </w:r>
      <w:r w:rsidR="0013032F" w:rsidRPr="00255D8D">
        <w:t xml:space="preserve"> </w:t>
      </w:r>
      <w:r w:rsidRPr="00255D8D">
        <w:t>Gallery.</w:t>
      </w:r>
      <w:r w:rsidR="0013032F" w:rsidRPr="00255D8D">
        <w:t xml:space="preserve"> </w:t>
      </w:r>
      <w:r w:rsidRPr="00255D8D">
        <w:t>Run</w:t>
      </w:r>
      <w:r w:rsidR="0013032F" w:rsidRPr="00255D8D">
        <w:t xml:space="preserve"> </w:t>
      </w:r>
      <w:r w:rsidRPr="00255D8D">
        <w:t>by</w:t>
      </w:r>
      <w:r w:rsidR="0013032F" w:rsidRPr="00255D8D">
        <w:t xml:space="preserve"> </w:t>
      </w:r>
      <w:r w:rsidRPr="00255D8D">
        <w:t>Ballarat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District</w:t>
      </w:r>
      <w:r w:rsidR="0013032F" w:rsidRPr="00255D8D">
        <w:t xml:space="preserve"> </w:t>
      </w:r>
      <w:r w:rsidRPr="00255D8D">
        <w:t>Aboriginal</w:t>
      </w:r>
      <w:r w:rsidR="0013032F" w:rsidRPr="00255D8D">
        <w:t xml:space="preserve"> </w:t>
      </w:r>
      <w:r w:rsidRPr="00255D8D">
        <w:t>Co-o</w:t>
      </w:r>
      <w:r w:rsidRPr="00255D8D">
        <w:t>perative</w:t>
      </w:r>
      <w:r w:rsidR="0013032F" w:rsidRPr="00255D8D">
        <w:t xml:space="preserve"> </w:t>
      </w:r>
      <w:r w:rsidRPr="00255D8D">
        <w:t>(BADAC),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gallery</w:t>
      </w:r>
      <w:r w:rsidR="0013032F" w:rsidRPr="00255D8D">
        <w:t xml:space="preserve"> </w:t>
      </w:r>
      <w:r w:rsidRPr="00255D8D">
        <w:t>showcases</w:t>
      </w:r>
      <w:r w:rsidR="0013032F" w:rsidRPr="00255D8D">
        <w:t xml:space="preserve"> </w:t>
      </w:r>
      <w:r w:rsidRPr="00255D8D">
        <w:t>Aboriginal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Torres</w:t>
      </w:r>
      <w:r w:rsidR="0013032F" w:rsidRPr="00255D8D">
        <w:t xml:space="preserve"> </w:t>
      </w:r>
      <w:r w:rsidRPr="00255D8D">
        <w:t>Strait</w:t>
      </w:r>
      <w:r w:rsidR="0013032F" w:rsidRPr="00255D8D">
        <w:t xml:space="preserve"> </w:t>
      </w:r>
      <w:r w:rsidRPr="00255D8D">
        <w:t>Islander</w:t>
      </w:r>
      <w:r w:rsidR="0013032F" w:rsidRPr="00255D8D">
        <w:t xml:space="preserve"> </w:t>
      </w:r>
      <w:r w:rsidRPr="00255D8D">
        <w:t>stories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art</w:t>
      </w:r>
      <w:r w:rsidR="0013032F" w:rsidRPr="00255D8D">
        <w:t xml:space="preserve"> </w:t>
      </w:r>
      <w:r w:rsidRPr="00255D8D">
        <w:t>with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wider</w:t>
      </w:r>
      <w:r w:rsidR="0013032F" w:rsidRPr="00255D8D">
        <w:t xml:space="preserve"> </w:t>
      </w:r>
      <w:r w:rsidRPr="00255D8D">
        <w:t>community.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proofErr w:type="spellStart"/>
      <w:r w:rsidRPr="00255D8D">
        <w:t>Perridak</w:t>
      </w:r>
      <w:proofErr w:type="spellEnd"/>
      <w:r w:rsidR="0013032F" w:rsidRPr="00255D8D">
        <w:t xml:space="preserve"> </w:t>
      </w:r>
      <w:r w:rsidRPr="00255D8D">
        <w:t>Art</w:t>
      </w:r>
      <w:r w:rsidR="0013032F" w:rsidRPr="00255D8D">
        <w:t xml:space="preserve"> </w:t>
      </w:r>
      <w:r w:rsidRPr="00255D8D">
        <w:t>Gallery</w:t>
      </w:r>
      <w:r w:rsidR="0013032F" w:rsidRPr="00255D8D">
        <w:t xml:space="preserve"> </w:t>
      </w:r>
      <w:r w:rsidRPr="00255D8D">
        <w:t>supports</w:t>
      </w:r>
      <w:r w:rsidR="0013032F" w:rsidRPr="00255D8D">
        <w:t xml:space="preserve"> </w:t>
      </w:r>
      <w:r w:rsidRPr="00255D8D">
        <w:t>employment,</w:t>
      </w:r>
      <w:r w:rsidR="0013032F" w:rsidRPr="00255D8D">
        <w:t xml:space="preserve"> </w:t>
      </w:r>
      <w:r w:rsidRPr="00255D8D">
        <w:t>creates</w:t>
      </w:r>
      <w:r w:rsidR="0013032F" w:rsidRPr="00255D8D">
        <w:t xml:space="preserve"> </w:t>
      </w:r>
      <w:r w:rsidRPr="00255D8D">
        <w:t>training</w:t>
      </w:r>
      <w:r w:rsidR="0013032F" w:rsidRPr="00255D8D">
        <w:t xml:space="preserve"> </w:t>
      </w:r>
      <w:r w:rsidRPr="00255D8D">
        <w:t>opportunities</w:t>
      </w:r>
      <w:r w:rsidR="0013032F" w:rsidRPr="00255D8D">
        <w:t xml:space="preserve"> </w:t>
      </w:r>
      <w:r w:rsidRPr="00255D8D">
        <w:t>for</w:t>
      </w:r>
      <w:r w:rsidR="0013032F" w:rsidRPr="00255D8D">
        <w:t xml:space="preserve"> </w:t>
      </w:r>
      <w:r w:rsidRPr="00255D8D">
        <w:t>Aboriginal</w:t>
      </w:r>
      <w:r w:rsidR="0013032F" w:rsidRPr="00255D8D">
        <w:t xml:space="preserve"> </w:t>
      </w:r>
      <w:r w:rsidRPr="00255D8D">
        <w:t>people</w:t>
      </w:r>
      <w:r w:rsidR="0013032F" w:rsidRPr="00255D8D">
        <w:t xml:space="preserve"> </w:t>
      </w:r>
      <w:r w:rsidRPr="00255D8D">
        <w:t>in</w:t>
      </w:r>
      <w:r w:rsidR="0013032F" w:rsidRPr="00255D8D">
        <w:t xml:space="preserve"> </w:t>
      </w:r>
      <w:r w:rsidRPr="00255D8D">
        <w:t>retail,</w:t>
      </w:r>
      <w:r w:rsidR="0013032F" w:rsidRPr="00255D8D">
        <w:t xml:space="preserve"> </w:t>
      </w:r>
      <w:r w:rsidRPr="00255D8D">
        <w:t>management,</w:t>
      </w:r>
      <w:r w:rsidR="0013032F" w:rsidRPr="00255D8D">
        <w:t xml:space="preserve"> </w:t>
      </w:r>
      <w:r w:rsidRPr="00255D8D">
        <w:t>framing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display,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will</w:t>
      </w:r>
      <w:r w:rsidR="0013032F" w:rsidRPr="00255D8D">
        <w:t xml:space="preserve"> </w:t>
      </w:r>
      <w:r w:rsidRPr="00255D8D">
        <w:t>drive</w:t>
      </w:r>
      <w:r w:rsidR="0013032F" w:rsidRPr="00255D8D">
        <w:t xml:space="preserve"> </w:t>
      </w:r>
      <w:r w:rsidRPr="00255D8D">
        <w:t>Aboriginal</w:t>
      </w:r>
      <w:r w:rsidR="0013032F" w:rsidRPr="00255D8D">
        <w:t xml:space="preserve"> </w:t>
      </w:r>
      <w:r w:rsidRPr="00255D8D">
        <w:t>cultural</w:t>
      </w:r>
      <w:r w:rsidR="0013032F" w:rsidRPr="00255D8D">
        <w:t xml:space="preserve"> </w:t>
      </w:r>
      <w:r w:rsidRPr="00255D8D">
        <w:t>experiences</w:t>
      </w:r>
      <w:r w:rsidR="0013032F" w:rsidRPr="00255D8D">
        <w:t xml:space="preserve"> </w:t>
      </w:r>
      <w:r w:rsidRPr="00255D8D">
        <w:t>in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Ballarat</w:t>
      </w:r>
      <w:r w:rsidR="0013032F" w:rsidRPr="00255D8D">
        <w:t xml:space="preserve"> </w:t>
      </w:r>
      <w:r w:rsidRPr="00255D8D">
        <w:t>region</w:t>
      </w:r>
      <w:r w:rsidR="0013032F" w:rsidRPr="00255D8D">
        <w:t xml:space="preserve"> </w:t>
      </w:r>
      <w:r w:rsidRPr="00255D8D">
        <w:t>for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economic,</w:t>
      </w:r>
      <w:r w:rsidR="0013032F" w:rsidRPr="00255D8D">
        <w:t xml:space="preserve"> </w:t>
      </w:r>
      <w:r w:rsidRPr="00255D8D">
        <w:t>social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cultural</w:t>
      </w:r>
      <w:r w:rsidR="0013032F" w:rsidRPr="00255D8D">
        <w:t xml:space="preserve"> </w:t>
      </w:r>
      <w:r w:rsidRPr="00255D8D">
        <w:t>benefit</w:t>
      </w:r>
      <w:r w:rsidR="0013032F" w:rsidRPr="00255D8D">
        <w:t xml:space="preserve"> </w:t>
      </w:r>
      <w:r w:rsidRPr="00255D8D">
        <w:t>of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whole</w:t>
      </w:r>
      <w:r w:rsidR="0013032F" w:rsidRPr="00255D8D">
        <w:t xml:space="preserve"> </w:t>
      </w:r>
      <w:r w:rsidRPr="00255D8D">
        <w:t>community</w:t>
      </w:r>
    </w:p>
    <w:p w14:paraId="6D917005" w14:textId="782BA923" w:rsidR="00757772" w:rsidRPr="00255D8D" w:rsidRDefault="00305D3C" w:rsidP="00255D8D">
      <w:pPr>
        <w:pStyle w:val="Bullet"/>
      </w:pPr>
      <w:r w:rsidRPr="00255D8D">
        <w:t>Continued</w:t>
      </w:r>
      <w:r w:rsidR="0013032F" w:rsidRPr="00255D8D">
        <w:t xml:space="preserve"> </w:t>
      </w:r>
      <w:r w:rsidRPr="00255D8D">
        <w:t>to</w:t>
      </w:r>
      <w:r w:rsidR="0013032F" w:rsidRPr="00255D8D">
        <w:t xml:space="preserve"> </w:t>
      </w:r>
      <w:r w:rsidRPr="00255D8D">
        <w:t>transform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Wimmera</w:t>
      </w:r>
      <w:r w:rsidR="0013032F" w:rsidRPr="00255D8D">
        <w:t xml:space="preserve"> </w:t>
      </w:r>
      <w:r w:rsidRPr="00255D8D">
        <w:t>riverfront</w:t>
      </w:r>
      <w:r w:rsidR="0013032F" w:rsidRPr="00255D8D">
        <w:t xml:space="preserve"> </w:t>
      </w:r>
      <w:r w:rsidRPr="00255D8D">
        <w:t>to</w:t>
      </w:r>
      <w:r w:rsidR="0013032F" w:rsidRPr="00255D8D">
        <w:t xml:space="preserve"> </w:t>
      </w:r>
      <w:r w:rsidRPr="00255D8D">
        <w:t>create</w:t>
      </w:r>
      <w:r w:rsidR="0013032F" w:rsidRPr="00255D8D">
        <w:t xml:space="preserve"> </w:t>
      </w:r>
      <w:r w:rsidRPr="00255D8D">
        <w:t>a</w:t>
      </w:r>
      <w:r w:rsidR="0013032F" w:rsidRPr="00255D8D">
        <w:t xml:space="preserve"> </w:t>
      </w:r>
      <w:r w:rsidRPr="00255D8D">
        <w:t>new</w:t>
      </w:r>
      <w:r w:rsidR="0013032F" w:rsidRPr="00255D8D">
        <w:t xml:space="preserve"> </w:t>
      </w:r>
      <w:r w:rsidRPr="00255D8D">
        <w:t>riverside</w:t>
      </w:r>
      <w:r w:rsidR="0013032F" w:rsidRPr="00255D8D">
        <w:t xml:space="preserve"> </w:t>
      </w:r>
      <w:r w:rsidRPr="00255D8D">
        <w:t>destination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public</w:t>
      </w:r>
      <w:r w:rsidR="0013032F" w:rsidRPr="00255D8D">
        <w:t xml:space="preserve"> </w:t>
      </w:r>
      <w:r w:rsidRPr="00255D8D">
        <w:t>realm</w:t>
      </w:r>
      <w:r w:rsidR="0013032F" w:rsidRPr="00255D8D">
        <w:t xml:space="preserve"> </w:t>
      </w:r>
      <w:r w:rsidRPr="00255D8D">
        <w:t>at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southern</w:t>
      </w:r>
      <w:r w:rsidR="0013032F" w:rsidRPr="00255D8D">
        <w:t xml:space="preserve"> </w:t>
      </w:r>
      <w:r w:rsidRPr="00255D8D">
        <w:t>end</w:t>
      </w:r>
      <w:r w:rsidR="0013032F" w:rsidRPr="00255D8D">
        <w:t xml:space="preserve"> </w:t>
      </w:r>
      <w:r w:rsidRPr="00255D8D">
        <w:t>of</w:t>
      </w:r>
      <w:r w:rsidR="0013032F" w:rsidRPr="00255D8D">
        <w:t xml:space="preserve"> </w:t>
      </w:r>
      <w:r w:rsidRPr="00255D8D">
        <w:t>Horsham’s</w:t>
      </w:r>
      <w:r w:rsidR="0013032F" w:rsidRPr="00255D8D">
        <w:t xml:space="preserve"> </w:t>
      </w:r>
      <w:r w:rsidRPr="00255D8D">
        <w:t>main</w:t>
      </w:r>
      <w:r w:rsidR="0013032F" w:rsidRPr="00255D8D">
        <w:t xml:space="preserve"> </w:t>
      </w:r>
      <w:r w:rsidRPr="00255D8D">
        <w:t>street.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project</w:t>
      </w:r>
      <w:r w:rsidR="0013032F" w:rsidRPr="00255D8D">
        <w:t xml:space="preserve"> </w:t>
      </w:r>
      <w:r w:rsidRPr="00255D8D">
        <w:t>allows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Wimmera</w:t>
      </w:r>
      <w:r w:rsidR="0013032F" w:rsidRPr="00255D8D">
        <w:t xml:space="preserve"> </w:t>
      </w:r>
      <w:r w:rsidRPr="00255D8D">
        <w:t>riverfront’s</w:t>
      </w:r>
      <w:r w:rsidR="0013032F" w:rsidRPr="00255D8D">
        <w:t xml:space="preserve"> </w:t>
      </w:r>
      <w:r w:rsidRPr="00255D8D">
        <w:t>natural</w:t>
      </w:r>
      <w:r w:rsidR="0013032F" w:rsidRPr="00255D8D">
        <w:t xml:space="preserve"> </w:t>
      </w:r>
      <w:r w:rsidRPr="00255D8D">
        <w:t>beauty</w:t>
      </w:r>
      <w:r w:rsidR="0013032F" w:rsidRPr="00255D8D">
        <w:t xml:space="preserve"> </w:t>
      </w:r>
      <w:r w:rsidRPr="00255D8D">
        <w:t>to</w:t>
      </w:r>
      <w:r w:rsidR="0013032F" w:rsidRPr="00255D8D">
        <w:t xml:space="preserve"> </w:t>
      </w:r>
      <w:r w:rsidRPr="00255D8D">
        <w:t>be</w:t>
      </w:r>
      <w:r w:rsidR="0013032F" w:rsidRPr="00255D8D">
        <w:t xml:space="preserve"> </w:t>
      </w:r>
      <w:r w:rsidRPr="00255D8D">
        <w:t>appreciated</w:t>
      </w:r>
      <w:r w:rsidR="0013032F" w:rsidRPr="00255D8D">
        <w:t xml:space="preserve"> </w:t>
      </w:r>
      <w:r w:rsidRPr="00255D8D">
        <w:t>by</w:t>
      </w:r>
      <w:r w:rsidR="0013032F" w:rsidRPr="00255D8D">
        <w:t xml:space="preserve"> </w:t>
      </w:r>
      <w:r w:rsidRPr="00255D8D">
        <w:t>a</w:t>
      </w:r>
      <w:r w:rsidR="0013032F" w:rsidRPr="00255D8D">
        <w:t xml:space="preserve"> </w:t>
      </w:r>
      <w:r w:rsidRPr="00255D8D">
        <w:t>greater</w:t>
      </w:r>
      <w:r w:rsidR="0013032F" w:rsidRPr="00255D8D">
        <w:t xml:space="preserve"> </w:t>
      </w:r>
      <w:r w:rsidRPr="00255D8D">
        <w:t>number</w:t>
      </w:r>
      <w:r w:rsidR="0013032F" w:rsidRPr="00255D8D">
        <w:t xml:space="preserve"> </w:t>
      </w:r>
      <w:r w:rsidRPr="00255D8D">
        <w:t>of</w:t>
      </w:r>
      <w:r w:rsidR="0013032F" w:rsidRPr="00255D8D">
        <w:t xml:space="preserve"> </w:t>
      </w:r>
      <w:r w:rsidRPr="00255D8D">
        <w:t>visitors,</w:t>
      </w:r>
      <w:r w:rsidR="0013032F" w:rsidRPr="00255D8D">
        <w:t xml:space="preserve"> </w:t>
      </w:r>
      <w:r w:rsidRPr="00255D8D">
        <w:t>improves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visitor</w:t>
      </w:r>
      <w:r w:rsidR="0013032F" w:rsidRPr="00255D8D">
        <w:t xml:space="preserve"> </w:t>
      </w:r>
      <w:r w:rsidRPr="00255D8D">
        <w:t>experience,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communicates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history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ongoing</w:t>
      </w:r>
      <w:r w:rsidR="0013032F" w:rsidRPr="00255D8D">
        <w:t xml:space="preserve"> </w:t>
      </w:r>
      <w:r w:rsidRPr="00255D8D">
        <w:t>importance</w:t>
      </w:r>
      <w:r w:rsidR="0013032F" w:rsidRPr="00255D8D">
        <w:t xml:space="preserve"> </w:t>
      </w:r>
      <w:r w:rsidRPr="00255D8D">
        <w:t>of</w:t>
      </w:r>
      <w:r w:rsidR="0013032F" w:rsidRPr="00255D8D">
        <w:t xml:space="preserve"> </w:t>
      </w:r>
      <w:r w:rsidRPr="00255D8D">
        <w:t>Aboriginal</w:t>
      </w:r>
      <w:r w:rsidR="0013032F" w:rsidRPr="00255D8D">
        <w:t xml:space="preserve"> </w:t>
      </w:r>
      <w:r w:rsidRPr="00255D8D">
        <w:t>culture</w:t>
      </w:r>
      <w:r w:rsidR="0013032F" w:rsidRPr="00255D8D">
        <w:t xml:space="preserve"> </w:t>
      </w:r>
      <w:r w:rsidRPr="00255D8D">
        <w:t>to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area</w:t>
      </w:r>
    </w:p>
    <w:p w14:paraId="7F83562A" w14:textId="2C93AEEF" w:rsidR="00757772" w:rsidRPr="00255D8D" w:rsidRDefault="00305D3C" w:rsidP="00255D8D">
      <w:pPr>
        <w:pStyle w:val="Bullet"/>
      </w:pPr>
      <w:r w:rsidRPr="00255D8D">
        <w:t>Supported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Stawell</w:t>
      </w:r>
      <w:r w:rsidR="0013032F" w:rsidRPr="00255D8D">
        <w:t xml:space="preserve"> </w:t>
      </w:r>
      <w:r w:rsidRPr="00255D8D">
        <w:t>Underground</w:t>
      </w:r>
      <w:r w:rsidR="0013032F" w:rsidRPr="00255D8D">
        <w:t xml:space="preserve"> </w:t>
      </w:r>
      <w:r w:rsidRPr="00255D8D">
        <w:t>Physics</w:t>
      </w:r>
      <w:r w:rsidR="0013032F" w:rsidRPr="00255D8D">
        <w:t xml:space="preserve"> </w:t>
      </w:r>
      <w:r w:rsidRPr="00255D8D">
        <w:t>Laboratory</w:t>
      </w:r>
      <w:r w:rsidR="0013032F" w:rsidRPr="00255D8D">
        <w:t xml:space="preserve"> </w:t>
      </w:r>
      <w:r w:rsidRPr="00255D8D">
        <w:t>with</w:t>
      </w:r>
      <w:r w:rsidR="0013032F" w:rsidRPr="00255D8D">
        <w:t xml:space="preserve"> </w:t>
      </w:r>
      <w:r w:rsidRPr="00255D8D">
        <w:t>a</w:t>
      </w:r>
      <w:r w:rsidR="0013032F" w:rsidRPr="00255D8D">
        <w:t xml:space="preserve"> </w:t>
      </w:r>
      <w:r w:rsidRPr="00255D8D">
        <w:t>$5</w:t>
      </w:r>
      <w:r w:rsidR="0013032F" w:rsidRPr="00255D8D">
        <w:t xml:space="preserve"> </w:t>
      </w:r>
      <w:r w:rsidRPr="00255D8D">
        <w:t>million</w:t>
      </w:r>
      <w:r w:rsidR="0013032F" w:rsidRPr="00255D8D">
        <w:t xml:space="preserve"> </w:t>
      </w:r>
      <w:r w:rsidRPr="00255D8D">
        <w:t>investment</w:t>
      </w:r>
      <w:r w:rsidR="0013032F" w:rsidRPr="00255D8D">
        <w:t xml:space="preserve"> </w:t>
      </w:r>
      <w:r w:rsidRPr="00255D8D">
        <w:t>each</w:t>
      </w:r>
      <w:r w:rsidR="0013032F" w:rsidRPr="00255D8D">
        <w:t xml:space="preserve"> </w:t>
      </w:r>
      <w:r w:rsidRPr="00255D8D">
        <w:t>from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Victorian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Australian</w:t>
      </w:r>
      <w:r w:rsidR="0013032F" w:rsidRPr="00255D8D">
        <w:t xml:space="preserve"> </w:t>
      </w:r>
      <w:r w:rsidRPr="00255D8D">
        <w:t>governments.</w:t>
      </w:r>
      <w:r w:rsidR="0013032F" w:rsidRPr="00255D8D">
        <w:t xml:space="preserve"> </w:t>
      </w:r>
      <w:r w:rsidRPr="00255D8D">
        <w:t>Built</w:t>
      </w:r>
      <w:r w:rsidR="0013032F" w:rsidRPr="00255D8D">
        <w:t xml:space="preserve"> </w:t>
      </w:r>
      <w:r w:rsidRPr="00255D8D">
        <w:t>1</w:t>
      </w:r>
      <w:r w:rsidR="0013032F" w:rsidRPr="00255D8D">
        <w:t xml:space="preserve"> </w:t>
      </w:r>
      <w:r w:rsidRPr="00255D8D">
        <w:t>km</w:t>
      </w:r>
      <w:r w:rsidR="0013032F" w:rsidRPr="00255D8D">
        <w:t xml:space="preserve"> </w:t>
      </w:r>
      <w:r w:rsidRPr="00255D8D">
        <w:t>underground</w:t>
      </w:r>
      <w:r w:rsidR="0013032F" w:rsidRPr="00255D8D">
        <w:t xml:space="preserve"> </w:t>
      </w:r>
      <w:r w:rsidRPr="00255D8D">
        <w:t>in</w:t>
      </w:r>
      <w:r w:rsidR="0013032F" w:rsidRPr="00255D8D">
        <w:t xml:space="preserve"> </w:t>
      </w:r>
      <w:r w:rsidRPr="00255D8D">
        <w:t>disused</w:t>
      </w:r>
      <w:r w:rsidR="0013032F" w:rsidRPr="00255D8D">
        <w:t xml:space="preserve"> </w:t>
      </w:r>
      <w:r w:rsidRPr="00255D8D">
        <w:t>sections</w:t>
      </w:r>
      <w:r w:rsidR="0013032F" w:rsidRPr="00255D8D">
        <w:t xml:space="preserve"> </w:t>
      </w:r>
      <w:r w:rsidRPr="00255D8D">
        <w:t>of</w:t>
      </w:r>
      <w:r w:rsidR="0013032F" w:rsidRPr="00255D8D">
        <w:t xml:space="preserve"> </w:t>
      </w:r>
      <w:r w:rsidRPr="00255D8D">
        <w:t>a</w:t>
      </w:r>
      <w:r w:rsidR="0013032F" w:rsidRPr="00255D8D">
        <w:t xml:space="preserve"> </w:t>
      </w:r>
      <w:r w:rsidRPr="00255D8D">
        <w:t>working</w:t>
      </w:r>
      <w:r w:rsidR="0013032F" w:rsidRPr="00255D8D">
        <w:t xml:space="preserve"> </w:t>
      </w:r>
      <w:r w:rsidRPr="00255D8D">
        <w:t>gold</w:t>
      </w:r>
      <w:r w:rsidR="0013032F" w:rsidRPr="00255D8D">
        <w:t xml:space="preserve"> </w:t>
      </w:r>
      <w:r w:rsidRPr="00255D8D">
        <w:t>mine</w:t>
      </w:r>
      <w:r w:rsidR="0013032F" w:rsidRPr="00255D8D">
        <w:t xml:space="preserve"> </w:t>
      </w:r>
      <w:r w:rsidRPr="00255D8D">
        <w:t>in</w:t>
      </w:r>
      <w:r w:rsidR="0013032F" w:rsidRPr="00255D8D">
        <w:t xml:space="preserve"> </w:t>
      </w:r>
      <w:r w:rsidRPr="00255D8D">
        <w:t>Stawell,</w:t>
      </w:r>
      <w:r w:rsidR="0013032F" w:rsidRPr="00255D8D">
        <w:t xml:space="preserve"> </w:t>
      </w:r>
      <w:r w:rsidRPr="00255D8D">
        <w:t>a</w:t>
      </w:r>
      <w:r w:rsidR="0013032F" w:rsidRPr="00255D8D">
        <w:t xml:space="preserve"> </w:t>
      </w:r>
      <w:r w:rsidRPr="00255D8D">
        <w:t>team</w:t>
      </w:r>
      <w:r w:rsidR="0013032F" w:rsidRPr="00255D8D">
        <w:t xml:space="preserve"> </w:t>
      </w:r>
      <w:r w:rsidRPr="00255D8D">
        <w:t>of</w:t>
      </w:r>
      <w:r w:rsidR="0013032F" w:rsidRPr="00255D8D">
        <w:t xml:space="preserve"> </w:t>
      </w:r>
      <w:r w:rsidRPr="00255D8D">
        <w:t>scientists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engineers</w:t>
      </w:r>
      <w:r w:rsidR="0013032F" w:rsidRPr="00255D8D">
        <w:t xml:space="preserve"> </w:t>
      </w:r>
      <w:r w:rsidRPr="00255D8D">
        <w:t>is</w:t>
      </w:r>
      <w:r w:rsidR="0013032F" w:rsidRPr="00255D8D">
        <w:t xml:space="preserve"> </w:t>
      </w:r>
      <w:r w:rsidRPr="00255D8D">
        <w:t>working</w:t>
      </w:r>
      <w:r w:rsidR="0013032F" w:rsidRPr="00255D8D">
        <w:t xml:space="preserve"> </w:t>
      </w:r>
      <w:r w:rsidRPr="00255D8D">
        <w:t>to</w:t>
      </w:r>
      <w:r w:rsidR="0013032F" w:rsidRPr="00255D8D">
        <w:t xml:space="preserve"> </w:t>
      </w:r>
      <w:r w:rsidRPr="00255D8D">
        <w:t>discover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elusive</w:t>
      </w:r>
      <w:r w:rsidR="0013032F" w:rsidRPr="00255D8D">
        <w:t xml:space="preserve"> </w:t>
      </w:r>
      <w:r w:rsidRPr="00255D8D">
        <w:t>nature</w:t>
      </w:r>
      <w:r w:rsidR="0013032F" w:rsidRPr="00255D8D">
        <w:t xml:space="preserve"> </w:t>
      </w:r>
      <w:r w:rsidRPr="00255D8D">
        <w:t>of</w:t>
      </w:r>
      <w:r w:rsidR="0013032F" w:rsidRPr="00255D8D">
        <w:t xml:space="preserve"> </w:t>
      </w:r>
      <w:r w:rsidRPr="00255D8D">
        <w:t>dark</w:t>
      </w:r>
      <w:r w:rsidR="0013032F" w:rsidRPr="00255D8D">
        <w:t xml:space="preserve"> </w:t>
      </w:r>
      <w:r w:rsidRPr="00255D8D">
        <w:t>matter.</w:t>
      </w:r>
      <w:r w:rsidR="0013032F" w:rsidRPr="00255D8D">
        <w:t xml:space="preserve"> </w:t>
      </w:r>
    </w:p>
    <w:p w14:paraId="6C8D8E41" w14:textId="68B6BEF6" w:rsidR="00757772" w:rsidRPr="00255D8D" w:rsidRDefault="00305D3C" w:rsidP="00255D8D">
      <w:pPr>
        <w:pStyle w:val="Bullet"/>
      </w:pPr>
      <w:r w:rsidRPr="00255D8D">
        <w:t>Revitalised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suburb</w:t>
      </w:r>
      <w:r w:rsidR="0013032F" w:rsidRPr="00255D8D">
        <w:t xml:space="preserve"> </w:t>
      </w:r>
      <w:r w:rsidRPr="00255D8D">
        <w:t>of</w:t>
      </w:r>
      <w:r w:rsidR="0013032F" w:rsidRPr="00255D8D">
        <w:t xml:space="preserve"> </w:t>
      </w:r>
      <w:r w:rsidRPr="00255D8D">
        <w:t>Sebastopol</w:t>
      </w:r>
      <w:r w:rsidR="0013032F" w:rsidRPr="00255D8D">
        <w:t xml:space="preserve"> </w:t>
      </w:r>
      <w:r w:rsidRPr="00255D8D">
        <w:t>in</w:t>
      </w:r>
      <w:r w:rsidR="0013032F" w:rsidRPr="00255D8D">
        <w:t xml:space="preserve"> </w:t>
      </w:r>
      <w:r w:rsidRPr="00255D8D">
        <w:t>Ballarat</w:t>
      </w:r>
      <w:r w:rsidR="0013032F" w:rsidRPr="00255D8D">
        <w:t xml:space="preserve"> </w:t>
      </w:r>
      <w:r w:rsidRPr="00255D8D">
        <w:t>through</w:t>
      </w:r>
      <w:r w:rsidR="0013032F" w:rsidRPr="00255D8D">
        <w:t xml:space="preserve"> </w:t>
      </w:r>
      <w:r w:rsidRPr="00255D8D">
        <w:t>13</w:t>
      </w:r>
      <w:r w:rsidR="0013032F" w:rsidRPr="00255D8D">
        <w:t xml:space="preserve"> </w:t>
      </w:r>
      <w:r w:rsidRPr="00255D8D">
        <w:t>projects</w:t>
      </w:r>
      <w:r w:rsidR="0013032F" w:rsidRPr="00255D8D">
        <w:t xml:space="preserve"> </w:t>
      </w:r>
      <w:r w:rsidRPr="00255D8D">
        <w:t>that</w:t>
      </w:r>
      <w:r w:rsidR="0013032F" w:rsidRPr="00255D8D">
        <w:t xml:space="preserve"> </w:t>
      </w:r>
      <w:r w:rsidRPr="00255D8D">
        <w:t>have</w:t>
      </w:r>
      <w:r w:rsidR="0013032F" w:rsidRPr="00255D8D">
        <w:t xml:space="preserve"> </w:t>
      </w:r>
      <w:r w:rsidRPr="00255D8D">
        <w:t>so</w:t>
      </w:r>
      <w:r w:rsidR="0013032F" w:rsidRPr="00255D8D">
        <w:t xml:space="preserve"> </w:t>
      </w:r>
      <w:r w:rsidRPr="00255D8D">
        <w:t>far</w:t>
      </w:r>
      <w:r w:rsidR="0013032F" w:rsidRPr="00255D8D">
        <w:t xml:space="preserve"> </w:t>
      </w:r>
      <w:r w:rsidRPr="00255D8D">
        <w:t>delivered</w:t>
      </w:r>
      <w:r w:rsidR="0013032F" w:rsidRPr="00255D8D">
        <w:t xml:space="preserve"> </w:t>
      </w:r>
      <w:r w:rsidRPr="00255D8D">
        <w:t>extensive</w:t>
      </w:r>
      <w:r w:rsidR="0013032F" w:rsidRPr="00255D8D">
        <w:t xml:space="preserve"> </w:t>
      </w:r>
      <w:r w:rsidRPr="00255D8D">
        <w:t>tree</w:t>
      </w:r>
      <w:r w:rsidR="0013032F" w:rsidRPr="00255D8D">
        <w:t xml:space="preserve"> </w:t>
      </w:r>
      <w:r w:rsidRPr="00255D8D">
        <w:t>plantings,</w:t>
      </w:r>
      <w:r w:rsidR="0013032F" w:rsidRPr="00255D8D">
        <w:t xml:space="preserve"> </w:t>
      </w:r>
      <w:r w:rsidRPr="00255D8D">
        <w:t>street</w:t>
      </w:r>
      <w:r w:rsidR="0013032F" w:rsidRPr="00255D8D">
        <w:t xml:space="preserve"> </w:t>
      </w:r>
      <w:r w:rsidRPr="00255D8D">
        <w:t>landscaping,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new</w:t>
      </w:r>
      <w:r w:rsidR="0013032F" w:rsidRPr="00255D8D">
        <w:t xml:space="preserve"> </w:t>
      </w:r>
      <w:r w:rsidRPr="00255D8D">
        <w:t>infrastructure</w:t>
      </w:r>
      <w:r w:rsidR="0013032F" w:rsidRPr="00255D8D">
        <w:t xml:space="preserve"> </w:t>
      </w:r>
      <w:r w:rsidRPr="00255D8D">
        <w:t>including</w:t>
      </w:r>
      <w:r w:rsidR="0013032F" w:rsidRPr="00255D8D">
        <w:t xml:space="preserve"> </w:t>
      </w:r>
      <w:r w:rsidRPr="00255D8D">
        <w:t>a</w:t>
      </w:r>
      <w:r w:rsidR="0013032F" w:rsidRPr="00255D8D">
        <w:t xml:space="preserve"> </w:t>
      </w:r>
      <w:r w:rsidRPr="00255D8D">
        <w:t>skate</w:t>
      </w:r>
      <w:r w:rsidR="0013032F" w:rsidRPr="00255D8D">
        <w:t xml:space="preserve"> </w:t>
      </w:r>
      <w:r w:rsidRPr="00255D8D">
        <w:t>facility,</w:t>
      </w:r>
      <w:r w:rsidR="0013032F" w:rsidRPr="00255D8D">
        <w:t xml:space="preserve"> </w:t>
      </w:r>
      <w:r w:rsidRPr="00255D8D">
        <w:t>3</w:t>
      </w:r>
      <w:r w:rsidR="0013032F" w:rsidRPr="00255D8D">
        <w:t xml:space="preserve"> </w:t>
      </w:r>
      <w:r w:rsidRPr="00255D8D">
        <w:t>x</w:t>
      </w:r>
      <w:r w:rsidR="0013032F" w:rsidRPr="00255D8D">
        <w:t xml:space="preserve"> </w:t>
      </w:r>
      <w:r w:rsidRPr="00255D8D">
        <w:t>3</w:t>
      </w:r>
      <w:r w:rsidR="0013032F" w:rsidRPr="00255D8D">
        <w:t xml:space="preserve"> </w:t>
      </w:r>
      <w:r w:rsidRPr="00255D8D">
        <w:t>basketball</w:t>
      </w:r>
      <w:r w:rsidR="0013032F" w:rsidRPr="00255D8D">
        <w:t xml:space="preserve"> </w:t>
      </w:r>
      <w:r w:rsidRPr="00255D8D">
        <w:t>court</w:t>
      </w:r>
      <w:r w:rsidR="0013032F" w:rsidRPr="00255D8D">
        <w:t xml:space="preserve"> </w:t>
      </w:r>
      <w:r w:rsidRPr="00255D8D">
        <w:t>at</w:t>
      </w:r>
      <w:r w:rsidR="0013032F" w:rsidRPr="00255D8D">
        <w:t xml:space="preserve"> </w:t>
      </w:r>
      <w:r w:rsidRPr="00255D8D">
        <w:t>M.R</w:t>
      </w:r>
      <w:r w:rsidR="0013032F" w:rsidRPr="00255D8D">
        <w:t xml:space="preserve"> </w:t>
      </w:r>
      <w:r w:rsidRPr="00255D8D">
        <w:t>Power</w:t>
      </w:r>
      <w:r w:rsidR="0013032F" w:rsidRPr="00255D8D">
        <w:t xml:space="preserve"> </w:t>
      </w:r>
      <w:r w:rsidRPr="00255D8D">
        <w:t>Park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additional</w:t>
      </w:r>
      <w:r w:rsidR="0013032F" w:rsidRPr="00255D8D">
        <w:t xml:space="preserve"> </w:t>
      </w:r>
      <w:r w:rsidRPr="00255D8D">
        <w:t>lighting</w:t>
      </w:r>
      <w:r w:rsidR="0013032F" w:rsidRPr="00255D8D">
        <w:t xml:space="preserve"> </w:t>
      </w:r>
      <w:r w:rsidRPr="00255D8D">
        <w:t>to</w:t>
      </w:r>
      <w:r w:rsidR="0013032F" w:rsidRPr="00255D8D">
        <w:t xml:space="preserve"> </w:t>
      </w:r>
      <w:r w:rsidRPr="00255D8D">
        <w:t>support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junior</w:t>
      </w:r>
      <w:r w:rsidR="0013032F" w:rsidRPr="00255D8D">
        <w:t xml:space="preserve"> </w:t>
      </w:r>
      <w:r w:rsidRPr="00255D8D">
        <w:t>soccer</w:t>
      </w:r>
      <w:r w:rsidR="0013032F" w:rsidRPr="00255D8D">
        <w:t xml:space="preserve"> </w:t>
      </w:r>
      <w:r w:rsidRPr="00255D8D">
        <w:t>teams</w:t>
      </w:r>
      <w:r w:rsidR="0013032F" w:rsidRPr="00255D8D">
        <w:t xml:space="preserve"> </w:t>
      </w:r>
      <w:r w:rsidRPr="00255D8D">
        <w:t>at</w:t>
      </w:r>
      <w:r w:rsidR="0013032F" w:rsidRPr="00255D8D">
        <w:t xml:space="preserve"> </w:t>
      </w:r>
      <w:r w:rsidRPr="00255D8D">
        <w:t>St</w:t>
      </w:r>
      <w:r w:rsidR="0013032F" w:rsidRPr="00255D8D">
        <w:t xml:space="preserve"> </w:t>
      </w:r>
      <w:r w:rsidRPr="00255D8D">
        <w:t>George’s</w:t>
      </w:r>
      <w:r w:rsidR="0013032F" w:rsidRPr="00255D8D">
        <w:t xml:space="preserve"> </w:t>
      </w:r>
      <w:r w:rsidRPr="00255D8D">
        <w:t>Reserve.</w:t>
      </w:r>
      <w:r w:rsidR="0013032F" w:rsidRPr="00255D8D">
        <w:t xml:space="preserve"> </w:t>
      </w:r>
    </w:p>
    <w:p w14:paraId="0D973D57" w14:textId="0FA4EF8A" w:rsidR="00757772" w:rsidRPr="00255D8D" w:rsidRDefault="00305D3C" w:rsidP="00255D8D">
      <w:pPr>
        <w:pStyle w:val="Bullet"/>
      </w:pPr>
      <w:r w:rsidRPr="00255D8D">
        <w:t>Supported</w:t>
      </w:r>
      <w:r w:rsidR="0013032F" w:rsidRPr="00255D8D">
        <w:t xml:space="preserve"> </w:t>
      </w:r>
      <w:r w:rsidRPr="00255D8D">
        <w:t>Regional</w:t>
      </w:r>
      <w:r w:rsidR="0013032F" w:rsidRPr="00255D8D">
        <w:t xml:space="preserve"> </w:t>
      </w:r>
      <w:r w:rsidRPr="00255D8D">
        <w:t>Workforce</w:t>
      </w:r>
      <w:r w:rsidR="0013032F" w:rsidRPr="00255D8D">
        <w:t xml:space="preserve"> </w:t>
      </w:r>
      <w:r w:rsidRPr="00255D8D">
        <w:t>Pilots</w:t>
      </w:r>
      <w:r w:rsidR="0013032F" w:rsidRPr="00255D8D">
        <w:t xml:space="preserve"> </w:t>
      </w:r>
      <w:r w:rsidRPr="00255D8D">
        <w:t>that</w:t>
      </w:r>
      <w:r w:rsidR="0013032F" w:rsidRPr="00255D8D">
        <w:t xml:space="preserve"> </w:t>
      </w:r>
      <w:r w:rsidRPr="00255D8D">
        <w:t>are</w:t>
      </w:r>
      <w:r w:rsidR="0013032F" w:rsidRPr="00255D8D">
        <w:t xml:space="preserve"> </w:t>
      </w:r>
      <w:r w:rsidRPr="00255D8D">
        <w:t>strategically</w:t>
      </w:r>
      <w:r w:rsidR="0013032F" w:rsidRPr="00255D8D">
        <w:t xml:space="preserve"> </w:t>
      </w:r>
      <w:r w:rsidRPr="00255D8D">
        <w:t>located</w:t>
      </w:r>
      <w:r w:rsidR="0013032F" w:rsidRPr="00255D8D">
        <w:t xml:space="preserve"> </w:t>
      </w:r>
      <w:r w:rsidRPr="00255D8D">
        <w:t>across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state</w:t>
      </w:r>
      <w:r w:rsidR="0013032F" w:rsidRPr="00255D8D">
        <w:t xml:space="preserve"> </w:t>
      </w:r>
      <w:r w:rsidRPr="00255D8D">
        <w:t>to</w:t>
      </w:r>
      <w:r w:rsidR="0013032F" w:rsidRPr="00255D8D">
        <w:t xml:space="preserve"> </w:t>
      </w:r>
      <w:r w:rsidRPr="00255D8D">
        <w:t>help</w:t>
      </w:r>
      <w:r w:rsidR="0013032F" w:rsidRPr="00255D8D">
        <w:t xml:space="preserve"> </w:t>
      </w:r>
      <w:r w:rsidRPr="00255D8D">
        <w:t>rural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regional</w:t>
      </w:r>
      <w:r w:rsidR="0013032F" w:rsidRPr="00255D8D">
        <w:t xml:space="preserve"> </w:t>
      </w:r>
      <w:r w:rsidRPr="00255D8D">
        <w:t>communities</w:t>
      </w:r>
      <w:r w:rsidR="0013032F" w:rsidRPr="00255D8D">
        <w:t xml:space="preserve"> </w:t>
      </w:r>
      <w:r w:rsidRPr="00255D8D">
        <w:t>attract</w:t>
      </w:r>
      <w:r w:rsidR="0013032F" w:rsidRPr="00255D8D">
        <w:t xml:space="preserve"> </w:t>
      </w:r>
      <w:r w:rsidRPr="00255D8D">
        <w:t>more</w:t>
      </w:r>
      <w:r w:rsidR="0013032F" w:rsidRPr="00255D8D">
        <w:t xml:space="preserve"> </w:t>
      </w:r>
      <w:r w:rsidRPr="00255D8D">
        <w:t>skilled</w:t>
      </w:r>
      <w:r w:rsidR="0013032F" w:rsidRPr="00255D8D">
        <w:t xml:space="preserve"> </w:t>
      </w:r>
      <w:r w:rsidRPr="00255D8D">
        <w:t>workers</w:t>
      </w:r>
      <w:r w:rsidR="0013032F" w:rsidRPr="00255D8D">
        <w:t xml:space="preserve"> </w:t>
      </w:r>
      <w:r w:rsidRPr="00255D8D">
        <w:t>which</w:t>
      </w:r>
      <w:r w:rsidR="0013032F" w:rsidRPr="00255D8D">
        <w:t xml:space="preserve"> </w:t>
      </w:r>
      <w:r w:rsidRPr="00255D8D">
        <w:t>they</w:t>
      </w:r>
      <w:r w:rsidR="0013032F" w:rsidRPr="00255D8D">
        <w:t xml:space="preserve"> </w:t>
      </w:r>
      <w:r w:rsidRPr="00255D8D">
        <w:t>need</w:t>
      </w:r>
      <w:r w:rsidR="0013032F" w:rsidRPr="00255D8D">
        <w:t xml:space="preserve"> </w:t>
      </w:r>
      <w:r w:rsidRPr="00255D8D">
        <w:t>to</w:t>
      </w:r>
      <w:r w:rsidR="0013032F" w:rsidRPr="00255D8D">
        <w:t xml:space="preserve"> </w:t>
      </w:r>
      <w:r w:rsidRPr="00255D8D">
        <w:t>grow.</w:t>
      </w:r>
      <w:r w:rsidR="0013032F" w:rsidRPr="00255D8D">
        <w:t xml:space="preserve"> </w:t>
      </w:r>
      <w:r w:rsidRPr="00255D8D">
        <w:t>The</w:t>
      </w:r>
      <w:r w:rsidR="0013032F" w:rsidRPr="00255D8D">
        <w:t xml:space="preserve"> </w:t>
      </w:r>
      <w:r w:rsidRPr="00255D8D">
        <w:t>Grampians</w:t>
      </w:r>
      <w:r w:rsidR="0013032F" w:rsidRPr="00255D8D">
        <w:t xml:space="preserve"> </w:t>
      </w:r>
      <w:r w:rsidRPr="00255D8D">
        <w:t>resettlement</w:t>
      </w:r>
      <w:r w:rsidR="0013032F" w:rsidRPr="00255D8D">
        <w:t xml:space="preserve"> </w:t>
      </w:r>
      <w:r w:rsidRPr="00255D8D">
        <w:t>program</w:t>
      </w:r>
      <w:r w:rsidR="0013032F" w:rsidRPr="00255D8D">
        <w:t xml:space="preserve"> </w:t>
      </w:r>
      <w:r w:rsidRPr="00255D8D">
        <w:t>is</w:t>
      </w:r>
      <w:r w:rsidR="0013032F" w:rsidRPr="00255D8D">
        <w:t xml:space="preserve"> </w:t>
      </w:r>
      <w:r w:rsidRPr="00255D8D">
        <w:t>supporting</w:t>
      </w:r>
      <w:r w:rsidR="0013032F" w:rsidRPr="00255D8D">
        <w:t xml:space="preserve"> </w:t>
      </w:r>
      <w:r w:rsidRPr="00255D8D">
        <w:t>new</w:t>
      </w:r>
      <w:r w:rsidR="0013032F" w:rsidRPr="00255D8D">
        <w:t xml:space="preserve"> </w:t>
      </w:r>
      <w:r w:rsidRPr="00255D8D">
        <w:t>migrants</w:t>
      </w:r>
      <w:r w:rsidR="0013032F" w:rsidRPr="00255D8D">
        <w:t xml:space="preserve"> </w:t>
      </w:r>
      <w:r w:rsidRPr="00255D8D">
        <w:t>in</w:t>
      </w:r>
      <w:r w:rsidR="0013032F" w:rsidRPr="00255D8D">
        <w:t xml:space="preserve"> </w:t>
      </w:r>
      <w:r w:rsidRPr="00255D8D">
        <w:t>Ararat</w:t>
      </w:r>
      <w:r w:rsidR="0013032F" w:rsidRPr="00255D8D">
        <w:t xml:space="preserve"> </w:t>
      </w:r>
      <w:r w:rsidRPr="00255D8D">
        <w:t>to</w:t>
      </w:r>
      <w:r w:rsidR="0013032F" w:rsidRPr="00255D8D">
        <w:t xml:space="preserve"> </w:t>
      </w:r>
      <w:r w:rsidRPr="00255D8D">
        <w:lastRenderedPageBreak/>
        <w:t>engage</w:t>
      </w:r>
      <w:r w:rsidR="0013032F" w:rsidRPr="00255D8D">
        <w:t xml:space="preserve"> </w:t>
      </w:r>
      <w:r w:rsidRPr="00255D8D">
        <w:t>directly</w:t>
      </w:r>
      <w:r w:rsidR="0013032F" w:rsidRPr="00255D8D">
        <w:t xml:space="preserve"> </w:t>
      </w:r>
      <w:r w:rsidRPr="00255D8D">
        <w:t>with</w:t>
      </w:r>
      <w:r w:rsidR="0013032F" w:rsidRPr="00255D8D">
        <w:t xml:space="preserve"> </w:t>
      </w:r>
      <w:r w:rsidRPr="00255D8D">
        <w:t>local</w:t>
      </w:r>
      <w:r w:rsidR="0013032F" w:rsidRPr="00255D8D">
        <w:t xml:space="preserve"> </w:t>
      </w:r>
      <w:r w:rsidRPr="00255D8D">
        <w:t>employers</w:t>
      </w:r>
      <w:r w:rsidR="0013032F" w:rsidRPr="00255D8D">
        <w:t xml:space="preserve"> </w:t>
      </w:r>
      <w:r w:rsidRPr="00255D8D">
        <w:t>to</w:t>
      </w:r>
      <w:r w:rsidR="0013032F" w:rsidRPr="00255D8D">
        <w:t xml:space="preserve"> </w:t>
      </w:r>
      <w:r w:rsidRPr="00255D8D">
        <w:t>provide</w:t>
      </w:r>
      <w:r w:rsidR="0013032F" w:rsidRPr="00255D8D">
        <w:t xml:space="preserve"> </w:t>
      </w:r>
      <w:r w:rsidRPr="00255D8D">
        <w:t>pre</w:t>
      </w:r>
      <w:r w:rsidRPr="00255D8D">
        <w:noBreakHyphen/>
        <w:t>employment</w:t>
      </w:r>
      <w:r w:rsidR="0013032F" w:rsidRPr="00255D8D">
        <w:t xml:space="preserve"> </w:t>
      </w:r>
      <w:r w:rsidRPr="00255D8D">
        <w:t>education</w:t>
      </w:r>
      <w:r w:rsidR="0013032F" w:rsidRPr="00255D8D">
        <w:t xml:space="preserve"> </w:t>
      </w:r>
      <w:r w:rsidRPr="00255D8D">
        <w:t>and</w:t>
      </w:r>
      <w:r w:rsidR="0013032F" w:rsidRPr="00255D8D">
        <w:t xml:space="preserve"> </w:t>
      </w:r>
      <w:r w:rsidRPr="00255D8D">
        <w:t>training</w:t>
      </w:r>
      <w:r w:rsidR="0013032F" w:rsidRPr="00255D8D">
        <w:t xml:space="preserve"> </w:t>
      </w:r>
      <w:r w:rsidRPr="00255D8D">
        <w:t>relevant</w:t>
      </w:r>
      <w:r w:rsidR="0013032F" w:rsidRPr="00255D8D">
        <w:t xml:space="preserve"> </w:t>
      </w:r>
      <w:r w:rsidRPr="00255D8D">
        <w:t>to</w:t>
      </w:r>
      <w:r w:rsidR="0013032F" w:rsidRPr="00255D8D">
        <w:t xml:space="preserve"> </w:t>
      </w:r>
      <w:r w:rsidRPr="00255D8D">
        <w:t>local</w:t>
      </w:r>
      <w:r w:rsidR="0013032F" w:rsidRPr="00255D8D">
        <w:t xml:space="preserve"> </w:t>
      </w:r>
      <w:r w:rsidRPr="00255D8D">
        <w:t>industry</w:t>
      </w:r>
      <w:r w:rsidR="0013032F" w:rsidRPr="00255D8D">
        <w:t xml:space="preserve"> </w:t>
      </w:r>
      <w:r w:rsidRPr="00255D8D">
        <w:t>needs.</w:t>
      </w:r>
    </w:p>
    <w:p w14:paraId="7E18F178" w14:textId="4897569A" w:rsidR="00757772" w:rsidRDefault="00305D3C" w:rsidP="00E36788">
      <w:pPr>
        <w:pStyle w:val="Heading2"/>
      </w:pPr>
      <w:bookmarkStart w:id="49" w:name="_Toc149566595"/>
      <w:r>
        <w:t>Key</w:t>
      </w:r>
      <w:r w:rsidR="0013032F">
        <w:t xml:space="preserve"> </w:t>
      </w:r>
      <w:r>
        <w:t>outcomes</w:t>
      </w:r>
      <w:bookmarkEnd w:id="49"/>
    </w:p>
    <w:p w14:paraId="1DF471A5" w14:textId="3280B6C1" w:rsidR="00757772" w:rsidRPr="00E36788" w:rsidRDefault="00305D3C" w:rsidP="00E36788">
      <w:pPr>
        <w:pStyle w:val="Normalbeforebullets"/>
        <w:rPr>
          <w:b/>
          <w:bCs/>
        </w:rPr>
      </w:pPr>
      <w:r w:rsidRPr="00E36788">
        <w:rPr>
          <w:b/>
          <w:bCs/>
        </w:rPr>
        <w:t>Investment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in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the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Asia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Pacific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Renewable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Energy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Tech</w:t>
      </w:r>
      <w:r w:rsidRPr="00E36788">
        <w:rPr>
          <w:b/>
          <w:bCs/>
        </w:rPr>
        <w:noBreakHyphen/>
        <w:t>Transition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Centre</w:t>
      </w:r>
    </w:p>
    <w:p w14:paraId="45B893E5" w14:textId="532F6894" w:rsidR="00757772" w:rsidRPr="00E36788" w:rsidRDefault="00305D3C" w:rsidP="00E36788">
      <w:r w:rsidRPr="00E36788">
        <w:t>Central</w:t>
      </w:r>
      <w:r w:rsidR="0013032F" w:rsidRPr="00E36788">
        <w:t xml:space="preserve"> </w:t>
      </w:r>
      <w:r w:rsidRPr="00E36788">
        <w:t>Highlands</w:t>
      </w:r>
      <w:r w:rsidR="0013032F" w:rsidRPr="00E36788">
        <w:t xml:space="preserve"> </w:t>
      </w:r>
      <w:r w:rsidRPr="00E36788">
        <w:t>Regional</w:t>
      </w:r>
      <w:r w:rsidR="0013032F" w:rsidRPr="00E36788">
        <w:t xml:space="preserve"> </w:t>
      </w:r>
      <w:r w:rsidRPr="00E36788">
        <w:t>Partnership</w:t>
      </w:r>
      <w:r w:rsidR="0013032F" w:rsidRPr="00E36788">
        <w:t xml:space="preserve"> </w:t>
      </w:r>
      <w:r w:rsidRPr="00E36788">
        <w:t>successfully</w:t>
      </w:r>
      <w:r w:rsidR="0013032F" w:rsidRPr="00E36788">
        <w:t xml:space="preserve"> </w:t>
      </w:r>
      <w:r w:rsidRPr="00E36788">
        <w:t>advocated</w:t>
      </w:r>
      <w:r w:rsidR="0013032F" w:rsidRPr="00E36788">
        <w:t xml:space="preserve"> </w:t>
      </w:r>
      <w:r w:rsidRPr="00E36788">
        <w:t>for</w:t>
      </w:r>
      <w:r w:rsidR="0013032F" w:rsidRPr="00E36788">
        <w:t xml:space="preserve"> </w:t>
      </w:r>
      <w:r w:rsidRPr="00E36788">
        <w:t>investment</w:t>
      </w:r>
      <w:r w:rsidR="0013032F" w:rsidRPr="00E36788">
        <w:t xml:space="preserve"> </w:t>
      </w:r>
      <w:r w:rsidRPr="00E36788">
        <w:t>in</w:t>
      </w:r>
      <w:r w:rsidR="0013032F" w:rsidRPr="00E36788">
        <w:t xml:space="preserve"> </w:t>
      </w:r>
      <w:r w:rsidRPr="00E36788">
        <w:t>Stage</w:t>
      </w:r>
      <w:r w:rsidR="0013032F" w:rsidRPr="00E36788">
        <w:t xml:space="preserve"> </w:t>
      </w:r>
      <w:r w:rsidRPr="00E36788">
        <w:t>2</w:t>
      </w:r>
      <w:r w:rsidR="0013032F" w:rsidRPr="00E36788">
        <w:t xml:space="preserve"> </w:t>
      </w:r>
      <w:r w:rsidRPr="00E36788">
        <w:t>of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Asia</w:t>
      </w:r>
      <w:r w:rsidR="0013032F" w:rsidRPr="00E36788">
        <w:t xml:space="preserve"> </w:t>
      </w:r>
      <w:r w:rsidRPr="00E36788">
        <w:t>Pacific</w:t>
      </w:r>
      <w:r w:rsidR="0013032F" w:rsidRPr="00E36788">
        <w:t xml:space="preserve"> </w:t>
      </w:r>
      <w:r w:rsidRPr="00E36788">
        <w:t>Renewable</w:t>
      </w:r>
      <w:r w:rsidR="0013032F" w:rsidRPr="00E36788">
        <w:t xml:space="preserve"> </w:t>
      </w:r>
      <w:r w:rsidRPr="00E36788">
        <w:t>Energy</w:t>
      </w:r>
      <w:r w:rsidR="0013032F" w:rsidRPr="00E36788">
        <w:t xml:space="preserve"> </w:t>
      </w:r>
      <w:r w:rsidRPr="00E36788">
        <w:t>Tech-Transition</w:t>
      </w:r>
      <w:r w:rsidR="0013032F" w:rsidRPr="00E36788">
        <w:t xml:space="preserve"> </w:t>
      </w:r>
      <w:r w:rsidRPr="00E36788">
        <w:t>Centre</w:t>
      </w:r>
      <w:r w:rsidR="0013032F" w:rsidRPr="00E36788">
        <w:t xml:space="preserve"> </w:t>
      </w:r>
      <w:r w:rsidRPr="00E36788">
        <w:t>(APRETC)</w:t>
      </w:r>
      <w:r w:rsidR="0013032F" w:rsidRPr="00E36788">
        <w:t xml:space="preserve"> </w:t>
      </w:r>
      <w:r w:rsidRPr="00E36788">
        <w:t>at</w:t>
      </w:r>
      <w:r w:rsidR="0013032F" w:rsidRPr="00E36788">
        <w:t xml:space="preserve"> </w:t>
      </w:r>
      <w:r w:rsidRPr="00E36788">
        <w:t>Federation</w:t>
      </w:r>
      <w:r w:rsidR="0013032F" w:rsidRPr="00E36788">
        <w:t xml:space="preserve"> </w:t>
      </w:r>
      <w:r w:rsidRPr="00E36788">
        <w:t>TAFE</w:t>
      </w:r>
      <w:r w:rsidR="0013032F" w:rsidRPr="00E36788">
        <w:t xml:space="preserve"> </w:t>
      </w:r>
      <w:r w:rsidRPr="00E36788">
        <w:t>in</w:t>
      </w:r>
      <w:r w:rsidR="0013032F" w:rsidRPr="00E36788">
        <w:t xml:space="preserve"> </w:t>
      </w:r>
      <w:r w:rsidRPr="00E36788">
        <w:t>Ballarat.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$6</w:t>
      </w:r>
      <w:r w:rsidR="0013032F" w:rsidRPr="00E36788">
        <w:t xml:space="preserve"> </w:t>
      </w:r>
      <w:r w:rsidRPr="00E36788">
        <w:t>million</w:t>
      </w:r>
      <w:r w:rsidR="0013032F" w:rsidRPr="00E36788">
        <w:t xml:space="preserve"> </w:t>
      </w:r>
      <w:r w:rsidRPr="00E36788">
        <w:t>allocated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centre</w:t>
      </w:r>
      <w:r w:rsidR="0013032F" w:rsidRPr="00E36788">
        <w:t xml:space="preserve"> </w:t>
      </w:r>
      <w:r w:rsidRPr="00E36788">
        <w:t>in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Victorian</w:t>
      </w:r>
      <w:r w:rsidR="0013032F" w:rsidRPr="00E36788">
        <w:t xml:space="preserve"> </w:t>
      </w:r>
      <w:r w:rsidRPr="00E36788">
        <w:t>Government’s</w:t>
      </w:r>
      <w:r w:rsidR="0013032F" w:rsidRPr="00E36788">
        <w:t xml:space="preserve"> </w:t>
      </w:r>
      <w:r w:rsidRPr="00E36788">
        <w:t>2023–24</w:t>
      </w:r>
      <w:r w:rsidR="0013032F" w:rsidRPr="00E36788">
        <w:t xml:space="preserve"> </w:t>
      </w:r>
      <w:r w:rsidRPr="00E36788">
        <w:t>State</w:t>
      </w:r>
      <w:r w:rsidR="0013032F" w:rsidRPr="00E36788">
        <w:t xml:space="preserve"> </w:t>
      </w:r>
      <w:r w:rsidRPr="00E36788">
        <w:t>Budget</w:t>
      </w:r>
      <w:r w:rsidR="0013032F" w:rsidRPr="00E36788">
        <w:t xml:space="preserve"> </w:t>
      </w:r>
      <w:r w:rsidRPr="00E36788">
        <w:t>will</w:t>
      </w:r>
      <w:r w:rsidR="0013032F" w:rsidRPr="00E36788">
        <w:t xml:space="preserve"> </w:t>
      </w:r>
      <w:r w:rsidRPr="00E36788">
        <w:t>help</w:t>
      </w:r>
      <w:r w:rsidR="0013032F" w:rsidRPr="00E36788">
        <w:t xml:space="preserve"> </w:t>
      </w:r>
      <w:r w:rsidRPr="00E36788">
        <w:t>Federation</w:t>
      </w:r>
      <w:r w:rsidR="0013032F" w:rsidRPr="00E36788">
        <w:t xml:space="preserve"> </w:t>
      </w:r>
      <w:r w:rsidRPr="00E36788">
        <w:t>University</w:t>
      </w:r>
      <w:r w:rsidR="0013032F" w:rsidRPr="00E36788">
        <w:t xml:space="preserve"> </w:t>
      </w:r>
      <w:r w:rsidRPr="00E36788">
        <w:t>Australia</w:t>
      </w:r>
      <w:r w:rsidR="0013032F" w:rsidRPr="00E36788">
        <w:t xml:space="preserve"> </w:t>
      </w:r>
      <w:r w:rsidRPr="00E36788">
        <w:t>establish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state-of-the-art</w:t>
      </w:r>
      <w:r w:rsidR="0013032F" w:rsidRPr="00E36788">
        <w:t xml:space="preserve"> </w:t>
      </w:r>
      <w:r w:rsidRPr="00E36788">
        <w:t>centre</w:t>
      </w:r>
      <w:r w:rsidR="0013032F" w:rsidRPr="00E36788">
        <w:t xml:space="preserve"> </w:t>
      </w:r>
      <w:r w:rsidRPr="00E36788">
        <w:t>focused</w:t>
      </w:r>
      <w:r w:rsidR="0013032F" w:rsidRPr="00E36788">
        <w:t xml:space="preserve"> </w:t>
      </w:r>
      <w:r w:rsidRPr="00E36788">
        <w:t>on</w:t>
      </w:r>
      <w:r w:rsidR="0013032F" w:rsidRPr="00E36788">
        <w:t xml:space="preserve"> </w:t>
      </w:r>
      <w:r w:rsidRPr="00E36788">
        <w:t>training,</w:t>
      </w:r>
      <w:r w:rsidR="0013032F" w:rsidRPr="00E36788">
        <w:t xml:space="preserve"> </w:t>
      </w:r>
      <w:r w:rsidRPr="00E36788">
        <w:t>research-led</w:t>
      </w:r>
      <w:r w:rsidR="0013032F" w:rsidRPr="00E36788">
        <w:t xml:space="preserve"> </w:t>
      </w:r>
      <w:r w:rsidRPr="00E36788">
        <w:t>maintenance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innovative</w:t>
      </w:r>
      <w:r w:rsidR="0013032F" w:rsidRPr="00E36788">
        <w:t xml:space="preserve"> </w:t>
      </w:r>
      <w:r w:rsidRPr="00E36788">
        <w:t>diagnostics.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centre</w:t>
      </w:r>
      <w:r w:rsidR="0013032F" w:rsidRPr="00E36788">
        <w:t xml:space="preserve"> </w:t>
      </w:r>
      <w:r w:rsidRPr="00E36788">
        <w:t>will</w:t>
      </w:r>
      <w:r w:rsidR="0013032F" w:rsidRPr="00E36788">
        <w:t xml:space="preserve"> </w:t>
      </w:r>
      <w:r w:rsidRPr="00E36788">
        <w:t>serve</w:t>
      </w:r>
      <w:r w:rsidR="0013032F" w:rsidRPr="00E36788">
        <w:t xml:space="preserve"> </w:t>
      </w:r>
      <w:r w:rsidRPr="00E36788">
        <w:t>as</w:t>
      </w:r>
      <w:r w:rsidR="0013032F" w:rsidRPr="00E36788">
        <w:t xml:space="preserve"> </w:t>
      </w:r>
      <w:r w:rsidRPr="00E36788">
        <w:t>an</w:t>
      </w:r>
      <w:r w:rsidR="0013032F" w:rsidRPr="00E36788">
        <w:t xml:space="preserve"> </w:t>
      </w:r>
      <w:r w:rsidRPr="00E36788">
        <w:t>education</w:t>
      </w:r>
      <w:r w:rsidR="0013032F" w:rsidRPr="00E36788">
        <w:t xml:space="preserve"> </w:t>
      </w:r>
      <w:r w:rsidRPr="00E36788">
        <w:t>career</w:t>
      </w:r>
      <w:r w:rsidR="0013032F" w:rsidRPr="00E36788">
        <w:t xml:space="preserve"> </w:t>
      </w:r>
      <w:r w:rsidRPr="00E36788">
        <w:t>pathway</w:t>
      </w:r>
      <w:r w:rsidR="0013032F" w:rsidRPr="00E36788">
        <w:t xml:space="preserve"> </w:t>
      </w:r>
      <w:r w:rsidRPr="00E36788">
        <w:t>for</w:t>
      </w:r>
      <w:r w:rsidR="0013032F" w:rsidRPr="00E36788">
        <w:t xml:space="preserve"> </w:t>
      </w:r>
      <w:r w:rsidRPr="00E36788">
        <w:t>workers</w:t>
      </w:r>
      <w:r w:rsidR="0013032F" w:rsidRPr="00E36788">
        <w:t xml:space="preserve"> </w:t>
      </w:r>
      <w:r w:rsidRPr="00E36788">
        <w:t>in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renewable</w:t>
      </w:r>
      <w:r w:rsidR="0013032F" w:rsidRPr="00E36788">
        <w:t xml:space="preserve"> </w:t>
      </w:r>
      <w:r w:rsidRPr="00E36788">
        <w:t>energy</w:t>
      </w:r>
      <w:r w:rsidR="0013032F" w:rsidRPr="00E36788">
        <w:t xml:space="preserve"> </w:t>
      </w:r>
      <w:r w:rsidRPr="00E36788">
        <w:t>industry.</w:t>
      </w:r>
    </w:p>
    <w:p w14:paraId="550E8092" w14:textId="523C8F21" w:rsidR="00757772" w:rsidRPr="00E36788" w:rsidRDefault="00305D3C" w:rsidP="00E36788">
      <w:pPr>
        <w:pStyle w:val="Normalbeforebullets"/>
        <w:rPr>
          <w:b/>
          <w:bCs/>
        </w:rPr>
      </w:pPr>
      <w:r w:rsidRPr="00E36788">
        <w:rPr>
          <w:b/>
          <w:bCs/>
        </w:rPr>
        <w:t>Independent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living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community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for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Aboriginal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Elders</w:t>
      </w:r>
    </w:p>
    <w:p w14:paraId="28674CB6" w14:textId="1E596B4D" w:rsidR="00757772" w:rsidRPr="00E36788" w:rsidRDefault="00305D3C" w:rsidP="00E36788">
      <w:r w:rsidRPr="00E36788">
        <w:t>Commenced</w:t>
      </w:r>
      <w:r w:rsidR="0013032F" w:rsidRPr="00E36788">
        <w:t xml:space="preserve"> </w:t>
      </w:r>
      <w:r w:rsidRPr="00E36788">
        <w:t>construction</w:t>
      </w:r>
      <w:r w:rsidR="0013032F" w:rsidRPr="00E36788">
        <w:t xml:space="preserve"> </w:t>
      </w:r>
      <w:r w:rsidRPr="00E36788">
        <w:t>of</w:t>
      </w:r>
      <w:r w:rsidR="0013032F" w:rsidRPr="00E36788">
        <w:t xml:space="preserve"> </w:t>
      </w:r>
      <w:r w:rsidRPr="00E36788">
        <w:t>a</w:t>
      </w:r>
      <w:r w:rsidR="0013032F" w:rsidRPr="00E36788">
        <w:t xml:space="preserve"> </w:t>
      </w:r>
      <w:r w:rsidRPr="00E36788">
        <w:t>culturally</w:t>
      </w:r>
      <w:r w:rsidR="0013032F" w:rsidRPr="00E36788">
        <w:t xml:space="preserve"> </w:t>
      </w:r>
      <w:r w:rsidRPr="00E36788">
        <w:t>safe</w:t>
      </w:r>
      <w:r w:rsidR="0013032F" w:rsidRPr="00E36788">
        <w:t xml:space="preserve"> </w:t>
      </w:r>
      <w:r w:rsidRPr="00E36788">
        <w:t>village</w:t>
      </w:r>
      <w:r w:rsidR="0013032F" w:rsidRPr="00E36788">
        <w:t xml:space="preserve"> </w:t>
      </w:r>
      <w:r w:rsidRPr="00E36788">
        <w:t>for</w:t>
      </w:r>
      <w:r w:rsidR="0013032F" w:rsidRPr="00E36788">
        <w:t xml:space="preserve"> </w:t>
      </w:r>
      <w:r w:rsidRPr="00E36788">
        <w:t>Aboriginal</w:t>
      </w:r>
      <w:r w:rsidR="0013032F" w:rsidRPr="00E36788">
        <w:t xml:space="preserve"> </w:t>
      </w:r>
      <w:r w:rsidRPr="00E36788">
        <w:t>Elders</w:t>
      </w:r>
      <w:r w:rsidR="0013032F" w:rsidRPr="00E36788">
        <w:t xml:space="preserve"> </w:t>
      </w:r>
      <w:r w:rsidRPr="00E36788">
        <w:t>in</w:t>
      </w:r>
      <w:r w:rsidR="0013032F" w:rsidRPr="00E36788">
        <w:t xml:space="preserve"> </w:t>
      </w:r>
      <w:r w:rsidRPr="00E36788">
        <w:t>Ballarat.</w:t>
      </w:r>
      <w:r w:rsidR="0013032F" w:rsidRPr="00E36788">
        <w:t xml:space="preserve"> </w:t>
      </w:r>
      <w:r w:rsidRPr="00E36788">
        <w:t>Led</w:t>
      </w:r>
      <w:r w:rsidR="0013032F" w:rsidRPr="00E36788">
        <w:t xml:space="preserve"> </w:t>
      </w:r>
      <w:r w:rsidRPr="00E36788">
        <w:t>by</w:t>
      </w:r>
      <w:r w:rsidR="0013032F" w:rsidRPr="00E36788">
        <w:t xml:space="preserve"> </w:t>
      </w:r>
      <w:r w:rsidRPr="00E36788">
        <w:t>Ballarat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District</w:t>
      </w:r>
      <w:r w:rsidR="0013032F" w:rsidRPr="00E36788">
        <w:t xml:space="preserve"> </w:t>
      </w:r>
      <w:r w:rsidRPr="00E36788">
        <w:t>Aboriginal</w:t>
      </w:r>
      <w:r w:rsidR="0013032F" w:rsidRPr="00E36788">
        <w:t xml:space="preserve"> </w:t>
      </w:r>
      <w:r w:rsidRPr="00E36788">
        <w:t>Cooperative</w:t>
      </w:r>
      <w:r w:rsidR="0013032F" w:rsidRPr="00E36788">
        <w:t xml:space="preserve"> </w:t>
      </w:r>
      <w:r w:rsidRPr="00E36788">
        <w:t>(BADAC),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build</w:t>
      </w:r>
      <w:r w:rsidR="0013032F" w:rsidRPr="00E36788">
        <w:t xml:space="preserve"> </w:t>
      </w:r>
      <w:r w:rsidRPr="00E36788">
        <w:t>consists</w:t>
      </w:r>
      <w:r w:rsidR="0013032F" w:rsidRPr="00E36788">
        <w:t xml:space="preserve"> </w:t>
      </w:r>
      <w:r w:rsidRPr="00E36788">
        <w:t>of</w:t>
      </w:r>
      <w:r w:rsidR="0013032F" w:rsidRPr="00E36788">
        <w:t xml:space="preserve"> </w:t>
      </w:r>
      <w:r w:rsidRPr="00E36788">
        <w:t>4</w:t>
      </w:r>
      <w:r w:rsidR="0013032F" w:rsidRPr="00E36788">
        <w:t xml:space="preserve"> </w:t>
      </w:r>
      <w:r w:rsidRPr="00E36788">
        <w:t>one-bedroom</w:t>
      </w:r>
      <w:r w:rsidR="0013032F" w:rsidRPr="00E36788">
        <w:t xml:space="preserve"> </w:t>
      </w:r>
      <w:r w:rsidRPr="00E36788">
        <w:t>units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4</w:t>
      </w:r>
      <w:r w:rsidR="0013032F" w:rsidRPr="00E36788">
        <w:t xml:space="preserve"> </w:t>
      </w:r>
      <w:r w:rsidRPr="00E36788">
        <w:t>2-bedroom</w:t>
      </w:r>
      <w:r w:rsidR="0013032F" w:rsidRPr="00E36788">
        <w:t xml:space="preserve"> </w:t>
      </w:r>
      <w:r w:rsidRPr="00E36788">
        <w:t>units,</w:t>
      </w:r>
      <w:r w:rsidR="0013032F" w:rsidRPr="00E36788">
        <w:t xml:space="preserve"> </w:t>
      </w:r>
      <w:r w:rsidRPr="00E36788">
        <w:t>onsite</w:t>
      </w:r>
      <w:r w:rsidR="0013032F" w:rsidRPr="00E36788">
        <w:t xml:space="preserve"> </w:t>
      </w:r>
      <w:r w:rsidRPr="00E36788">
        <w:t>manager’s</w:t>
      </w:r>
      <w:r w:rsidR="0013032F" w:rsidRPr="00E36788">
        <w:t xml:space="preserve"> </w:t>
      </w:r>
      <w:r w:rsidRPr="00E36788">
        <w:t>quarters,</w:t>
      </w:r>
      <w:r w:rsidR="0013032F" w:rsidRPr="00E36788">
        <w:t xml:space="preserve"> </w:t>
      </w:r>
      <w:r w:rsidRPr="00E36788">
        <w:t>treatment</w:t>
      </w:r>
      <w:r w:rsidR="0013032F" w:rsidRPr="00E36788">
        <w:t xml:space="preserve"> </w:t>
      </w:r>
      <w:r w:rsidRPr="00E36788">
        <w:t>rooms</w:t>
      </w:r>
      <w:r w:rsidR="0013032F" w:rsidRPr="00E36788">
        <w:t xml:space="preserve"> </w:t>
      </w:r>
      <w:r w:rsidRPr="00E36788">
        <w:t>for</w:t>
      </w:r>
      <w:r w:rsidR="0013032F" w:rsidRPr="00E36788">
        <w:t xml:space="preserve"> </w:t>
      </w:r>
      <w:r w:rsidRPr="00E36788">
        <w:t>visiting</w:t>
      </w:r>
      <w:r w:rsidR="0013032F" w:rsidRPr="00E36788">
        <w:t xml:space="preserve"> </w:t>
      </w:r>
      <w:r w:rsidRPr="00E36788">
        <w:t>medical</w:t>
      </w:r>
      <w:r w:rsidR="0013032F" w:rsidRPr="00E36788">
        <w:t xml:space="preserve"> </w:t>
      </w:r>
      <w:r w:rsidRPr="00E36788">
        <w:t>personn</w:t>
      </w:r>
      <w:r w:rsidRPr="00E36788">
        <w:t>el,</w:t>
      </w:r>
      <w:r w:rsidR="0013032F" w:rsidRPr="00E36788">
        <w:t xml:space="preserve"> </w:t>
      </w:r>
      <w:r w:rsidRPr="00E36788">
        <w:t>a</w:t>
      </w:r>
      <w:r w:rsidR="0013032F" w:rsidRPr="00E36788">
        <w:t xml:space="preserve"> </w:t>
      </w:r>
      <w:r w:rsidRPr="00E36788">
        <w:t>large</w:t>
      </w:r>
      <w:r w:rsidR="0013032F" w:rsidRPr="00E36788">
        <w:t xml:space="preserve"> </w:t>
      </w:r>
      <w:r w:rsidRPr="00E36788">
        <w:t>central</w:t>
      </w:r>
      <w:r w:rsidR="0013032F" w:rsidRPr="00E36788">
        <w:t xml:space="preserve"> </w:t>
      </w:r>
      <w:r w:rsidRPr="00E36788">
        <w:t>hall,</w:t>
      </w:r>
      <w:r w:rsidR="0013032F" w:rsidRPr="00E36788">
        <w:t xml:space="preserve"> </w:t>
      </w:r>
      <w:r w:rsidRPr="00E36788">
        <w:t>garden,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cultural</w:t>
      </w:r>
      <w:r w:rsidR="0013032F" w:rsidRPr="00E36788">
        <w:t xml:space="preserve"> </w:t>
      </w:r>
      <w:r w:rsidRPr="00E36788">
        <w:t>themes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spaces.</w:t>
      </w:r>
      <w:r w:rsidR="0013032F" w:rsidRPr="00E36788">
        <w:t xml:space="preserve"> </w:t>
      </w:r>
      <w:r w:rsidRPr="00E36788">
        <w:t>This</w:t>
      </w:r>
      <w:r w:rsidR="0013032F" w:rsidRPr="00E36788">
        <w:t xml:space="preserve"> </w:t>
      </w:r>
      <w:r w:rsidRPr="00E36788">
        <w:t>independent</w:t>
      </w:r>
      <w:r w:rsidR="0013032F" w:rsidRPr="00E36788">
        <w:t xml:space="preserve"> </w:t>
      </w:r>
      <w:r w:rsidRPr="00E36788">
        <w:t>living</w:t>
      </w:r>
      <w:r w:rsidR="0013032F" w:rsidRPr="00E36788">
        <w:t xml:space="preserve"> </w:t>
      </w:r>
      <w:r w:rsidRPr="00E36788">
        <w:t>community</w:t>
      </w:r>
      <w:r w:rsidR="0013032F" w:rsidRPr="00E36788">
        <w:t xml:space="preserve"> </w:t>
      </w:r>
      <w:r w:rsidRPr="00E36788">
        <w:t>will</w:t>
      </w:r>
      <w:r w:rsidR="0013032F" w:rsidRPr="00E36788">
        <w:t xml:space="preserve"> </w:t>
      </w:r>
      <w:r w:rsidRPr="00E36788">
        <w:t>help</w:t>
      </w:r>
      <w:r w:rsidR="0013032F" w:rsidRPr="00E36788">
        <w:t xml:space="preserve"> </w:t>
      </w:r>
      <w:r w:rsidRPr="00E36788">
        <w:t>BADAC</w:t>
      </w:r>
      <w:r w:rsidR="0013032F" w:rsidRPr="00E36788">
        <w:t xml:space="preserve"> </w:t>
      </w:r>
      <w:r w:rsidRPr="00E36788">
        <w:t>support</w:t>
      </w:r>
      <w:r w:rsidR="0013032F" w:rsidRPr="00E36788">
        <w:t xml:space="preserve"> </w:t>
      </w:r>
      <w:r w:rsidRPr="00E36788">
        <w:t>Aboriginal</w:t>
      </w:r>
      <w:r w:rsidR="0013032F" w:rsidRPr="00E36788">
        <w:t xml:space="preserve"> </w:t>
      </w:r>
      <w:r w:rsidRPr="00E36788">
        <w:t>people</w:t>
      </w:r>
      <w:r w:rsidR="0013032F" w:rsidRPr="00E36788">
        <w:t xml:space="preserve"> </w:t>
      </w:r>
      <w:r w:rsidRPr="00E36788">
        <w:t>in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Central</w:t>
      </w:r>
      <w:r w:rsidR="0013032F" w:rsidRPr="00E36788">
        <w:t xml:space="preserve"> </w:t>
      </w:r>
      <w:r w:rsidRPr="00E36788">
        <w:t>Highlands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have</w:t>
      </w:r>
      <w:r w:rsidR="0013032F" w:rsidRPr="00E36788">
        <w:t xml:space="preserve"> </w:t>
      </w:r>
      <w:r w:rsidRPr="00E36788">
        <w:t>culturally</w:t>
      </w:r>
      <w:r w:rsidR="0013032F" w:rsidRPr="00E36788">
        <w:t xml:space="preserve"> </w:t>
      </w:r>
      <w:r w:rsidRPr="00E36788">
        <w:t>appropriate</w:t>
      </w:r>
      <w:r w:rsidR="0013032F" w:rsidRPr="00E36788">
        <w:t xml:space="preserve"> </w:t>
      </w:r>
      <w:r w:rsidRPr="00E36788">
        <w:t>support</w:t>
      </w:r>
      <w:r w:rsidR="0013032F" w:rsidRPr="00E36788">
        <w:t xml:space="preserve"> </w:t>
      </w:r>
      <w:r w:rsidRPr="00E36788">
        <w:t>as</w:t>
      </w:r>
      <w:r w:rsidR="0013032F" w:rsidRPr="00E36788">
        <w:t xml:space="preserve"> </w:t>
      </w:r>
      <w:r w:rsidRPr="00E36788">
        <w:t>they</w:t>
      </w:r>
      <w:r w:rsidR="0013032F" w:rsidRPr="00E36788">
        <w:t xml:space="preserve"> </w:t>
      </w:r>
      <w:r w:rsidRPr="00E36788">
        <w:t>age.</w:t>
      </w:r>
    </w:p>
    <w:p w14:paraId="1DF6BCA2" w14:textId="5003D040" w:rsidR="00757772" w:rsidRPr="00E36788" w:rsidRDefault="00305D3C" w:rsidP="00E36788">
      <w:pPr>
        <w:pStyle w:val="Normalbeforebullets"/>
        <w:rPr>
          <w:b/>
          <w:bCs/>
        </w:rPr>
      </w:pPr>
      <w:r w:rsidRPr="00E36788">
        <w:rPr>
          <w:b/>
          <w:bCs/>
        </w:rPr>
        <w:t>Sustainable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childcare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for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rural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kids</w:t>
      </w:r>
    </w:p>
    <w:p w14:paraId="1DAF5684" w14:textId="102A3A92" w:rsidR="00757772" w:rsidRPr="00E36788" w:rsidRDefault="00305D3C" w:rsidP="00E36788">
      <w:r w:rsidRPr="00E36788">
        <w:t>Wimmera</w:t>
      </w:r>
      <w:r w:rsidR="0013032F" w:rsidRPr="00E36788">
        <w:t xml:space="preserve"> </w:t>
      </w:r>
      <w:r w:rsidRPr="00E36788">
        <w:t>Southern</w:t>
      </w:r>
      <w:r w:rsidR="0013032F" w:rsidRPr="00E36788">
        <w:t xml:space="preserve"> </w:t>
      </w:r>
      <w:r w:rsidRPr="00E36788">
        <w:t>Mallee</w:t>
      </w:r>
      <w:r w:rsidR="0013032F" w:rsidRPr="00E36788">
        <w:t xml:space="preserve"> </w:t>
      </w:r>
      <w:r w:rsidRPr="00E36788">
        <w:t>Regional</w:t>
      </w:r>
      <w:r w:rsidR="0013032F" w:rsidRPr="00E36788">
        <w:t xml:space="preserve"> </w:t>
      </w:r>
      <w:r w:rsidRPr="00E36788">
        <w:t>Partnership</w:t>
      </w:r>
      <w:r w:rsidR="0013032F" w:rsidRPr="00E36788">
        <w:t xml:space="preserve"> </w:t>
      </w:r>
      <w:r w:rsidRPr="00E36788">
        <w:t>recognised</w:t>
      </w:r>
      <w:r w:rsidR="0013032F" w:rsidRPr="00E36788">
        <w:t xml:space="preserve"> </w:t>
      </w:r>
      <w:r w:rsidRPr="00E36788">
        <w:t>that</w:t>
      </w:r>
      <w:r w:rsidR="0013032F" w:rsidRPr="00E36788">
        <w:t xml:space="preserve"> </w:t>
      </w:r>
      <w:r w:rsidRPr="00E36788">
        <w:t>there</w:t>
      </w:r>
      <w:r w:rsidR="0013032F" w:rsidRPr="00E36788">
        <w:t xml:space="preserve"> </w:t>
      </w:r>
      <w:r w:rsidRPr="00E36788">
        <w:t>was</w:t>
      </w:r>
      <w:r w:rsidR="0013032F" w:rsidRPr="00E36788">
        <w:t xml:space="preserve"> </w:t>
      </w:r>
      <w:r w:rsidRPr="00E36788">
        <w:t>a</w:t>
      </w:r>
      <w:r w:rsidR="0013032F" w:rsidRPr="00E36788">
        <w:t xml:space="preserve"> </w:t>
      </w:r>
      <w:r w:rsidRPr="00E36788">
        <w:t>need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extend</w:t>
      </w:r>
      <w:r w:rsidR="0013032F" w:rsidRPr="00E36788">
        <w:t xml:space="preserve"> </w:t>
      </w:r>
      <w:r w:rsidRPr="00E36788">
        <w:t>sustainable</w:t>
      </w:r>
      <w:r w:rsidR="0013032F" w:rsidRPr="00E36788">
        <w:t xml:space="preserve"> </w:t>
      </w:r>
      <w:r w:rsidRPr="00E36788">
        <w:t>childcare</w:t>
      </w:r>
      <w:r w:rsidR="0013032F" w:rsidRPr="00E36788">
        <w:t xml:space="preserve"> </w:t>
      </w:r>
      <w:r w:rsidRPr="00E36788">
        <w:t>services</w:t>
      </w:r>
      <w:r w:rsidR="0013032F" w:rsidRPr="00E36788">
        <w:t xml:space="preserve"> </w:t>
      </w:r>
      <w:r w:rsidRPr="00E36788">
        <w:t>into</w:t>
      </w:r>
      <w:r w:rsidR="0013032F" w:rsidRPr="00E36788">
        <w:t xml:space="preserve"> </w:t>
      </w:r>
      <w:r w:rsidRPr="00E36788">
        <w:t>small</w:t>
      </w:r>
      <w:r w:rsidR="0013032F" w:rsidRPr="00E36788">
        <w:t xml:space="preserve"> </w:t>
      </w:r>
      <w:r w:rsidRPr="00E36788">
        <w:t>rural</w:t>
      </w:r>
      <w:r w:rsidR="0013032F" w:rsidRPr="00E36788">
        <w:t xml:space="preserve"> </w:t>
      </w:r>
      <w:r w:rsidRPr="00E36788">
        <w:t>townships.</w:t>
      </w:r>
      <w:r w:rsidR="0013032F" w:rsidRPr="00E36788">
        <w:t xml:space="preserve"> </w:t>
      </w:r>
      <w:r w:rsidRPr="00E36788">
        <w:t>This</w:t>
      </w:r>
      <w:r w:rsidR="0013032F" w:rsidRPr="00E36788">
        <w:t xml:space="preserve"> </w:t>
      </w:r>
      <w:r w:rsidRPr="00E36788">
        <w:t>project</w:t>
      </w:r>
      <w:r w:rsidR="0013032F" w:rsidRPr="00E36788">
        <w:t xml:space="preserve"> </w:t>
      </w:r>
      <w:r w:rsidRPr="00E36788">
        <w:t>is</w:t>
      </w:r>
      <w:r w:rsidR="0013032F" w:rsidRPr="00E36788">
        <w:t xml:space="preserve"> </w:t>
      </w:r>
      <w:r w:rsidRPr="00E36788">
        <w:t>providing</w:t>
      </w:r>
      <w:r w:rsidR="0013032F" w:rsidRPr="00E36788">
        <w:t xml:space="preserve"> </w:t>
      </w:r>
      <w:r w:rsidRPr="00E36788">
        <w:t>potential</w:t>
      </w:r>
      <w:r w:rsidR="0013032F" w:rsidRPr="00E36788">
        <w:t xml:space="preserve"> </w:t>
      </w:r>
      <w:r w:rsidRPr="00E36788">
        <w:t>solutions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overcome</w:t>
      </w:r>
      <w:r w:rsidR="0013032F" w:rsidRPr="00E36788">
        <w:t xml:space="preserve"> </w:t>
      </w:r>
      <w:r w:rsidRPr="00E36788">
        <w:t>barriers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achieving</w:t>
      </w:r>
      <w:r w:rsidR="0013032F" w:rsidRPr="00E36788">
        <w:t xml:space="preserve"> </w:t>
      </w:r>
      <w:r w:rsidRPr="00E36788">
        <w:t>sustainable</w:t>
      </w:r>
      <w:r w:rsidR="0013032F" w:rsidRPr="00E36788">
        <w:t xml:space="preserve"> </w:t>
      </w:r>
      <w:r w:rsidRPr="00E36788">
        <w:t>rural</w:t>
      </w:r>
      <w:r w:rsidR="0013032F" w:rsidRPr="00E36788">
        <w:t xml:space="preserve"> </w:t>
      </w:r>
      <w:r w:rsidRPr="00E36788">
        <w:t>childcare,</w:t>
      </w:r>
      <w:r w:rsidR="0013032F" w:rsidRPr="00E36788">
        <w:t xml:space="preserve"> </w:t>
      </w:r>
      <w:r w:rsidRPr="00E36788">
        <w:t>including</w:t>
      </w:r>
      <w:r w:rsidR="0013032F" w:rsidRPr="00E36788">
        <w:t xml:space="preserve"> </w:t>
      </w:r>
      <w:r w:rsidRPr="00E36788">
        <w:t>workforce</w:t>
      </w:r>
      <w:r w:rsidR="0013032F" w:rsidRPr="00E36788">
        <w:t xml:space="preserve"> </w:t>
      </w:r>
      <w:r w:rsidRPr="00E36788">
        <w:t>shortages,</w:t>
      </w:r>
      <w:r w:rsidR="0013032F" w:rsidRPr="00E36788">
        <w:t xml:space="preserve"> </w:t>
      </w:r>
      <w:r w:rsidRPr="00E36788">
        <w:t>lack</w:t>
      </w:r>
      <w:r w:rsidR="0013032F" w:rsidRPr="00E36788">
        <w:t xml:space="preserve"> </w:t>
      </w:r>
      <w:r w:rsidRPr="00E36788">
        <w:t>of</w:t>
      </w:r>
      <w:r w:rsidR="0013032F" w:rsidRPr="00E36788">
        <w:t xml:space="preserve"> </w:t>
      </w:r>
      <w:r w:rsidRPr="00E36788">
        <w:t>suitable</w:t>
      </w:r>
      <w:r w:rsidR="0013032F" w:rsidRPr="00E36788">
        <w:t xml:space="preserve"> </w:t>
      </w:r>
      <w:r w:rsidRPr="00E36788">
        <w:t>infrastructure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limitations</w:t>
      </w:r>
      <w:r w:rsidR="0013032F" w:rsidRPr="00E36788">
        <w:t xml:space="preserve"> </w:t>
      </w:r>
      <w:r w:rsidRPr="00E36788">
        <w:t>on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co-location</w:t>
      </w:r>
      <w:r w:rsidR="0013032F" w:rsidRPr="00E36788">
        <w:t xml:space="preserve"> </w:t>
      </w:r>
      <w:r w:rsidRPr="00E36788">
        <w:t>of</w:t>
      </w:r>
      <w:r w:rsidR="0013032F" w:rsidRPr="00E36788">
        <w:t xml:space="preserve"> </w:t>
      </w:r>
      <w:r w:rsidRPr="00E36788">
        <w:t>childcare</w:t>
      </w:r>
      <w:r w:rsidR="0013032F" w:rsidRPr="00E36788">
        <w:t xml:space="preserve"> </w:t>
      </w:r>
      <w:r w:rsidRPr="00E36788">
        <w:t>with</w:t>
      </w:r>
      <w:r w:rsidR="0013032F" w:rsidRPr="00E36788">
        <w:t xml:space="preserve"> </w:t>
      </w:r>
      <w:r w:rsidRPr="00E36788">
        <w:t>kindergartens.</w:t>
      </w:r>
    </w:p>
    <w:p w14:paraId="6A96BA40" w14:textId="11E986EE" w:rsidR="00757772" w:rsidRPr="00E36788" w:rsidRDefault="00305D3C" w:rsidP="00E36788">
      <w:pPr>
        <w:pStyle w:val="Normalbeforebullets"/>
        <w:rPr>
          <w:b/>
          <w:bCs/>
        </w:rPr>
      </w:pPr>
      <w:r w:rsidRPr="00E36788">
        <w:rPr>
          <w:b/>
          <w:bCs/>
        </w:rPr>
        <w:t>Bannockburn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Southwest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Industrial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Estate</w:t>
      </w:r>
    </w:p>
    <w:p w14:paraId="33742136" w14:textId="6060E888" w:rsidR="00757772" w:rsidRPr="00E36788" w:rsidRDefault="00305D3C" w:rsidP="00E36788">
      <w:r w:rsidRPr="00E36788">
        <w:t>Supported</w:t>
      </w:r>
      <w:r w:rsidR="0013032F" w:rsidRPr="00E36788">
        <w:t xml:space="preserve"> </w:t>
      </w:r>
      <w:r w:rsidRPr="00E36788">
        <w:t>construction</w:t>
      </w:r>
      <w:r w:rsidR="0013032F" w:rsidRPr="00E36788">
        <w:t xml:space="preserve"> </w:t>
      </w:r>
      <w:r w:rsidRPr="00E36788">
        <w:t>of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Bannockburn</w:t>
      </w:r>
      <w:r w:rsidR="0013032F" w:rsidRPr="00E36788">
        <w:t xml:space="preserve"> </w:t>
      </w:r>
      <w:r w:rsidRPr="00E36788">
        <w:t>Southwest</w:t>
      </w:r>
      <w:r w:rsidR="0013032F" w:rsidRPr="00E36788">
        <w:t xml:space="preserve"> </w:t>
      </w:r>
      <w:r w:rsidRPr="00E36788">
        <w:t>Industrial</w:t>
      </w:r>
      <w:r w:rsidR="0013032F" w:rsidRPr="00E36788">
        <w:t xml:space="preserve"> </w:t>
      </w:r>
      <w:r w:rsidRPr="00E36788">
        <w:t>Estate</w:t>
      </w:r>
      <w:r w:rsidR="0013032F" w:rsidRPr="00E36788">
        <w:t xml:space="preserve"> </w:t>
      </w:r>
      <w:r w:rsidRPr="00E36788">
        <w:t>through</w:t>
      </w:r>
      <w:r w:rsidR="0013032F" w:rsidRPr="00E36788">
        <w:t xml:space="preserve"> </w:t>
      </w:r>
      <w:r w:rsidRPr="00E36788">
        <w:t>private</w:t>
      </w:r>
      <w:r w:rsidR="0013032F" w:rsidRPr="00E36788">
        <w:t xml:space="preserve"> </w:t>
      </w:r>
      <w:r w:rsidRPr="00E36788">
        <w:t>investment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$2</w:t>
      </w:r>
      <w:r w:rsidR="0013032F" w:rsidRPr="00E36788">
        <w:t xml:space="preserve"> </w:t>
      </w:r>
      <w:r w:rsidRPr="00E36788">
        <w:t>million</w:t>
      </w:r>
      <w:r w:rsidR="0013032F" w:rsidRPr="00E36788">
        <w:t xml:space="preserve"> </w:t>
      </w:r>
      <w:r w:rsidRPr="00E36788">
        <w:t>from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Regional</w:t>
      </w:r>
      <w:r w:rsidR="0013032F" w:rsidRPr="00E36788">
        <w:t xml:space="preserve"> </w:t>
      </w:r>
      <w:r w:rsidRPr="00E36788">
        <w:t>Infrastructure</w:t>
      </w:r>
      <w:r w:rsidR="0013032F" w:rsidRPr="00E36788">
        <w:t xml:space="preserve"> </w:t>
      </w:r>
      <w:r w:rsidRPr="00E36788">
        <w:t>Fund.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project</w:t>
      </w:r>
      <w:r w:rsidR="0013032F" w:rsidRPr="00E36788">
        <w:t xml:space="preserve"> </w:t>
      </w:r>
      <w:r w:rsidRPr="00E36788">
        <w:t>d</w:t>
      </w:r>
      <w:r w:rsidRPr="00E36788">
        <w:t>elivered</w:t>
      </w:r>
      <w:r w:rsidR="0013032F" w:rsidRPr="00E36788">
        <w:t xml:space="preserve"> </w:t>
      </w:r>
      <w:r w:rsidRPr="00E36788">
        <w:t>an</w:t>
      </w:r>
      <w:r w:rsidR="0013032F" w:rsidRPr="00E36788">
        <w:t xml:space="preserve"> </w:t>
      </w:r>
      <w:r w:rsidRPr="00E36788">
        <w:t>onsite</w:t>
      </w:r>
      <w:r w:rsidR="0013032F" w:rsidRPr="00E36788">
        <w:t xml:space="preserve"> </w:t>
      </w:r>
      <w:r w:rsidRPr="00E36788">
        <w:t>water</w:t>
      </w:r>
      <w:r w:rsidR="0013032F" w:rsidRPr="00E36788">
        <w:t xml:space="preserve"> </w:t>
      </w:r>
      <w:r w:rsidRPr="00E36788">
        <w:t>retarding</w:t>
      </w:r>
      <w:r w:rsidR="0013032F" w:rsidRPr="00E36788">
        <w:t xml:space="preserve"> </w:t>
      </w:r>
      <w:r w:rsidRPr="00E36788">
        <w:t>basin,</w:t>
      </w:r>
      <w:r w:rsidR="0013032F" w:rsidRPr="00E36788">
        <w:t xml:space="preserve"> </w:t>
      </w:r>
      <w:r w:rsidRPr="00E36788">
        <w:t>pump</w:t>
      </w:r>
      <w:r w:rsidR="0013032F" w:rsidRPr="00E36788">
        <w:t xml:space="preserve"> </w:t>
      </w:r>
      <w:r w:rsidRPr="00E36788">
        <w:t>system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earthworks</w:t>
      </w:r>
      <w:r w:rsidR="0013032F" w:rsidRPr="00E36788">
        <w:t xml:space="preserve"> </w:t>
      </w:r>
      <w:r w:rsidRPr="00E36788">
        <w:t>on</w:t>
      </w:r>
      <w:r w:rsidR="0013032F" w:rsidRPr="00E36788">
        <w:t xml:space="preserve"> </w:t>
      </w:r>
      <w:r w:rsidRPr="00E36788">
        <w:t>a</w:t>
      </w:r>
      <w:r w:rsidR="0013032F" w:rsidRPr="00E36788">
        <w:t xml:space="preserve"> </w:t>
      </w:r>
      <w:r w:rsidRPr="00E36788">
        <w:t>1.7</w:t>
      </w:r>
      <w:r w:rsidR="0013032F" w:rsidRPr="00E36788">
        <w:t xml:space="preserve"> </w:t>
      </w:r>
      <w:r w:rsidRPr="00E36788">
        <w:t>km</w:t>
      </w:r>
      <w:r w:rsidR="0013032F" w:rsidRPr="00E36788">
        <w:t xml:space="preserve"> </w:t>
      </w:r>
      <w:r w:rsidRPr="00E36788">
        <w:t>table</w:t>
      </w:r>
      <w:r w:rsidR="0013032F" w:rsidRPr="00E36788">
        <w:t xml:space="preserve"> </w:t>
      </w:r>
      <w:r w:rsidRPr="00E36788">
        <w:t>drain.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expansion</w:t>
      </w:r>
      <w:r w:rsidR="0013032F" w:rsidRPr="00E36788">
        <w:t xml:space="preserve"> </w:t>
      </w:r>
      <w:r w:rsidRPr="00E36788">
        <w:t>addressed</w:t>
      </w:r>
      <w:r w:rsidR="0013032F" w:rsidRPr="00E36788">
        <w:t xml:space="preserve"> </w:t>
      </w:r>
      <w:r w:rsidRPr="00E36788">
        <w:t>a</w:t>
      </w:r>
      <w:r w:rsidR="0013032F" w:rsidRPr="00E36788">
        <w:t xml:space="preserve"> </w:t>
      </w:r>
      <w:r w:rsidRPr="00E36788">
        <w:t>critically</w:t>
      </w:r>
      <w:r w:rsidR="0013032F" w:rsidRPr="00E36788">
        <w:t xml:space="preserve"> </w:t>
      </w:r>
      <w:r w:rsidRPr="00E36788">
        <w:t>short</w:t>
      </w:r>
      <w:r w:rsidR="0013032F" w:rsidRPr="00E36788">
        <w:t xml:space="preserve"> </w:t>
      </w:r>
      <w:r w:rsidRPr="00E36788">
        <w:t>supply</w:t>
      </w:r>
      <w:r w:rsidR="0013032F" w:rsidRPr="00E36788">
        <w:t xml:space="preserve"> </w:t>
      </w:r>
      <w:r w:rsidRPr="00E36788">
        <w:t>of</w:t>
      </w:r>
      <w:r w:rsidR="0013032F" w:rsidRPr="00E36788">
        <w:t xml:space="preserve"> </w:t>
      </w:r>
      <w:r w:rsidRPr="00E36788">
        <w:t>industrial-zones</w:t>
      </w:r>
      <w:r w:rsidR="0013032F" w:rsidRPr="00E36788">
        <w:t xml:space="preserve"> </w:t>
      </w:r>
      <w:r w:rsidRPr="00E36788">
        <w:t>land</w:t>
      </w:r>
      <w:r w:rsidR="0013032F" w:rsidRPr="00E36788">
        <w:t xml:space="preserve"> </w:t>
      </w:r>
      <w:r w:rsidRPr="00E36788">
        <w:t>in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area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will</w:t>
      </w:r>
      <w:r w:rsidR="0013032F" w:rsidRPr="00E36788">
        <w:t xml:space="preserve"> </w:t>
      </w:r>
      <w:r w:rsidRPr="00E36788">
        <w:t>attract</w:t>
      </w:r>
      <w:r w:rsidR="0013032F" w:rsidRPr="00E36788">
        <w:t xml:space="preserve"> </w:t>
      </w:r>
      <w:r w:rsidRPr="00E36788">
        <w:t>new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expanding</w:t>
      </w:r>
      <w:r w:rsidR="0013032F" w:rsidRPr="00E36788">
        <w:t xml:space="preserve"> </w:t>
      </w:r>
      <w:r w:rsidRPr="00E36788">
        <w:t>businesses</w:t>
      </w:r>
      <w:r w:rsidR="0013032F" w:rsidRPr="00E36788">
        <w:t xml:space="preserve"> </w:t>
      </w:r>
      <w:r w:rsidRPr="00E36788">
        <w:t>into</w:t>
      </w:r>
      <w:r w:rsidR="0013032F" w:rsidRPr="00E36788">
        <w:t xml:space="preserve"> </w:t>
      </w:r>
      <w:r w:rsidRPr="00E36788">
        <w:t>approximately</w:t>
      </w:r>
      <w:r w:rsidR="0013032F" w:rsidRPr="00E36788">
        <w:t xml:space="preserve"> </w:t>
      </w:r>
      <w:r w:rsidRPr="00E36788">
        <w:t>70</w:t>
      </w:r>
      <w:r w:rsidR="0013032F" w:rsidRPr="00E36788">
        <w:t xml:space="preserve"> </w:t>
      </w:r>
      <w:r w:rsidRPr="00E36788">
        <w:t>lots</w:t>
      </w:r>
      <w:r w:rsidR="0013032F" w:rsidRPr="00E36788">
        <w:t xml:space="preserve"> </w:t>
      </w:r>
      <w:r w:rsidRPr="00E36788">
        <w:t>on</w:t>
      </w:r>
      <w:r w:rsidR="0013032F" w:rsidRPr="00E36788">
        <w:t xml:space="preserve"> </w:t>
      </w:r>
      <w:r w:rsidRPr="00E36788">
        <w:t>21</w:t>
      </w:r>
      <w:r w:rsidR="0013032F" w:rsidRPr="00E36788">
        <w:t xml:space="preserve"> </w:t>
      </w:r>
      <w:r w:rsidRPr="00E36788">
        <w:t>hectares</w:t>
      </w:r>
      <w:r w:rsidR="0013032F" w:rsidRPr="00E36788">
        <w:t xml:space="preserve"> </w:t>
      </w:r>
      <w:r w:rsidRPr="00E36788">
        <w:t>of</w:t>
      </w:r>
      <w:r w:rsidR="0013032F" w:rsidRPr="00E36788">
        <w:t xml:space="preserve"> </w:t>
      </w:r>
      <w:r w:rsidRPr="00E36788">
        <w:t>land.</w:t>
      </w:r>
    </w:p>
    <w:p w14:paraId="092AE70B" w14:textId="0AFC73FA" w:rsidR="00757772" w:rsidRPr="00E36788" w:rsidRDefault="00305D3C" w:rsidP="00E36788">
      <w:pPr>
        <w:pStyle w:val="Normalbeforebullets"/>
        <w:rPr>
          <w:b/>
          <w:bCs/>
        </w:rPr>
      </w:pPr>
      <w:r w:rsidRPr="00E36788">
        <w:rPr>
          <w:b/>
          <w:bCs/>
        </w:rPr>
        <w:t>Digital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mobile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roaming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during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emergencies</w:t>
      </w:r>
    </w:p>
    <w:p w14:paraId="4DEE3CFA" w14:textId="2B7C3F3F" w:rsidR="00757772" w:rsidRPr="00E36788" w:rsidRDefault="00305D3C" w:rsidP="00E36788">
      <w:r w:rsidRPr="00E36788">
        <w:t>Advocated</w:t>
      </w:r>
      <w:r w:rsidR="0013032F" w:rsidRPr="00E36788">
        <w:t xml:space="preserve"> </w:t>
      </w:r>
      <w:r w:rsidRPr="00E36788">
        <w:t>for</w:t>
      </w:r>
      <w:r w:rsidR="0013032F" w:rsidRPr="00E36788">
        <w:t xml:space="preserve"> </w:t>
      </w:r>
      <w:r w:rsidRPr="00E36788">
        <w:t>domestic</w:t>
      </w:r>
      <w:r w:rsidR="0013032F" w:rsidRPr="00E36788">
        <w:t xml:space="preserve"> </w:t>
      </w:r>
      <w:r w:rsidRPr="00E36788">
        <w:t>mobile</w:t>
      </w:r>
      <w:r w:rsidR="0013032F" w:rsidRPr="00E36788">
        <w:t xml:space="preserve"> </w:t>
      </w:r>
      <w:r w:rsidRPr="00E36788">
        <w:t>roaming,</w:t>
      </w:r>
      <w:r w:rsidR="0013032F" w:rsidRPr="00E36788">
        <w:t xml:space="preserve"> </w:t>
      </w:r>
      <w:r w:rsidRPr="00E36788">
        <w:t>particularly</w:t>
      </w:r>
      <w:r w:rsidR="0013032F" w:rsidRPr="00E36788">
        <w:t xml:space="preserve"> </w:t>
      </w:r>
      <w:r w:rsidRPr="00E36788">
        <w:t>in</w:t>
      </w:r>
      <w:r w:rsidR="0013032F" w:rsidRPr="00E36788">
        <w:t xml:space="preserve"> </w:t>
      </w:r>
      <w:r w:rsidRPr="00E36788">
        <w:t>emergencies,</w:t>
      </w:r>
      <w:r w:rsidR="0013032F" w:rsidRPr="00E36788">
        <w:t xml:space="preserve"> </w:t>
      </w:r>
      <w:r w:rsidRPr="00E36788">
        <w:t>through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Regional</w:t>
      </w:r>
      <w:r w:rsidR="0013032F" w:rsidRPr="00E36788">
        <w:t xml:space="preserve"> </w:t>
      </w:r>
      <w:r w:rsidRPr="00E36788">
        <w:t>Development</w:t>
      </w:r>
      <w:r w:rsidR="0013032F" w:rsidRPr="00E36788">
        <w:t xml:space="preserve"> </w:t>
      </w:r>
      <w:r w:rsidRPr="00E36788">
        <w:t>Australia</w:t>
      </w:r>
      <w:r w:rsidR="0013032F" w:rsidRPr="00E36788">
        <w:t xml:space="preserve"> </w:t>
      </w:r>
      <w:r w:rsidRPr="00E36788">
        <w:t>(RDA)</w:t>
      </w:r>
      <w:r w:rsidR="0013032F" w:rsidRPr="00E36788">
        <w:t xml:space="preserve"> </w:t>
      </w:r>
      <w:r w:rsidRPr="00E36788">
        <w:t>Grampians</w:t>
      </w:r>
      <w:r w:rsidR="0013032F" w:rsidRPr="00E36788">
        <w:t xml:space="preserve"> </w:t>
      </w:r>
      <w:r w:rsidRPr="00E36788">
        <w:t>Committee.</w:t>
      </w:r>
      <w:r w:rsidR="0013032F" w:rsidRPr="00E36788">
        <w:t xml:space="preserve"> </w:t>
      </w:r>
      <w:r w:rsidRPr="00E36788">
        <w:t>Following</w:t>
      </w:r>
      <w:r w:rsidR="0013032F" w:rsidRPr="00E36788">
        <w:t xml:space="preserve"> </w:t>
      </w:r>
      <w:r w:rsidRPr="00E36788">
        <w:t>a</w:t>
      </w:r>
      <w:r w:rsidR="0013032F" w:rsidRPr="00E36788">
        <w:t xml:space="preserve"> </w:t>
      </w:r>
      <w:r w:rsidRPr="00E36788">
        <w:t>sustained</w:t>
      </w:r>
      <w:r w:rsidR="0013032F" w:rsidRPr="00E36788">
        <w:t xml:space="preserve"> </w:t>
      </w:r>
      <w:r w:rsidRPr="00E36788">
        <w:t>advocacy</w:t>
      </w:r>
      <w:r w:rsidR="0013032F" w:rsidRPr="00E36788">
        <w:t xml:space="preserve"> </w:t>
      </w:r>
      <w:r w:rsidRPr="00E36788">
        <w:t>campaign</w:t>
      </w:r>
      <w:r w:rsidR="0013032F" w:rsidRPr="00E36788">
        <w:t xml:space="preserve"> </w:t>
      </w:r>
      <w:r w:rsidRPr="00E36788">
        <w:t>in</w:t>
      </w:r>
      <w:r w:rsidR="0013032F" w:rsidRPr="00E36788">
        <w:t xml:space="preserve"> </w:t>
      </w:r>
      <w:r w:rsidRPr="00E36788">
        <w:t>collaboration</w:t>
      </w:r>
      <w:r w:rsidR="0013032F" w:rsidRPr="00E36788">
        <w:t xml:space="preserve"> </w:t>
      </w:r>
      <w:r w:rsidRPr="00E36788">
        <w:t>with</w:t>
      </w:r>
      <w:r w:rsidR="0013032F" w:rsidRPr="00E36788">
        <w:t xml:space="preserve"> </w:t>
      </w:r>
      <w:r w:rsidRPr="00E36788">
        <w:t>other</w:t>
      </w:r>
      <w:r w:rsidR="0013032F" w:rsidRPr="00E36788">
        <w:t xml:space="preserve"> </w:t>
      </w:r>
      <w:r w:rsidRPr="00E36788">
        <w:t>RDAs,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Australian</w:t>
      </w:r>
      <w:r w:rsidR="0013032F" w:rsidRPr="00E36788">
        <w:t xml:space="preserve"> </w:t>
      </w:r>
      <w:r w:rsidRPr="00E36788">
        <w:t>Competition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Consumer</w:t>
      </w:r>
      <w:r w:rsidR="0013032F" w:rsidRPr="00E36788">
        <w:t xml:space="preserve"> </w:t>
      </w:r>
      <w:r w:rsidRPr="00E36788">
        <w:t>Commission</w:t>
      </w:r>
      <w:r w:rsidR="0013032F" w:rsidRPr="00E36788">
        <w:t xml:space="preserve"> </w:t>
      </w:r>
      <w:r w:rsidRPr="00E36788">
        <w:t>(ACCC)</w:t>
      </w:r>
      <w:r w:rsidR="0013032F" w:rsidRPr="00E36788">
        <w:t xml:space="preserve"> </w:t>
      </w:r>
      <w:r w:rsidRPr="00E36788">
        <w:t>conducted</w:t>
      </w:r>
      <w:r w:rsidR="0013032F" w:rsidRPr="00E36788">
        <w:t xml:space="preserve"> </w:t>
      </w:r>
      <w:r w:rsidRPr="00E36788">
        <w:t>a</w:t>
      </w:r>
      <w:r w:rsidR="0013032F" w:rsidRPr="00E36788">
        <w:t xml:space="preserve"> </w:t>
      </w:r>
      <w:r w:rsidRPr="00E36788">
        <w:t>Regional</w:t>
      </w:r>
      <w:r w:rsidR="0013032F" w:rsidRPr="00E36788">
        <w:t xml:space="preserve"> </w:t>
      </w:r>
      <w:r w:rsidRPr="00E36788">
        <w:t>Mobile</w:t>
      </w:r>
      <w:r w:rsidR="0013032F" w:rsidRPr="00E36788">
        <w:t xml:space="preserve"> </w:t>
      </w:r>
      <w:r w:rsidRPr="00E36788">
        <w:t>Infrastructure</w:t>
      </w:r>
      <w:r w:rsidR="0013032F" w:rsidRPr="00E36788">
        <w:t xml:space="preserve"> </w:t>
      </w:r>
      <w:r w:rsidRPr="00E36788">
        <w:t>Inquiry.</w:t>
      </w:r>
      <w:r w:rsidR="0013032F" w:rsidRPr="00E36788">
        <w:t xml:space="preserve"> </w:t>
      </w:r>
      <w:r w:rsidRPr="00E36788">
        <w:t>In</w:t>
      </w:r>
      <w:r w:rsidR="0013032F" w:rsidRPr="00E36788">
        <w:t xml:space="preserve"> </w:t>
      </w:r>
      <w:r w:rsidRPr="00E36788">
        <w:t>April</w:t>
      </w:r>
      <w:r w:rsidR="0013032F" w:rsidRPr="00E36788">
        <w:t xml:space="preserve"> </w:t>
      </w:r>
      <w:r w:rsidRPr="00E36788">
        <w:t>2023,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ACCC</w:t>
      </w:r>
      <w:r w:rsidR="0013032F" w:rsidRPr="00E36788">
        <w:t xml:space="preserve"> </w:t>
      </w:r>
      <w:r w:rsidRPr="00E36788">
        <w:t>released</w:t>
      </w:r>
      <w:r w:rsidR="0013032F" w:rsidRPr="00E36788">
        <w:t xml:space="preserve"> </w:t>
      </w:r>
      <w:r w:rsidRPr="00E36788">
        <w:t>a</w:t>
      </w:r>
      <w:r w:rsidR="0013032F" w:rsidRPr="00E36788">
        <w:t xml:space="preserve"> </w:t>
      </w:r>
      <w:r w:rsidRPr="00E36788">
        <w:t>draft</w:t>
      </w:r>
      <w:r w:rsidR="0013032F" w:rsidRPr="00E36788">
        <w:t xml:space="preserve"> </w:t>
      </w:r>
      <w:r w:rsidRPr="00E36788">
        <w:t>report</w:t>
      </w:r>
      <w:r w:rsidR="0013032F" w:rsidRPr="00E36788">
        <w:t xml:space="preserve"> </w:t>
      </w:r>
      <w:r w:rsidRPr="00E36788">
        <w:t>that</w:t>
      </w:r>
      <w:r w:rsidR="0013032F" w:rsidRPr="00E36788">
        <w:t xml:space="preserve"> </w:t>
      </w:r>
      <w:r w:rsidRPr="00E36788">
        <w:t>concluded</w:t>
      </w:r>
      <w:r w:rsidR="0013032F" w:rsidRPr="00E36788">
        <w:t xml:space="preserve"> </w:t>
      </w:r>
      <w:r w:rsidRPr="00E36788">
        <w:t>that</w:t>
      </w:r>
      <w:r w:rsidR="0013032F" w:rsidRPr="00E36788">
        <w:t xml:space="preserve"> </w:t>
      </w:r>
      <w:r w:rsidRPr="00E36788">
        <w:t>‘temporary</w:t>
      </w:r>
      <w:r w:rsidR="0013032F" w:rsidRPr="00E36788">
        <w:t xml:space="preserve"> </w:t>
      </w:r>
      <w:r w:rsidRPr="00E36788">
        <w:t>mobile</w:t>
      </w:r>
      <w:r w:rsidR="0013032F" w:rsidRPr="00E36788">
        <w:t xml:space="preserve"> </w:t>
      </w:r>
      <w:r w:rsidRPr="00E36788">
        <w:t>roaming</w:t>
      </w:r>
      <w:r w:rsidR="0013032F" w:rsidRPr="00E36788">
        <w:t xml:space="preserve"> </w:t>
      </w:r>
      <w:r w:rsidRPr="00E36788">
        <w:t>during</w:t>
      </w:r>
      <w:r w:rsidR="0013032F" w:rsidRPr="00E36788">
        <w:t xml:space="preserve"> </w:t>
      </w:r>
      <w:r w:rsidRPr="00E36788">
        <w:t>natural</w:t>
      </w:r>
      <w:r w:rsidR="0013032F" w:rsidRPr="00E36788">
        <w:t xml:space="preserve"> </w:t>
      </w:r>
      <w:r w:rsidRPr="00E36788">
        <w:t>disasters</w:t>
      </w:r>
      <w:r w:rsidR="0013032F" w:rsidRPr="00E36788">
        <w:t xml:space="preserve"> </w:t>
      </w:r>
      <w:r w:rsidRPr="00E36788">
        <w:t>is</w:t>
      </w:r>
      <w:r w:rsidR="0013032F" w:rsidRPr="00E36788">
        <w:t xml:space="preserve"> </w:t>
      </w:r>
      <w:r w:rsidRPr="00E36788">
        <w:t>technically</w:t>
      </w:r>
      <w:r w:rsidR="0013032F" w:rsidRPr="00E36788">
        <w:t xml:space="preserve"> </w:t>
      </w:r>
      <w:r w:rsidRPr="00E36788">
        <w:t>feasible.’</w:t>
      </w:r>
    </w:p>
    <w:p w14:paraId="47A63490" w14:textId="3F9103E1" w:rsidR="00757772" w:rsidRPr="00E36788" w:rsidRDefault="00305D3C" w:rsidP="00E36788">
      <w:pPr>
        <w:pStyle w:val="Normalbeforebullets"/>
        <w:rPr>
          <w:b/>
          <w:bCs/>
        </w:rPr>
      </w:pPr>
      <w:r w:rsidRPr="00E36788">
        <w:rPr>
          <w:b/>
          <w:bCs/>
        </w:rPr>
        <w:lastRenderedPageBreak/>
        <w:t>Investment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in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high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energy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efficient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windows</w:t>
      </w:r>
    </w:p>
    <w:p w14:paraId="4E3B47D0" w14:textId="5A2AEEC5" w:rsidR="00757772" w:rsidRPr="00E36788" w:rsidRDefault="00305D3C" w:rsidP="00E36788">
      <w:r w:rsidRPr="00E36788">
        <w:t>Provided</w:t>
      </w:r>
      <w:r w:rsidR="0013032F" w:rsidRPr="00E36788">
        <w:t xml:space="preserve"> </w:t>
      </w:r>
      <w:r w:rsidRPr="00E36788">
        <w:t>support</w:t>
      </w:r>
      <w:r w:rsidR="0013032F" w:rsidRPr="00E36788">
        <w:t xml:space="preserve"> </w:t>
      </w:r>
      <w:r w:rsidRPr="00E36788">
        <w:t>from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Regional</w:t>
      </w:r>
      <w:r w:rsidR="0013032F" w:rsidRPr="00E36788">
        <w:t xml:space="preserve"> </w:t>
      </w:r>
      <w:r w:rsidRPr="00E36788">
        <w:t>Jobs</w:t>
      </w:r>
      <w:r w:rsidR="0013032F" w:rsidRPr="00E36788">
        <w:t xml:space="preserve"> </w:t>
      </w:r>
      <w:r w:rsidRPr="00E36788">
        <w:t>Fund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JG</w:t>
      </w:r>
      <w:r w:rsidR="0013032F" w:rsidRPr="00E36788">
        <w:t xml:space="preserve"> </w:t>
      </w:r>
      <w:r w:rsidRPr="00E36788">
        <w:t>King</w:t>
      </w:r>
      <w:r w:rsidR="0013032F" w:rsidRPr="00E36788">
        <w:t xml:space="preserve"> </w:t>
      </w:r>
      <w:r w:rsidRPr="00E36788">
        <w:t>Pty</w:t>
      </w:r>
      <w:r w:rsidR="0013032F" w:rsidRPr="00E36788">
        <w:t xml:space="preserve"> </w:t>
      </w:r>
      <w:r w:rsidRPr="00E36788">
        <w:t>Ltd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establish</w:t>
      </w:r>
      <w:r w:rsidR="0013032F" w:rsidRPr="00E36788">
        <w:t xml:space="preserve"> </w:t>
      </w:r>
      <w:r w:rsidRPr="00E36788">
        <w:t>a</w:t>
      </w:r>
      <w:r w:rsidR="0013032F" w:rsidRPr="00E36788">
        <w:t xml:space="preserve"> </w:t>
      </w:r>
      <w:r w:rsidRPr="00E36788">
        <w:t>new</w:t>
      </w:r>
      <w:r w:rsidR="0013032F" w:rsidRPr="00E36788">
        <w:t xml:space="preserve"> </w:t>
      </w:r>
      <w:r w:rsidRPr="00E36788">
        <w:t>$6.5</w:t>
      </w:r>
      <w:r w:rsidR="0013032F" w:rsidRPr="00E36788">
        <w:t xml:space="preserve"> </w:t>
      </w:r>
      <w:r w:rsidRPr="00E36788">
        <w:t>million</w:t>
      </w:r>
      <w:r w:rsidR="0013032F" w:rsidRPr="00E36788">
        <w:t xml:space="preserve"> </w:t>
      </w:r>
      <w:r w:rsidRPr="00E36788">
        <w:t>project</w:t>
      </w:r>
      <w:r w:rsidR="0013032F" w:rsidRPr="00E36788">
        <w:t xml:space="preserve"> </w:t>
      </w:r>
      <w:r w:rsidRPr="00E36788">
        <w:t>windows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doors</w:t>
      </w:r>
      <w:r w:rsidR="0013032F" w:rsidRPr="00E36788">
        <w:t xml:space="preserve"> </w:t>
      </w:r>
      <w:r w:rsidRPr="00E36788">
        <w:t>facility</w:t>
      </w:r>
      <w:r w:rsidR="0013032F" w:rsidRPr="00E36788">
        <w:t xml:space="preserve"> </w:t>
      </w:r>
      <w:r w:rsidRPr="00E36788">
        <w:t>in</w:t>
      </w:r>
      <w:r w:rsidR="0013032F" w:rsidRPr="00E36788">
        <w:t xml:space="preserve"> </w:t>
      </w:r>
      <w:r w:rsidRPr="00E36788">
        <w:t>Ballarat.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facility</w:t>
      </w:r>
      <w:r w:rsidR="0013032F" w:rsidRPr="00E36788">
        <w:t xml:space="preserve"> </w:t>
      </w:r>
      <w:r w:rsidRPr="00E36788">
        <w:t>will</w:t>
      </w:r>
      <w:r w:rsidR="0013032F" w:rsidRPr="00E36788">
        <w:t xml:space="preserve"> </w:t>
      </w:r>
      <w:r w:rsidRPr="00E36788">
        <w:t>house</w:t>
      </w:r>
      <w:r w:rsidR="0013032F" w:rsidRPr="00E36788">
        <w:t xml:space="preserve"> </w:t>
      </w:r>
      <w:r w:rsidRPr="00E36788">
        <w:t>a</w:t>
      </w:r>
      <w:r w:rsidR="0013032F" w:rsidRPr="00E36788">
        <w:t xml:space="preserve"> </w:t>
      </w:r>
      <w:r w:rsidRPr="00E36788">
        <w:t>modern</w:t>
      </w:r>
      <w:r w:rsidR="0013032F" w:rsidRPr="00E36788">
        <w:t xml:space="preserve"> </w:t>
      </w:r>
      <w:r w:rsidRPr="00E36788">
        <w:t>production</w:t>
      </w:r>
      <w:r w:rsidR="0013032F" w:rsidRPr="00E36788">
        <w:t xml:space="preserve"> </w:t>
      </w:r>
      <w:r w:rsidRPr="00E36788">
        <w:t>line</w:t>
      </w:r>
      <w:r w:rsidR="0013032F" w:rsidRPr="00E36788">
        <w:t xml:space="preserve"> </w:t>
      </w:r>
      <w:r w:rsidRPr="00E36788">
        <w:t>capable</w:t>
      </w:r>
      <w:r w:rsidR="0013032F" w:rsidRPr="00E36788">
        <w:t xml:space="preserve"> </w:t>
      </w:r>
      <w:r w:rsidRPr="00E36788">
        <w:t>of</w:t>
      </w:r>
      <w:r w:rsidR="0013032F" w:rsidRPr="00E36788">
        <w:t xml:space="preserve"> </w:t>
      </w:r>
      <w:r w:rsidRPr="00E36788">
        <w:t>manufacturing</w:t>
      </w:r>
      <w:r w:rsidR="0013032F" w:rsidRPr="00E36788">
        <w:t xml:space="preserve"> </w:t>
      </w:r>
      <w:r w:rsidRPr="00E36788">
        <w:t>high</w:t>
      </w:r>
      <w:r w:rsidR="0013032F" w:rsidRPr="00E36788">
        <w:t xml:space="preserve"> </w:t>
      </w:r>
      <w:r w:rsidRPr="00E36788">
        <w:t>energy</w:t>
      </w:r>
      <w:r w:rsidR="0013032F" w:rsidRPr="00E36788">
        <w:t xml:space="preserve"> </w:t>
      </w:r>
      <w:r w:rsidRPr="00E36788">
        <w:t>efficient</w:t>
      </w:r>
      <w:r w:rsidR="0013032F" w:rsidRPr="00E36788">
        <w:t xml:space="preserve"> </w:t>
      </w:r>
      <w:r w:rsidRPr="00E36788">
        <w:t>windows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reduce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heating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cooling</w:t>
      </w:r>
      <w:r w:rsidR="0013032F" w:rsidRPr="00E36788">
        <w:t xml:space="preserve"> </w:t>
      </w:r>
      <w:r w:rsidRPr="00E36788">
        <w:t>requirements</w:t>
      </w:r>
      <w:r w:rsidR="0013032F" w:rsidRPr="00E36788">
        <w:t xml:space="preserve"> </w:t>
      </w:r>
      <w:r w:rsidRPr="00E36788">
        <w:t>of</w:t>
      </w:r>
      <w:r w:rsidR="0013032F" w:rsidRPr="00E36788">
        <w:t xml:space="preserve"> </w:t>
      </w:r>
      <w:r w:rsidRPr="00E36788">
        <w:t>homes.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facility</w:t>
      </w:r>
      <w:r w:rsidR="0013032F" w:rsidRPr="00E36788">
        <w:t xml:space="preserve"> </w:t>
      </w:r>
      <w:r w:rsidRPr="00E36788">
        <w:t>will</w:t>
      </w:r>
      <w:r w:rsidR="0013032F" w:rsidRPr="00E36788">
        <w:t xml:space="preserve"> </w:t>
      </w:r>
      <w:r w:rsidRPr="00E36788">
        <w:t>create</w:t>
      </w:r>
      <w:r w:rsidR="0013032F" w:rsidRPr="00E36788">
        <w:t xml:space="preserve"> </w:t>
      </w:r>
      <w:r w:rsidRPr="00E36788">
        <w:t>15</w:t>
      </w:r>
      <w:r w:rsidR="0013032F" w:rsidRPr="00E36788">
        <w:t xml:space="preserve"> </w:t>
      </w:r>
      <w:r w:rsidRPr="00E36788">
        <w:t>new</w:t>
      </w:r>
      <w:r w:rsidR="0013032F" w:rsidRPr="00E36788">
        <w:t xml:space="preserve"> </w:t>
      </w:r>
      <w:r w:rsidRPr="00E36788">
        <w:t>full-time</w:t>
      </w:r>
      <w:r w:rsidR="0013032F" w:rsidRPr="00E36788">
        <w:t xml:space="preserve"> </w:t>
      </w:r>
      <w:r w:rsidRPr="00E36788">
        <w:t>equivalent</w:t>
      </w:r>
      <w:r w:rsidR="0013032F" w:rsidRPr="00E36788">
        <w:t xml:space="preserve"> </w:t>
      </w:r>
      <w:r w:rsidRPr="00E36788">
        <w:t>jobs.</w:t>
      </w:r>
    </w:p>
    <w:p w14:paraId="2A32C396" w14:textId="77777777" w:rsidR="00757772" w:rsidRDefault="00305D3C" w:rsidP="00E36788">
      <w:pPr>
        <w:pStyle w:val="Heading2"/>
      </w:pPr>
      <w:bookmarkStart w:id="50" w:name="_Toc149566596"/>
      <w:r>
        <w:t>Hume</w:t>
      </w:r>
      <w:bookmarkEnd w:id="50"/>
    </w:p>
    <w:p w14:paraId="78861261" w14:textId="3F6C45B6" w:rsidR="00757772" w:rsidRDefault="00305D3C" w:rsidP="00E36788">
      <w:pPr>
        <w:pStyle w:val="Heading3"/>
      </w:pPr>
      <w:r>
        <w:t>Regional</w:t>
      </w:r>
      <w:r w:rsidR="0013032F">
        <w:t xml:space="preserve"> </w:t>
      </w:r>
      <w:r>
        <w:t>Director’s</w:t>
      </w:r>
      <w:r w:rsidR="0013032F">
        <w:t xml:space="preserve"> </w:t>
      </w:r>
      <w:r>
        <w:t>report</w:t>
      </w:r>
    </w:p>
    <w:p w14:paraId="4A7BF89E" w14:textId="2F474834" w:rsidR="00757772" w:rsidRPr="00E36788" w:rsidRDefault="00305D3C" w:rsidP="00E36788">
      <w:r w:rsidRPr="00E36788">
        <w:t>Located</w:t>
      </w:r>
      <w:r w:rsidR="0013032F" w:rsidRPr="00E36788">
        <w:t xml:space="preserve"> </w:t>
      </w:r>
      <w:r w:rsidRPr="00E36788">
        <w:t>in</w:t>
      </w:r>
      <w:r w:rsidR="0013032F" w:rsidRPr="00E36788">
        <w:t xml:space="preserve"> </w:t>
      </w:r>
      <w:r w:rsidRPr="00E36788">
        <w:t>northeast</w:t>
      </w:r>
      <w:r w:rsidR="0013032F" w:rsidRPr="00E36788">
        <w:t xml:space="preserve"> </w:t>
      </w:r>
      <w:r w:rsidRPr="00E36788">
        <w:t>Victoria,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Hume</w:t>
      </w:r>
      <w:r w:rsidR="0013032F" w:rsidRPr="00E36788">
        <w:t xml:space="preserve"> </w:t>
      </w:r>
      <w:r w:rsidRPr="00E36788">
        <w:t>region</w:t>
      </w:r>
      <w:r w:rsidR="0013032F" w:rsidRPr="00E36788">
        <w:t xml:space="preserve"> </w:t>
      </w:r>
      <w:r w:rsidRPr="00E36788">
        <w:t>is</w:t>
      </w:r>
      <w:r w:rsidR="0013032F" w:rsidRPr="00E36788">
        <w:t xml:space="preserve"> </w:t>
      </w:r>
      <w:r w:rsidRPr="00E36788">
        <w:t>recognised</w:t>
      </w:r>
      <w:r w:rsidR="0013032F" w:rsidRPr="00E36788">
        <w:t xml:space="preserve"> </w:t>
      </w:r>
      <w:r w:rsidRPr="00E36788">
        <w:t>for</w:t>
      </w:r>
      <w:r w:rsidR="0013032F" w:rsidRPr="00E36788">
        <w:t xml:space="preserve"> </w:t>
      </w:r>
      <w:r w:rsidRPr="00E36788">
        <w:t>its</w:t>
      </w:r>
      <w:r w:rsidR="0013032F" w:rsidRPr="00E36788">
        <w:t xml:space="preserve"> </w:t>
      </w:r>
      <w:r w:rsidRPr="00E36788">
        <w:t>national</w:t>
      </w:r>
      <w:r w:rsidR="0013032F" w:rsidRPr="00E36788">
        <w:t xml:space="preserve"> </w:t>
      </w:r>
      <w:r w:rsidRPr="00E36788">
        <w:t>economic</w:t>
      </w:r>
      <w:r w:rsidR="0013032F" w:rsidRPr="00E36788">
        <w:t xml:space="preserve"> </w:t>
      </w:r>
      <w:r w:rsidRPr="00E36788">
        <w:t>contribution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manufacturing,</w:t>
      </w:r>
      <w:r w:rsidR="0013032F" w:rsidRPr="00E36788">
        <w:t xml:space="preserve"> </w:t>
      </w:r>
      <w:r w:rsidRPr="00E36788">
        <w:t>food</w:t>
      </w:r>
      <w:r w:rsidR="0013032F" w:rsidRPr="00E36788">
        <w:t xml:space="preserve"> </w:t>
      </w:r>
      <w:r w:rsidRPr="00E36788">
        <w:t>production,</w:t>
      </w:r>
      <w:r w:rsidR="0013032F" w:rsidRPr="00E36788">
        <w:t xml:space="preserve"> </w:t>
      </w:r>
      <w:r w:rsidRPr="00E36788">
        <w:t>agriculture,</w:t>
      </w:r>
      <w:r w:rsidR="0013032F" w:rsidRPr="00E36788">
        <w:t xml:space="preserve"> </w:t>
      </w:r>
      <w:r w:rsidRPr="00E36788">
        <w:t>transport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visitor</w:t>
      </w:r>
      <w:r w:rsidR="0013032F" w:rsidRPr="00E36788">
        <w:t xml:space="preserve"> </w:t>
      </w:r>
      <w:r w:rsidRPr="00E36788">
        <w:t>economy.</w:t>
      </w:r>
      <w:r w:rsidR="0013032F" w:rsidRPr="00E36788">
        <w:t xml:space="preserve"> </w:t>
      </w:r>
      <w:r w:rsidRPr="00E36788">
        <w:t>Hume</w:t>
      </w:r>
      <w:r w:rsidR="0013032F" w:rsidRPr="00E36788">
        <w:t xml:space="preserve"> </w:t>
      </w:r>
      <w:r w:rsidRPr="00E36788">
        <w:t>is</w:t>
      </w:r>
      <w:r w:rsidR="0013032F" w:rsidRPr="00E36788">
        <w:t xml:space="preserve"> </w:t>
      </w:r>
      <w:r w:rsidRPr="00E36788">
        <w:t>home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5</w:t>
      </w:r>
      <w:r w:rsidR="0013032F" w:rsidRPr="00E36788">
        <w:t xml:space="preserve"> </w:t>
      </w:r>
      <w:r w:rsidRPr="00E36788">
        <w:t>of</w:t>
      </w:r>
      <w:r w:rsidR="0013032F" w:rsidRPr="00E36788">
        <w:t xml:space="preserve"> </w:t>
      </w:r>
      <w:r w:rsidRPr="00E36788">
        <w:t>Victoria’s</w:t>
      </w:r>
      <w:r w:rsidR="0013032F" w:rsidRPr="00E36788">
        <w:t xml:space="preserve"> </w:t>
      </w:r>
      <w:r w:rsidRPr="00E36788">
        <w:t>6</w:t>
      </w:r>
      <w:r w:rsidR="0013032F" w:rsidRPr="00E36788">
        <w:t xml:space="preserve"> </w:t>
      </w:r>
      <w:r w:rsidRPr="00E36788">
        <w:t>alpine</w:t>
      </w:r>
      <w:r w:rsidR="0013032F" w:rsidRPr="00E36788">
        <w:t xml:space="preserve"> </w:t>
      </w:r>
      <w:r w:rsidRPr="00E36788">
        <w:t>resorts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accounts</w:t>
      </w:r>
      <w:r w:rsidR="0013032F" w:rsidRPr="00E36788">
        <w:t xml:space="preserve"> </w:t>
      </w:r>
      <w:r w:rsidRPr="00E36788">
        <w:t>for</w:t>
      </w:r>
      <w:r w:rsidR="0013032F" w:rsidRPr="00E36788">
        <w:t xml:space="preserve"> </w:t>
      </w:r>
      <w:r w:rsidRPr="00E36788">
        <w:t>more</w:t>
      </w:r>
      <w:r w:rsidR="0013032F" w:rsidRPr="00E36788">
        <w:t xml:space="preserve"> </w:t>
      </w:r>
      <w:r w:rsidRPr="00E36788">
        <w:t>than</w:t>
      </w:r>
      <w:r w:rsidR="0013032F" w:rsidRPr="00E36788">
        <w:t xml:space="preserve"> </w:t>
      </w:r>
      <w:r w:rsidRPr="00E36788">
        <w:t>a</w:t>
      </w:r>
      <w:r w:rsidR="0013032F" w:rsidRPr="00E36788">
        <w:t xml:space="preserve"> </w:t>
      </w:r>
      <w:r w:rsidRPr="00E36788">
        <w:t>quarter</w:t>
      </w:r>
      <w:r w:rsidR="0013032F" w:rsidRPr="00E36788">
        <w:t xml:space="preserve"> </w:t>
      </w:r>
      <w:r w:rsidRPr="00E36788">
        <w:t>of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region’s</w:t>
      </w:r>
      <w:r w:rsidR="0013032F" w:rsidRPr="00E36788">
        <w:t xml:space="preserve"> </w:t>
      </w:r>
      <w:r w:rsidRPr="00E36788">
        <w:t>visitation.</w:t>
      </w:r>
      <w:r w:rsidR="0013032F" w:rsidRPr="00E36788">
        <w:t xml:space="preserve"> </w:t>
      </w:r>
    </w:p>
    <w:p w14:paraId="10FD9619" w14:textId="177E0190" w:rsidR="00757772" w:rsidRPr="00E36788" w:rsidRDefault="00305D3C" w:rsidP="00E36788">
      <w:r w:rsidRPr="00E36788">
        <w:t>Challenges</w:t>
      </w:r>
      <w:r w:rsidR="0013032F" w:rsidRPr="00E36788">
        <w:t xml:space="preserve"> </w:t>
      </w:r>
      <w:r w:rsidRPr="00E36788">
        <w:t>continued</w:t>
      </w:r>
      <w:r w:rsidR="0013032F" w:rsidRPr="00E36788">
        <w:t xml:space="preserve"> </w:t>
      </w:r>
      <w:r w:rsidRPr="00E36788">
        <w:t>for</w:t>
      </w:r>
      <w:r w:rsidR="0013032F" w:rsidRPr="00E36788">
        <w:t xml:space="preserve"> </w:t>
      </w:r>
      <w:r w:rsidRPr="00E36788">
        <w:t>Hume</w:t>
      </w:r>
      <w:r w:rsidR="0013032F" w:rsidRPr="00E36788">
        <w:t xml:space="preserve"> </w:t>
      </w:r>
      <w:r w:rsidRPr="00E36788">
        <w:t>in</w:t>
      </w:r>
      <w:r w:rsidR="0013032F" w:rsidRPr="00E36788">
        <w:t xml:space="preserve"> </w:t>
      </w:r>
      <w:r w:rsidRPr="00E36788">
        <w:t>2022–23.</w:t>
      </w:r>
      <w:r w:rsidR="0013032F" w:rsidRPr="00E36788">
        <w:t xml:space="preserve"> </w:t>
      </w:r>
      <w:r w:rsidRPr="00E36788">
        <w:t>After</w:t>
      </w:r>
      <w:r w:rsidR="0013032F" w:rsidRPr="00E36788">
        <w:t xml:space="preserve"> </w:t>
      </w:r>
      <w:r w:rsidRPr="00E36788">
        <w:t>bushfires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floods</w:t>
      </w:r>
      <w:r w:rsidR="0013032F" w:rsidRPr="00E36788">
        <w:t xml:space="preserve"> </w:t>
      </w:r>
      <w:r w:rsidRPr="00E36788">
        <w:t>in</w:t>
      </w:r>
      <w:r w:rsidR="0013032F" w:rsidRPr="00E36788">
        <w:t xml:space="preserve"> </w:t>
      </w:r>
      <w:r w:rsidRPr="00E36788">
        <w:t>recent</w:t>
      </w:r>
      <w:r w:rsidR="0013032F" w:rsidRPr="00E36788">
        <w:t xml:space="preserve"> </w:t>
      </w:r>
      <w:r w:rsidRPr="00E36788">
        <w:t>years,</w:t>
      </w:r>
      <w:r w:rsidR="0013032F" w:rsidRPr="00E36788">
        <w:t xml:space="preserve"> </w:t>
      </w:r>
      <w:r w:rsidRPr="00E36788">
        <w:t>our</w:t>
      </w:r>
      <w:r w:rsidR="0013032F" w:rsidRPr="00E36788">
        <w:t xml:space="preserve"> </w:t>
      </w:r>
      <w:r w:rsidRPr="00E36788">
        <w:t>businesses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communities</w:t>
      </w:r>
      <w:r w:rsidR="0013032F" w:rsidRPr="00E36788">
        <w:t xml:space="preserve"> </w:t>
      </w:r>
      <w:r w:rsidRPr="00E36788">
        <w:t>were</w:t>
      </w:r>
      <w:r w:rsidR="0013032F" w:rsidRPr="00E36788">
        <w:t xml:space="preserve"> </w:t>
      </w:r>
      <w:r w:rsidRPr="00E36788">
        <w:t>impacted</w:t>
      </w:r>
      <w:r w:rsidR="0013032F" w:rsidRPr="00E36788">
        <w:t xml:space="preserve"> </w:t>
      </w:r>
      <w:r w:rsidRPr="00E36788">
        <w:t>by</w:t>
      </w:r>
      <w:r w:rsidR="0013032F" w:rsidRPr="00E36788">
        <w:t xml:space="preserve"> </w:t>
      </w:r>
      <w:r w:rsidRPr="00E36788">
        <w:t>heavy</w:t>
      </w:r>
      <w:r w:rsidR="0013032F" w:rsidRPr="00E36788">
        <w:t xml:space="preserve"> </w:t>
      </w:r>
      <w:r w:rsidRPr="00E36788">
        <w:t>rain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flooding</w:t>
      </w:r>
      <w:r w:rsidR="0013032F" w:rsidRPr="00E36788">
        <w:t xml:space="preserve"> </w:t>
      </w:r>
      <w:r w:rsidRPr="00E36788">
        <w:t>–</w:t>
      </w:r>
      <w:r w:rsidR="0013032F" w:rsidRPr="00E36788">
        <w:t xml:space="preserve"> </w:t>
      </w:r>
      <w:r w:rsidRPr="00E36788">
        <w:t>including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landslip</w:t>
      </w:r>
      <w:r w:rsidR="0013032F" w:rsidRPr="00E36788">
        <w:t xml:space="preserve"> </w:t>
      </w:r>
      <w:r w:rsidRPr="00E36788">
        <w:t>on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closure</w:t>
      </w:r>
      <w:r w:rsidR="0013032F" w:rsidRPr="00E36788">
        <w:t xml:space="preserve"> </w:t>
      </w:r>
      <w:r w:rsidRPr="00E36788">
        <w:t>of</w:t>
      </w:r>
      <w:r w:rsidR="0013032F" w:rsidRPr="00E36788">
        <w:t xml:space="preserve"> </w:t>
      </w:r>
      <w:r w:rsidRPr="00E36788">
        <w:t>Bogong</w:t>
      </w:r>
      <w:r w:rsidR="0013032F" w:rsidRPr="00E36788">
        <w:t xml:space="preserve"> </w:t>
      </w:r>
      <w:r w:rsidRPr="00E36788">
        <w:t>High</w:t>
      </w:r>
      <w:r w:rsidR="0013032F" w:rsidRPr="00E36788">
        <w:t xml:space="preserve"> </w:t>
      </w:r>
      <w:r w:rsidRPr="00E36788">
        <w:t>Plains</w:t>
      </w:r>
      <w:r w:rsidR="0013032F" w:rsidRPr="00E36788">
        <w:t xml:space="preserve"> </w:t>
      </w:r>
      <w:r w:rsidRPr="00E36788">
        <w:t>Road</w:t>
      </w:r>
      <w:r w:rsidR="0013032F" w:rsidRPr="00E36788">
        <w:t xml:space="preserve"> </w:t>
      </w:r>
      <w:r w:rsidRPr="00E36788">
        <w:t>(the</w:t>
      </w:r>
      <w:r w:rsidR="0013032F" w:rsidRPr="00E36788">
        <w:t xml:space="preserve"> </w:t>
      </w:r>
      <w:r w:rsidRPr="00E36788">
        <w:t>pathway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Falls</w:t>
      </w:r>
      <w:r w:rsidR="0013032F" w:rsidRPr="00E36788">
        <w:t xml:space="preserve"> </w:t>
      </w:r>
      <w:r w:rsidRPr="00E36788">
        <w:t>Creek)</w:t>
      </w:r>
      <w:r w:rsidR="0013032F" w:rsidRPr="00E36788">
        <w:t xml:space="preserve"> </w:t>
      </w:r>
      <w:r w:rsidRPr="00E36788">
        <w:t>–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bringing</w:t>
      </w:r>
      <w:r w:rsidR="0013032F" w:rsidRPr="00E36788">
        <w:t xml:space="preserve"> </w:t>
      </w:r>
      <w:r w:rsidRPr="00E36788">
        <w:t>forward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exit</w:t>
      </w:r>
      <w:r w:rsidR="0013032F" w:rsidRPr="00E36788">
        <w:t xml:space="preserve"> </w:t>
      </w:r>
      <w:r w:rsidRPr="00E36788">
        <w:t>date</w:t>
      </w:r>
      <w:r w:rsidR="0013032F" w:rsidRPr="00E36788">
        <w:t xml:space="preserve"> </w:t>
      </w:r>
      <w:r w:rsidRPr="00E36788">
        <w:t>for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Victorian</w:t>
      </w:r>
      <w:r w:rsidR="0013032F" w:rsidRPr="00E36788">
        <w:t xml:space="preserve"> </w:t>
      </w:r>
      <w:r w:rsidRPr="00E36788">
        <w:t>Forestry</w:t>
      </w:r>
      <w:r w:rsidR="0013032F" w:rsidRPr="00E36788">
        <w:t xml:space="preserve"> </w:t>
      </w:r>
      <w:r w:rsidRPr="00E36788">
        <w:t>Transition</w:t>
      </w:r>
      <w:r w:rsidR="0013032F" w:rsidRPr="00E36788">
        <w:t xml:space="preserve"> </w:t>
      </w:r>
      <w:r w:rsidRPr="00E36788">
        <w:t>program.</w:t>
      </w:r>
      <w:r w:rsidR="0013032F" w:rsidRPr="00E36788">
        <w:t xml:space="preserve"> </w:t>
      </w:r>
      <w:r w:rsidRPr="00E36788">
        <w:t>While</w:t>
      </w:r>
      <w:r w:rsidR="0013032F" w:rsidRPr="00E36788">
        <w:t xml:space="preserve"> </w:t>
      </w:r>
      <w:r w:rsidRPr="00E36788">
        <w:t>any</w:t>
      </w:r>
      <w:r w:rsidR="0013032F" w:rsidRPr="00E36788">
        <w:t xml:space="preserve"> </w:t>
      </w:r>
      <w:r w:rsidRPr="00E36788">
        <w:t>transition</w:t>
      </w:r>
      <w:r w:rsidR="0013032F" w:rsidRPr="00E36788">
        <w:t xml:space="preserve"> </w:t>
      </w:r>
      <w:r w:rsidRPr="00E36788">
        <w:t>is</w:t>
      </w:r>
      <w:r w:rsidR="0013032F" w:rsidRPr="00E36788">
        <w:t xml:space="preserve"> </w:t>
      </w:r>
      <w:r w:rsidRPr="00E36788">
        <w:t>a</w:t>
      </w:r>
      <w:r w:rsidR="0013032F" w:rsidRPr="00E36788">
        <w:t xml:space="preserve"> </w:t>
      </w:r>
      <w:r w:rsidRPr="00E36788">
        <w:t>challenge,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region</w:t>
      </w:r>
      <w:r w:rsidR="0013032F" w:rsidRPr="00E36788">
        <w:t xml:space="preserve"> </w:t>
      </w:r>
      <w:r w:rsidRPr="00E36788">
        <w:t>continued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prove</w:t>
      </w:r>
      <w:r w:rsidR="0013032F" w:rsidRPr="00E36788">
        <w:t xml:space="preserve"> </w:t>
      </w:r>
      <w:r w:rsidRPr="00E36788">
        <w:t>that</w:t>
      </w:r>
      <w:r w:rsidR="0013032F" w:rsidRPr="00E36788">
        <w:t xml:space="preserve"> </w:t>
      </w:r>
      <w:r w:rsidRPr="00E36788">
        <w:t>place-based</w:t>
      </w:r>
      <w:r w:rsidR="0013032F" w:rsidRPr="00E36788">
        <w:t xml:space="preserve"> </w:t>
      </w:r>
      <w:r w:rsidRPr="00E36788">
        <w:t>local</w:t>
      </w:r>
      <w:r w:rsidR="0013032F" w:rsidRPr="00E36788">
        <w:t xml:space="preserve"> </w:t>
      </w:r>
      <w:r w:rsidRPr="00E36788">
        <w:t>knowledge,</w:t>
      </w:r>
      <w:r w:rsidR="0013032F" w:rsidRPr="00E36788">
        <w:t xml:space="preserve"> </w:t>
      </w:r>
      <w:r w:rsidRPr="00E36788">
        <w:t>connections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relationships,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sheer</w:t>
      </w:r>
      <w:r w:rsidR="0013032F" w:rsidRPr="00E36788">
        <w:t xml:space="preserve"> </w:t>
      </w:r>
      <w:r w:rsidRPr="00E36788">
        <w:t>regional</w:t>
      </w:r>
      <w:r w:rsidR="0013032F" w:rsidRPr="00E36788">
        <w:t xml:space="preserve"> </w:t>
      </w:r>
      <w:r w:rsidRPr="00E36788">
        <w:t>passion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determination</w:t>
      </w:r>
      <w:r w:rsidR="0013032F" w:rsidRPr="00E36788">
        <w:t xml:space="preserve"> </w:t>
      </w:r>
      <w:r w:rsidRPr="00E36788">
        <w:t>can</w:t>
      </w:r>
      <w:r w:rsidR="0013032F" w:rsidRPr="00E36788">
        <w:t xml:space="preserve"> </w:t>
      </w:r>
      <w:r w:rsidRPr="00E36788">
        <w:t>pull</w:t>
      </w:r>
      <w:r w:rsidR="0013032F" w:rsidRPr="00E36788">
        <w:t xml:space="preserve"> </w:t>
      </w:r>
      <w:r w:rsidRPr="00E36788">
        <w:t>it</w:t>
      </w:r>
      <w:r w:rsidR="0013032F" w:rsidRPr="00E36788">
        <w:t xml:space="preserve"> </w:t>
      </w:r>
      <w:r w:rsidRPr="00E36788">
        <w:t>through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toughest</w:t>
      </w:r>
      <w:r w:rsidR="0013032F" w:rsidRPr="00E36788">
        <w:t xml:space="preserve"> </w:t>
      </w:r>
      <w:r w:rsidRPr="00E36788">
        <w:t>of</w:t>
      </w:r>
      <w:r w:rsidR="0013032F" w:rsidRPr="00E36788">
        <w:t xml:space="preserve"> </w:t>
      </w:r>
      <w:r w:rsidRPr="00E36788">
        <w:t>times.</w:t>
      </w:r>
    </w:p>
    <w:p w14:paraId="6B74089C" w14:textId="4F8997A8" w:rsidR="00757772" w:rsidRPr="00E36788" w:rsidRDefault="00305D3C" w:rsidP="00E36788">
      <w:r w:rsidRPr="00E36788">
        <w:t>We</w:t>
      </w:r>
      <w:r w:rsidR="0013032F" w:rsidRPr="00E36788">
        <w:t xml:space="preserve"> </w:t>
      </w:r>
      <w:r w:rsidRPr="00E36788">
        <w:t>have</w:t>
      </w:r>
      <w:r w:rsidR="0013032F" w:rsidRPr="00E36788">
        <w:t xml:space="preserve"> </w:t>
      </w:r>
      <w:r w:rsidRPr="00E36788">
        <w:t>completed</w:t>
      </w:r>
      <w:r w:rsidR="0013032F" w:rsidRPr="00E36788">
        <w:t xml:space="preserve"> </w:t>
      </w:r>
      <w:r w:rsidRPr="00E36788">
        <w:t>48</w:t>
      </w:r>
      <w:r w:rsidR="0013032F" w:rsidRPr="00E36788">
        <w:t xml:space="preserve"> </w:t>
      </w:r>
      <w:r w:rsidRPr="00E36788">
        <w:t>projects</w:t>
      </w:r>
      <w:r w:rsidR="0013032F" w:rsidRPr="00E36788">
        <w:t xml:space="preserve"> </w:t>
      </w:r>
      <w:r w:rsidRPr="00E36788">
        <w:t>under</w:t>
      </w:r>
      <w:r w:rsidR="0013032F" w:rsidRPr="00E36788">
        <w:t xml:space="preserve"> </w:t>
      </w:r>
      <w:r w:rsidRPr="00E36788">
        <w:t>various</w:t>
      </w:r>
      <w:r w:rsidR="0013032F" w:rsidRPr="00E36788">
        <w:t xml:space="preserve"> </w:t>
      </w:r>
      <w:r w:rsidRPr="00E36788">
        <w:t>funding</w:t>
      </w:r>
      <w:r w:rsidR="0013032F" w:rsidRPr="00E36788">
        <w:t xml:space="preserve"> </w:t>
      </w:r>
      <w:r w:rsidRPr="00E36788">
        <w:t>streams,</w:t>
      </w:r>
      <w:r w:rsidR="0013032F" w:rsidRPr="00E36788">
        <w:t xml:space="preserve"> </w:t>
      </w:r>
      <w:r w:rsidRPr="00E36788">
        <w:t>supporting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creation</w:t>
      </w:r>
      <w:r w:rsidR="0013032F" w:rsidRPr="00E36788">
        <w:t xml:space="preserve"> </w:t>
      </w:r>
      <w:r w:rsidRPr="00E36788">
        <w:t>of</w:t>
      </w:r>
      <w:r w:rsidR="0013032F" w:rsidRPr="00E36788">
        <w:t xml:space="preserve"> </w:t>
      </w:r>
      <w:r w:rsidRPr="00E36788">
        <w:t>383</w:t>
      </w:r>
      <w:r w:rsidR="0013032F" w:rsidRPr="00E36788">
        <w:t xml:space="preserve"> </w:t>
      </w:r>
      <w:r w:rsidRPr="00E36788">
        <w:t>new</w:t>
      </w:r>
      <w:r w:rsidR="0013032F" w:rsidRPr="00E36788">
        <w:t xml:space="preserve"> </w:t>
      </w:r>
      <w:r w:rsidRPr="00E36788">
        <w:t>jobs</w:t>
      </w:r>
      <w:r w:rsidR="0013032F" w:rsidRPr="00E36788">
        <w:t xml:space="preserve"> </w:t>
      </w:r>
      <w:r w:rsidRPr="00E36788">
        <w:t>in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region</w:t>
      </w:r>
      <w:r w:rsidR="0013032F" w:rsidRPr="00E36788">
        <w:t xml:space="preserve"> </w:t>
      </w:r>
      <w:r w:rsidRPr="00E36788">
        <w:t>through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delivery</w:t>
      </w:r>
      <w:r w:rsidR="0013032F" w:rsidRPr="00E36788">
        <w:t xml:space="preserve"> </w:t>
      </w:r>
      <w:r w:rsidRPr="00E36788">
        <w:t>of</w:t>
      </w:r>
      <w:r w:rsidR="0013032F" w:rsidRPr="00E36788">
        <w:t xml:space="preserve"> </w:t>
      </w:r>
      <w:r w:rsidRPr="00E36788">
        <w:t>$159</w:t>
      </w:r>
      <w:r w:rsidR="0013032F" w:rsidRPr="00E36788">
        <w:t xml:space="preserve"> </w:t>
      </w:r>
      <w:r w:rsidRPr="00E36788">
        <w:t>million</w:t>
      </w:r>
      <w:r w:rsidR="0013032F" w:rsidRPr="00E36788">
        <w:t xml:space="preserve"> </w:t>
      </w:r>
      <w:r w:rsidRPr="00E36788">
        <w:t>in</w:t>
      </w:r>
      <w:r w:rsidR="0013032F" w:rsidRPr="00E36788">
        <w:t xml:space="preserve"> </w:t>
      </w:r>
      <w:r w:rsidRPr="00E36788">
        <w:t>business-related</w:t>
      </w:r>
      <w:r w:rsidR="0013032F" w:rsidRPr="00E36788">
        <w:t xml:space="preserve"> </w:t>
      </w:r>
      <w:r w:rsidRPr="00E36788">
        <w:t>capital</w:t>
      </w:r>
      <w:r w:rsidR="0013032F" w:rsidRPr="00E36788">
        <w:t xml:space="preserve"> </w:t>
      </w:r>
      <w:r w:rsidRPr="00E36788">
        <w:t>expenditure</w:t>
      </w:r>
      <w:r w:rsidR="0013032F" w:rsidRPr="00E36788">
        <w:t xml:space="preserve"> </w:t>
      </w:r>
      <w:r w:rsidRPr="00E36788">
        <w:t>projects.</w:t>
      </w:r>
      <w:r w:rsidR="0013032F" w:rsidRPr="00E36788">
        <w:t xml:space="preserve"> </w:t>
      </w:r>
    </w:p>
    <w:p w14:paraId="5D7B261B" w14:textId="3C70F519" w:rsidR="00757772" w:rsidRPr="00E36788" w:rsidRDefault="00305D3C" w:rsidP="00E36788">
      <w:r w:rsidRPr="00E36788">
        <w:t>We</w:t>
      </w:r>
      <w:r w:rsidR="0013032F" w:rsidRPr="00E36788">
        <w:t xml:space="preserve"> </w:t>
      </w:r>
      <w:r w:rsidRPr="00E36788">
        <w:t>continued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work</w:t>
      </w:r>
      <w:r w:rsidR="0013032F" w:rsidRPr="00E36788">
        <w:t xml:space="preserve"> </w:t>
      </w:r>
      <w:r w:rsidRPr="00E36788">
        <w:t>closely</w:t>
      </w:r>
      <w:r w:rsidR="0013032F" w:rsidRPr="00E36788">
        <w:t xml:space="preserve"> </w:t>
      </w:r>
      <w:r w:rsidRPr="00E36788">
        <w:t>with</w:t>
      </w:r>
      <w:r w:rsidR="0013032F" w:rsidRPr="00E36788">
        <w:t xml:space="preserve"> </w:t>
      </w:r>
      <w:r w:rsidRPr="00E36788">
        <w:t>our</w:t>
      </w:r>
      <w:r w:rsidR="0013032F" w:rsidRPr="00E36788">
        <w:t xml:space="preserve"> </w:t>
      </w:r>
      <w:r w:rsidRPr="00E36788">
        <w:t>5</w:t>
      </w:r>
      <w:r w:rsidR="0013032F" w:rsidRPr="00E36788">
        <w:t xml:space="preserve"> </w:t>
      </w:r>
      <w:r w:rsidRPr="00E36788">
        <w:t>alpine</w:t>
      </w:r>
      <w:r w:rsidR="0013032F" w:rsidRPr="00E36788">
        <w:t xml:space="preserve"> </w:t>
      </w:r>
      <w:r w:rsidRPr="00E36788">
        <w:t>resorts,</w:t>
      </w:r>
      <w:r w:rsidR="0013032F" w:rsidRPr="00E36788">
        <w:t xml:space="preserve"> </w:t>
      </w:r>
      <w:r w:rsidRPr="00E36788">
        <w:t>advocating</w:t>
      </w:r>
      <w:r w:rsidR="0013032F" w:rsidRPr="00E36788">
        <w:t xml:space="preserve"> </w:t>
      </w:r>
      <w:r w:rsidRPr="00E36788">
        <w:t>across</w:t>
      </w:r>
      <w:r w:rsidR="0013032F" w:rsidRPr="00E36788">
        <w:t xml:space="preserve"> </w:t>
      </w:r>
      <w:r w:rsidRPr="00E36788">
        <w:t>government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aid</w:t>
      </w:r>
      <w:r w:rsidR="0013032F" w:rsidRPr="00E36788">
        <w:t xml:space="preserve"> </w:t>
      </w:r>
      <w:r w:rsidRPr="00E36788">
        <w:t>recovery</w:t>
      </w:r>
      <w:r w:rsidR="0013032F" w:rsidRPr="00E36788">
        <w:t xml:space="preserve"> </w:t>
      </w:r>
      <w:r w:rsidRPr="00E36788">
        <w:t>from</w:t>
      </w:r>
      <w:r w:rsidR="0013032F" w:rsidRPr="00E36788">
        <w:t xml:space="preserve"> </w:t>
      </w:r>
      <w:r w:rsidRPr="00E36788">
        <w:t>a</w:t>
      </w:r>
      <w:r w:rsidR="0013032F" w:rsidRPr="00E36788">
        <w:t xml:space="preserve"> </w:t>
      </w:r>
      <w:r w:rsidRPr="00E36788">
        <w:t>range</w:t>
      </w:r>
      <w:r w:rsidR="0013032F" w:rsidRPr="00E36788">
        <w:t xml:space="preserve"> </w:t>
      </w:r>
      <w:r w:rsidRPr="00E36788">
        <w:t>of</w:t>
      </w:r>
      <w:r w:rsidR="0013032F" w:rsidRPr="00E36788">
        <w:t xml:space="preserve"> </w:t>
      </w:r>
      <w:r w:rsidRPr="00E36788">
        <w:t>high</w:t>
      </w:r>
      <w:r w:rsidR="0013032F" w:rsidRPr="00E36788">
        <w:t xml:space="preserve"> </w:t>
      </w:r>
      <w:r w:rsidRPr="00E36788">
        <w:t>impact</w:t>
      </w:r>
      <w:r w:rsidR="0013032F" w:rsidRPr="00E36788">
        <w:t xml:space="preserve"> </w:t>
      </w:r>
      <w:r w:rsidRPr="00E36788">
        <w:t>events.</w:t>
      </w:r>
      <w:r w:rsidR="0013032F" w:rsidRPr="00E36788">
        <w:t xml:space="preserve"> </w:t>
      </w:r>
      <w:r w:rsidRPr="00E36788">
        <w:t>Support</w:t>
      </w:r>
      <w:r w:rsidR="0013032F" w:rsidRPr="00E36788">
        <w:t xml:space="preserve"> </w:t>
      </w:r>
      <w:r w:rsidRPr="00E36788">
        <w:t>was</w:t>
      </w:r>
      <w:r w:rsidR="0013032F" w:rsidRPr="00E36788">
        <w:t xml:space="preserve"> </w:t>
      </w:r>
      <w:r w:rsidRPr="00E36788">
        <w:t>also</w:t>
      </w:r>
      <w:r w:rsidR="0013032F" w:rsidRPr="00E36788">
        <w:t xml:space="preserve"> </w:t>
      </w:r>
      <w:r w:rsidRPr="00E36788">
        <w:t>given</w:t>
      </w:r>
      <w:r w:rsidR="0013032F" w:rsidRPr="00E36788">
        <w:t xml:space="preserve"> </w:t>
      </w:r>
      <w:r w:rsidRPr="00E36788">
        <w:t>as</w:t>
      </w:r>
      <w:r w:rsidR="0013032F" w:rsidRPr="00E36788">
        <w:t xml:space="preserve"> </w:t>
      </w:r>
      <w:r w:rsidRPr="00E36788">
        <w:t>they</w:t>
      </w:r>
      <w:r w:rsidR="0013032F" w:rsidRPr="00E36788">
        <w:t xml:space="preserve"> </w:t>
      </w:r>
      <w:r w:rsidRPr="00E36788">
        <w:t>diversified</w:t>
      </w:r>
      <w:r w:rsidR="0013032F" w:rsidRPr="00E36788">
        <w:t xml:space="preserve"> </w:t>
      </w:r>
      <w:r w:rsidRPr="00E36788">
        <w:t>their</w:t>
      </w:r>
      <w:r w:rsidR="0013032F" w:rsidRPr="00E36788">
        <w:t xml:space="preserve"> </w:t>
      </w:r>
      <w:r w:rsidRPr="00E36788">
        <w:t>green</w:t>
      </w:r>
      <w:r w:rsidR="0013032F" w:rsidRPr="00E36788">
        <w:t xml:space="preserve"> </w:t>
      </w:r>
      <w:r w:rsidRPr="00E36788">
        <w:t>season</w:t>
      </w:r>
      <w:r w:rsidR="0013032F" w:rsidRPr="00E36788">
        <w:t xml:space="preserve"> </w:t>
      </w:r>
      <w:r w:rsidRPr="00E36788">
        <w:t>product</w:t>
      </w:r>
      <w:r w:rsidR="0013032F" w:rsidRPr="00E36788">
        <w:t xml:space="preserve"> </w:t>
      </w:r>
      <w:r w:rsidRPr="00E36788">
        <w:t>offering,</w:t>
      </w:r>
      <w:r w:rsidR="0013032F" w:rsidRPr="00E36788">
        <w:t xml:space="preserve"> </w:t>
      </w:r>
      <w:r w:rsidRPr="00E36788">
        <w:t>future</w:t>
      </w:r>
      <w:r w:rsidR="0013032F" w:rsidRPr="00E36788">
        <w:t xml:space="preserve"> </w:t>
      </w:r>
      <w:r w:rsidRPr="00E36788">
        <w:t>proofing</w:t>
      </w:r>
      <w:r w:rsidR="0013032F" w:rsidRPr="00E36788">
        <w:t xml:space="preserve"> </w:t>
      </w:r>
      <w:r w:rsidRPr="00E36788">
        <w:t>their</w:t>
      </w:r>
      <w:r w:rsidR="0013032F" w:rsidRPr="00E36788">
        <w:t xml:space="preserve"> </w:t>
      </w:r>
      <w:r w:rsidRPr="00E36788">
        <w:t>operations</w:t>
      </w:r>
      <w:r w:rsidR="0013032F" w:rsidRPr="00E36788">
        <w:t xml:space="preserve"> </w:t>
      </w:r>
      <w:r w:rsidRPr="00E36788">
        <w:t>through</w:t>
      </w:r>
      <w:r w:rsidR="0013032F" w:rsidRPr="00E36788">
        <w:t xml:space="preserve"> </w:t>
      </w:r>
      <w:r w:rsidRPr="00E36788">
        <w:t>ongoing</w:t>
      </w:r>
      <w:r w:rsidR="0013032F" w:rsidRPr="00E36788">
        <w:t xml:space="preserve"> </w:t>
      </w:r>
      <w:r w:rsidRPr="00E36788">
        <w:t>expansion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improvement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each</w:t>
      </w:r>
      <w:r w:rsidR="0013032F" w:rsidRPr="00E36788">
        <w:t xml:space="preserve"> </w:t>
      </w:r>
      <w:r w:rsidRPr="00E36788">
        <w:t>resort’s</w:t>
      </w:r>
      <w:r w:rsidR="0013032F" w:rsidRPr="00E36788">
        <w:t xml:space="preserve"> </w:t>
      </w:r>
      <w:r w:rsidRPr="00E36788">
        <w:t>key</w:t>
      </w:r>
      <w:r w:rsidR="0013032F" w:rsidRPr="00E36788">
        <w:t xml:space="preserve"> </w:t>
      </w:r>
      <w:r w:rsidRPr="00E36788">
        <w:t>infrastructure.</w:t>
      </w:r>
    </w:p>
    <w:p w14:paraId="5871C721" w14:textId="232411C2" w:rsidR="00757772" w:rsidRPr="00E36788" w:rsidRDefault="00305D3C" w:rsidP="00E36788">
      <w:r w:rsidRPr="00E36788">
        <w:t>Our</w:t>
      </w:r>
      <w:r w:rsidR="0013032F" w:rsidRPr="00E36788">
        <w:t xml:space="preserve"> </w:t>
      </w:r>
      <w:r w:rsidRPr="00E36788">
        <w:t>team</w:t>
      </w:r>
      <w:r w:rsidR="0013032F" w:rsidRPr="00E36788">
        <w:t xml:space="preserve"> </w:t>
      </w:r>
      <w:r w:rsidRPr="00E36788">
        <w:t>continued</w:t>
      </w:r>
      <w:r w:rsidR="0013032F" w:rsidRPr="00E36788">
        <w:t xml:space="preserve"> </w:t>
      </w:r>
      <w:r w:rsidRPr="00E36788">
        <w:t>its</w:t>
      </w:r>
      <w:r w:rsidR="0013032F" w:rsidRPr="00E36788">
        <w:t xml:space="preserve"> </w:t>
      </w:r>
      <w:r w:rsidRPr="00E36788">
        <w:t>work</w:t>
      </w:r>
      <w:r w:rsidR="0013032F" w:rsidRPr="00E36788">
        <w:t xml:space="preserve"> </w:t>
      </w:r>
      <w:r w:rsidRPr="00E36788">
        <w:t>supporting</w:t>
      </w:r>
      <w:r w:rsidR="0013032F" w:rsidRPr="00E36788">
        <w:t xml:space="preserve"> </w:t>
      </w:r>
      <w:r w:rsidRPr="00E36788">
        <w:t>our</w:t>
      </w:r>
      <w:r w:rsidR="0013032F" w:rsidRPr="00E36788">
        <w:t xml:space="preserve"> </w:t>
      </w:r>
      <w:r w:rsidRPr="00E36788">
        <w:t>Regional</w:t>
      </w:r>
      <w:r w:rsidR="0013032F" w:rsidRPr="00E36788">
        <w:t xml:space="preserve"> </w:t>
      </w:r>
      <w:r w:rsidRPr="00E36788">
        <w:t>Partnerships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Regional</w:t>
      </w:r>
      <w:r w:rsidR="0013032F" w:rsidRPr="00E36788">
        <w:t xml:space="preserve"> </w:t>
      </w:r>
      <w:r w:rsidRPr="00E36788">
        <w:t>Development</w:t>
      </w:r>
      <w:r w:rsidR="0013032F" w:rsidRPr="00E36788">
        <w:t xml:space="preserve"> </w:t>
      </w:r>
      <w:r w:rsidRPr="00E36788">
        <w:t>Australia</w:t>
      </w:r>
      <w:r w:rsidR="0013032F" w:rsidRPr="00E36788">
        <w:t xml:space="preserve"> </w:t>
      </w:r>
      <w:r w:rsidRPr="00E36788">
        <w:t>(RDA)</w:t>
      </w:r>
      <w:r w:rsidR="0013032F" w:rsidRPr="00E36788">
        <w:t xml:space="preserve"> </w:t>
      </w:r>
      <w:r w:rsidRPr="00E36788">
        <w:t>Committee,</w:t>
      </w:r>
      <w:r w:rsidR="0013032F" w:rsidRPr="00E36788">
        <w:t xml:space="preserve"> </w:t>
      </w:r>
      <w:r w:rsidRPr="00E36788">
        <w:t>advocating</w:t>
      </w:r>
      <w:r w:rsidR="0013032F" w:rsidRPr="00E36788">
        <w:t xml:space="preserve"> </w:t>
      </w:r>
      <w:r w:rsidRPr="00E36788">
        <w:t>for</w:t>
      </w:r>
      <w:r w:rsidR="0013032F" w:rsidRPr="00E36788">
        <w:t xml:space="preserve"> </w:t>
      </w:r>
      <w:r w:rsidRPr="00E36788">
        <w:t>key</w:t>
      </w:r>
      <w:r w:rsidR="0013032F" w:rsidRPr="00E36788">
        <w:t xml:space="preserve"> </w:t>
      </w:r>
      <w:r w:rsidRPr="00E36788">
        <w:t>local</w:t>
      </w:r>
      <w:r w:rsidR="0013032F" w:rsidRPr="00E36788">
        <w:t xml:space="preserve"> </w:t>
      </w:r>
      <w:r w:rsidRPr="00E36788">
        <w:t>projects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priorities.</w:t>
      </w:r>
      <w:r w:rsidR="0013032F" w:rsidRPr="00E36788">
        <w:t xml:space="preserve"> </w:t>
      </w:r>
      <w:r w:rsidRPr="00E36788">
        <w:t>This</w:t>
      </w:r>
      <w:r w:rsidR="0013032F" w:rsidRPr="00E36788">
        <w:t xml:space="preserve"> </w:t>
      </w:r>
      <w:r w:rsidRPr="00E36788">
        <w:t>work</w:t>
      </w:r>
      <w:r w:rsidR="0013032F" w:rsidRPr="00E36788">
        <w:t xml:space="preserve"> </w:t>
      </w:r>
      <w:r w:rsidRPr="00E36788">
        <w:t>was</w:t>
      </w:r>
      <w:r w:rsidR="0013032F" w:rsidRPr="00E36788">
        <w:t xml:space="preserve"> </w:t>
      </w:r>
      <w:r w:rsidRPr="00E36788">
        <w:t>crucial</w:t>
      </w:r>
      <w:r w:rsidR="0013032F" w:rsidRPr="00E36788">
        <w:t xml:space="preserve"> </w:t>
      </w:r>
      <w:r w:rsidRPr="00E36788">
        <w:t>in</w:t>
      </w:r>
      <w:r w:rsidR="0013032F" w:rsidRPr="00E36788">
        <w:t xml:space="preserve"> </w:t>
      </w:r>
      <w:r w:rsidRPr="00E36788">
        <w:t>ensuring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voices</w:t>
      </w:r>
      <w:r w:rsidR="0013032F" w:rsidRPr="00E36788">
        <w:t xml:space="preserve"> </w:t>
      </w:r>
      <w:r w:rsidRPr="00E36788">
        <w:t>of</w:t>
      </w:r>
      <w:r w:rsidR="0013032F" w:rsidRPr="00E36788">
        <w:t xml:space="preserve"> </w:t>
      </w:r>
      <w:r w:rsidRPr="00E36788">
        <w:t>our</w:t>
      </w:r>
      <w:r w:rsidR="0013032F" w:rsidRPr="00E36788">
        <w:t xml:space="preserve"> </w:t>
      </w:r>
      <w:r w:rsidRPr="00E36788">
        <w:t>local</w:t>
      </w:r>
      <w:r w:rsidR="0013032F" w:rsidRPr="00E36788">
        <w:t xml:space="preserve"> </w:t>
      </w:r>
      <w:r w:rsidRPr="00E36788">
        <w:t>co</w:t>
      </w:r>
      <w:r w:rsidRPr="00E36788">
        <w:t>mmunities</w:t>
      </w:r>
      <w:r w:rsidR="0013032F" w:rsidRPr="00E36788">
        <w:t xml:space="preserve"> </w:t>
      </w:r>
      <w:r w:rsidRPr="00E36788">
        <w:t>were</w:t>
      </w:r>
      <w:r w:rsidR="0013032F" w:rsidRPr="00E36788">
        <w:t xml:space="preserve"> </w:t>
      </w:r>
      <w:r w:rsidRPr="00E36788">
        <w:t>heard</w:t>
      </w:r>
      <w:r w:rsidR="0013032F" w:rsidRPr="00E36788">
        <w:t xml:space="preserve"> </w:t>
      </w:r>
      <w:r w:rsidRPr="00E36788">
        <w:t>by</w:t>
      </w:r>
      <w:r w:rsidR="0013032F" w:rsidRPr="00E36788">
        <w:t xml:space="preserve"> </w:t>
      </w:r>
      <w:r w:rsidRPr="00E36788">
        <w:t>government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that</w:t>
      </w:r>
      <w:r w:rsidR="0013032F" w:rsidRPr="00E36788">
        <w:t xml:space="preserve"> </w:t>
      </w:r>
      <w:r w:rsidRPr="00E36788">
        <w:t>funding</w:t>
      </w:r>
      <w:r w:rsidR="0013032F" w:rsidRPr="00E36788">
        <w:t xml:space="preserve"> </w:t>
      </w:r>
      <w:r w:rsidRPr="00E36788">
        <w:t>was</w:t>
      </w:r>
      <w:r w:rsidR="0013032F" w:rsidRPr="00E36788">
        <w:t xml:space="preserve"> </w:t>
      </w:r>
      <w:r w:rsidRPr="00E36788">
        <w:t>allocated</w:t>
      </w:r>
      <w:r w:rsidR="0013032F" w:rsidRPr="00E36788">
        <w:t xml:space="preserve"> </w:t>
      </w:r>
      <w:r w:rsidRPr="00E36788">
        <w:t>where</w:t>
      </w:r>
      <w:r w:rsidR="0013032F" w:rsidRPr="00E36788">
        <w:t xml:space="preserve"> </w:t>
      </w:r>
      <w:r w:rsidRPr="00E36788">
        <w:t>it</w:t>
      </w:r>
      <w:r w:rsidR="0013032F" w:rsidRPr="00E36788">
        <w:t xml:space="preserve"> </w:t>
      </w:r>
      <w:r w:rsidRPr="00E36788">
        <w:t>was</w:t>
      </w:r>
      <w:r w:rsidR="0013032F" w:rsidRPr="00E36788">
        <w:t xml:space="preserve"> </w:t>
      </w:r>
      <w:r w:rsidRPr="00E36788">
        <w:t>needed</w:t>
      </w:r>
      <w:r w:rsidR="0013032F" w:rsidRPr="00E36788">
        <w:t xml:space="preserve"> </w:t>
      </w:r>
      <w:r w:rsidRPr="00E36788">
        <w:t>most.</w:t>
      </w:r>
      <w:r w:rsidR="0013032F" w:rsidRPr="00E36788">
        <w:t xml:space="preserve"> </w:t>
      </w:r>
    </w:p>
    <w:p w14:paraId="7F19B3C7" w14:textId="21815E2E" w:rsidR="00757772" w:rsidRPr="00E36788" w:rsidRDefault="00305D3C" w:rsidP="00E36788">
      <w:r w:rsidRPr="00E36788">
        <w:t>I</w:t>
      </w:r>
      <w:r w:rsidR="0013032F" w:rsidRPr="00E36788">
        <w:t xml:space="preserve"> </w:t>
      </w:r>
      <w:r w:rsidRPr="00E36788">
        <w:t>would</w:t>
      </w:r>
      <w:r w:rsidR="0013032F" w:rsidRPr="00E36788">
        <w:t xml:space="preserve"> </w:t>
      </w:r>
      <w:r w:rsidRPr="00E36788">
        <w:t>like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thank</w:t>
      </w:r>
      <w:r w:rsidR="0013032F" w:rsidRPr="00E36788">
        <w:t xml:space="preserve"> </w:t>
      </w:r>
      <w:r w:rsidRPr="00E36788">
        <w:t>our</w:t>
      </w:r>
      <w:r w:rsidR="0013032F" w:rsidRPr="00E36788">
        <w:t xml:space="preserve"> </w:t>
      </w:r>
      <w:r w:rsidRPr="00E36788">
        <w:t>colleagues</w:t>
      </w:r>
      <w:r w:rsidR="0013032F" w:rsidRPr="00E36788">
        <w:t xml:space="preserve"> </w:t>
      </w:r>
      <w:r w:rsidRPr="00E36788">
        <w:t>across</w:t>
      </w:r>
      <w:r w:rsidR="0013032F" w:rsidRPr="00E36788">
        <w:t xml:space="preserve"> </w:t>
      </w:r>
      <w:r w:rsidRPr="00E36788">
        <w:t>Victorian</w:t>
      </w:r>
      <w:r w:rsidR="0013032F" w:rsidRPr="00E36788">
        <w:t xml:space="preserve"> </w:t>
      </w:r>
      <w:r w:rsidRPr="00E36788">
        <w:t>Government</w:t>
      </w:r>
      <w:r w:rsidR="0013032F" w:rsidRPr="00E36788">
        <w:t xml:space="preserve"> </w:t>
      </w:r>
      <w:r w:rsidRPr="00E36788">
        <w:t>departments</w:t>
      </w:r>
      <w:r w:rsidR="0013032F" w:rsidRPr="00E36788">
        <w:t xml:space="preserve"> </w:t>
      </w:r>
      <w:r w:rsidRPr="00E36788">
        <w:t>who</w:t>
      </w:r>
      <w:r w:rsidR="0013032F" w:rsidRPr="00E36788">
        <w:t xml:space="preserve"> </w:t>
      </w:r>
      <w:r w:rsidRPr="00E36788">
        <w:t>we</w:t>
      </w:r>
      <w:r w:rsidR="0013032F" w:rsidRPr="00E36788">
        <w:t xml:space="preserve"> </w:t>
      </w:r>
      <w:r w:rsidRPr="00E36788">
        <w:t>work</w:t>
      </w:r>
      <w:r w:rsidR="0013032F" w:rsidRPr="00E36788">
        <w:t xml:space="preserve"> </w:t>
      </w:r>
      <w:r w:rsidRPr="00E36788">
        <w:t>closely</w:t>
      </w:r>
      <w:r w:rsidR="0013032F" w:rsidRPr="00E36788">
        <w:t xml:space="preserve"> </w:t>
      </w:r>
      <w:r w:rsidRPr="00E36788">
        <w:t>with</w:t>
      </w:r>
      <w:r w:rsidR="0013032F" w:rsidRPr="00E36788">
        <w:t xml:space="preserve"> </w:t>
      </w:r>
      <w:r w:rsidRPr="00E36788">
        <w:t>daily.</w:t>
      </w:r>
      <w:r w:rsidR="0013032F" w:rsidRPr="00E36788">
        <w:t xml:space="preserve"> </w:t>
      </w:r>
      <w:r w:rsidRPr="00E36788">
        <w:t>Your</w:t>
      </w:r>
      <w:r w:rsidR="0013032F" w:rsidRPr="00E36788">
        <w:t xml:space="preserve"> </w:t>
      </w:r>
      <w:r w:rsidRPr="00E36788">
        <w:t>support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partnership</w:t>
      </w:r>
      <w:r w:rsidR="0013032F" w:rsidRPr="00E36788">
        <w:t xml:space="preserve"> </w:t>
      </w:r>
      <w:r w:rsidRPr="00E36788">
        <w:t>ensure</w:t>
      </w:r>
      <w:r w:rsidR="0013032F" w:rsidRPr="00E36788">
        <w:t xml:space="preserve"> </w:t>
      </w:r>
      <w:r w:rsidRPr="00E36788">
        <w:t>we</w:t>
      </w:r>
      <w:r w:rsidR="0013032F" w:rsidRPr="00E36788">
        <w:t xml:space="preserve"> </w:t>
      </w:r>
      <w:r w:rsidRPr="00E36788">
        <w:t>provide</w:t>
      </w:r>
      <w:r w:rsidR="0013032F" w:rsidRPr="00E36788">
        <w:t xml:space="preserve"> </w:t>
      </w:r>
      <w:r w:rsidRPr="00E36788">
        <w:t>a</w:t>
      </w:r>
      <w:r w:rsidR="0013032F" w:rsidRPr="00E36788">
        <w:t xml:space="preserve"> </w:t>
      </w:r>
      <w:r w:rsidRPr="00E36788">
        <w:t>whole-of-government</w:t>
      </w:r>
      <w:r w:rsidR="0013032F" w:rsidRPr="00E36788">
        <w:t xml:space="preserve"> </w:t>
      </w:r>
      <w:r w:rsidRPr="00E36788">
        <w:t>response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seize</w:t>
      </w:r>
      <w:r w:rsidR="0013032F" w:rsidRPr="00E36788">
        <w:t xml:space="preserve"> </w:t>
      </w:r>
      <w:r w:rsidRPr="00E36788">
        <w:t>opportunities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mitigate</w:t>
      </w:r>
      <w:r w:rsidR="0013032F" w:rsidRPr="00E36788">
        <w:t xml:space="preserve"> </w:t>
      </w:r>
      <w:r w:rsidRPr="00E36788">
        <w:t>issues</w:t>
      </w:r>
      <w:r w:rsidR="0013032F" w:rsidRPr="00E36788">
        <w:t xml:space="preserve"> </w:t>
      </w:r>
      <w:r w:rsidRPr="00E36788">
        <w:t>across</w:t>
      </w:r>
      <w:r w:rsidR="0013032F" w:rsidRPr="00E36788">
        <w:t xml:space="preserve"> </w:t>
      </w:r>
      <w:r w:rsidRPr="00E36788">
        <w:t>Hume.</w:t>
      </w:r>
    </w:p>
    <w:p w14:paraId="1812E290" w14:textId="6022F6C9" w:rsidR="00757772" w:rsidRPr="00E36788" w:rsidRDefault="00305D3C" w:rsidP="00E36788">
      <w:r w:rsidRPr="00E36788">
        <w:t>As</w:t>
      </w:r>
      <w:r w:rsidR="0013032F" w:rsidRPr="00E36788">
        <w:t xml:space="preserve"> </w:t>
      </w:r>
      <w:r w:rsidRPr="00E36788">
        <w:t>always,</w:t>
      </w:r>
      <w:r w:rsidR="0013032F" w:rsidRPr="00E36788">
        <w:t xml:space="preserve"> </w:t>
      </w:r>
      <w:r w:rsidRPr="00E36788">
        <w:t>I</w:t>
      </w:r>
      <w:r w:rsidR="0013032F" w:rsidRPr="00E36788">
        <w:t xml:space="preserve"> </w:t>
      </w:r>
      <w:r w:rsidRPr="00E36788">
        <w:t>recognise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outstanding</w:t>
      </w:r>
      <w:r w:rsidR="0013032F" w:rsidRPr="00E36788">
        <w:t xml:space="preserve"> </w:t>
      </w:r>
      <w:r w:rsidRPr="00E36788">
        <w:t>work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ongoing</w:t>
      </w:r>
      <w:r w:rsidR="0013032F" w:rsidRPr="00E36788">
        <w:t xml:space="preserve"> </w:t>
      </w:r>
      <w:r w:rsidRPr="00E36788">
        <w:t>resilience</w:t>
      </w:r>
      <w:r w:rsidR="0013032F" w:rsidRPr="00E36788">
        <w:t xml:space="preserve"> </w:t>
      </w:r>
      <w:r w:rsidRPr="00E36788">
        <w:t>of</w:t>
      </w:r>
      <w:r w:rsidR="0013032F" w:rsidRPr="00E36788">
        <w:t xml:space="preserve"> </w:t>
      </w:r>
      <w:r w:rsidRPr="00E36788">
        <w:t>our</w:t>
      </w:r>
      <w:r w:rsidR="0013032F" w:rsidRPr="00E36788">
        <w:t xml:space="preserve"> </w:t>
      </w:r>
      <w:r w:rsidRPr="00E36788">
        <w:t>RDV</w:t>
      </w:r>
      <w:r w:rsidR="0013032F" w:rsidRPr="00E36788">
        <w:t xml:space="preserve"> </w:t>
      </w:r>
      <w:r w:rsidRPr="00E36788">
        <w:t>Hume</w:t>
      </w:r>
      <w:r w:rsidR="0013032F" w:rsidRPr="00E36788">
        <w:t xml:space="preserve"> </w:t>
      </w:r>
      <w:r w:rsidRPr="00E36788">
        <w:t>team.</w:t>
      </w:r>
      <w:r w:rsidR="0013032F" w:rsidRPr="00E36788">
        <w:t xml:space="preserve"> </w:t>
      </w:r>
      <w:r w:rsidRPr="00E36788">
        <w:t>It</w:t>
      </w:r>
      <w:r w:rsidR="0013032F" w:rsidRPr="00E36788">
        <w:t xml:space="preserve"> </w:t>
      </w:r>
      <w:r w:rsidRPr="00E36788">
        <w:t>has</w:t>
      </w:r>
      <w:r w:rsidR="0013032F" w:rsidRPr="00E36788">
        <w:t xml:space="preserve"> </w:t>
      </w:r>
      <w:r w:rsidRPr="00E36788">
        <w:t>withstood</w:t>
      </w:r>
      <w:r w:rsidR="0013032F" w:rsidRPr="00E36788">
        <w:t xml:space="preserve"> </w:t>
      </w:r>
      <w:r w:rsidRPr="00E36788">
        <w:t>a</w:t>
      </w:r>
      <w:r w:rsidR="0013032F" w:rsidRPr="00E36788">
        <w:t xml:space="preserve"> </w:t>
      </w:r>
      <w:r w:rsidRPr="00E36788">
        <w:t>great</w:t>
      </w:r>
      <w:r w:rsidR="0013032F" w:rsidRPr="00E36788">
        <w:t xml:space="preserve"> </w:t>
      </w:r>
      <w:r w:rsidRPr="00E36788">
        <w:t>deal</w:t>
      </w:r>
      <w:r w:rsidR="0013032F" w:rsidRPr="00E36788">
        <w:t xml:space="preserve"> </w:t>
      </w:r>
      <w:r w:rsidRPr="00E36788">
        <w:t>of</w:t>
      </w:r>
      <w:r w:rsidR="0013032F" w:rsidRPr="00E36788">
        <w:t xml:space="preserve"> </w:t>
      </w:r>
      <w:r w:rsidRPr="00E36788">
        <w:t>adversity</w:t>
      </w:r>
      <w:r w:rsidR="0013032F" w:rsidRPr="00E36788">
        <w:t xml:space="preserve"> </w:t>
      </w:r>
      <w:r w:rsidRPr="00E36788">
        <w:t>while</w:t>
      </w:r>
      <w:r w:rsidR="0013032F" w:rsidRPr="00E36788">
        <w:t xml:space="preserve"> </w:t>
      </w:r>
      <w:r w:rsidRPr="00E36788">
        <w:t>continuing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deliver</w:t>
      </w:r>
      <w:r w:rsidR="0013032F" w:rsidRPr="00E36788">
        <w:t xml:space="preserve"> </w:t>
      </w:r>
      <w:r w:rsidRPr="00E36788">
        <w:t>what</w:t>
      </w:r>
      <w:r w:rsidR="0013032F" w:rsidRPr="00E36788">
        <w:t xml:space="preserve"> </w:t>
      </w:r>
      <w:r w:rsidRPr="00E36788">
        <w:t>can</w:t>
      </w:r>
      <w:r w:rsidR="0013032F" w:rsidRPr="00E36788">
        <w:t xml:space="preserve"> </w:t>
      </w:r>
      <w:r w:rsidRPr="00E36788">
        <w:t>only</w:t>
      </w:r>
      <w:r w:rsidR="0013032F" w:rsidRPr="00E36788">
        <w:t xml:space="preserve"> </w:t>
      </w:r>
      <w:r w:rsidRPr="00E36788">
        <w:lastRenderedPageBreak/>
        <w:t>be</w:t>
      </w:r>
      <w:r w:rsidR="0013032F" w:rsidRPr="00E36788">
        <w:t xml:space="preserve"> </w:t>
      </w:r>
      <w:r w:rsidRPr="00E36788">
        <w:t>described</w:t>
      </w:r>
      <w:r w:rsidR="0013032F" w:rsidRPr="00E36788">
        <w:t xml:space="preserve"> </w:t>
      </w:r>
      <w:r w:rsidRPr="00E36788">
        <w:t>as</w:t>
      </w:r>
      <w:r w:rsidR="0013032F" w:rsidRPr="00E36788">
        <w:t xml:space="preserve"> </w:t>
      </w:r>
      <w:r w:rsidRPr="00E36788">
        <w:t>first-</w:t>
      </w:r>
      <w:r w:rsidRPr="00E36788">
        <w:t>rate,</w:t>
      </w:r>
      <w:r w:rsidR="0013032F" w:rsidRPr="00E36788">
        <w:t xml:space="preserve"> </w:t>
      </w:r>
      <w:r w:rsidRPr="00E36788">
        <w:t>high</w:t>
      </w:r>
      <w:r w:rsidR="0013032F" w:rsidRPr="00E36788">
        <w:t xml:space="preserve"> </w:t>
      </w:r>
      <w:r w:rsidRPr="00E36788">
        <w:t>standard</w:t>
      </w:r>
      <w:r w:rsidR="0013032F" w:rsidRPr="00E36788">
        <w:t xml:space="preserve"> </w:t>
      </w:r>
      <w:r w:rsidRPr="00E36788">
        <w:t>of</w:t>
      </w:r>
      <w:r w:rsidR="0013032F" w:rsidRPr="00E36788">
        <w:t xml:space="preserve"> </w:t>
      </w:r>
      <w:r w:rsidRPr="00E36788">
        <w:t>‘business</w:t>
      </w:r>
      <w:r w:rsidR="0013032F" w:rsidRPr="00E36788">
        <w:t xml:space="preserve"> </w:t>
      </w:r>
      <w:r w:rsidRPr="00E36788">
        <w:t>as</w:t>
      </w:r>
      <w:r w:rsidR="0013032F" w:rsidRPr="00E36788">
        <w:t xml:space="preserve"> </w:t>
      </w:r>
      <w:r w:rsidRPr="00E36788">
        <w:t>usual’</w:t>
      </w:r>
      <w:r w:rsidR="0013032F" w:rsidRPr="00E36788">
        <w:t xml:space="preserve"> </w:t>
      </w:r>
      <w:r w:rsidRPr="00E36788">
        <w:t>work</w:t>
      </w:r>
      <w:r w:rsidR="0013032F" w:rsidRPr="00E36788">
        <w:t xml:space="preserve"> </w:t>
      </w:r>
      <w:r w:rsidRPr="00E36788">
        <w:t>for</w:t>
      </w:r>
      <w:r w:rsidR="0013032F" w:rsidRPr="00E36788">
        <w:t xml:space="preserve"> </w:t>
      </w:r>
      <w:r w:rsidRPr="00E36788">
        <w:t>all</w:t>
      </w:r>
      <w:r w:rsidR="0013032F" w:rsidRPr="00E36788">
        <w:t xml:space="preserve"> </w:t>
      </w:r>
      <w:r w:rsidRPr="00E36788">
        <w:t>our</w:t>
      </w:r>
      <w:r w:rsidR="0013032F" w:rsidRPr="00E36788">
        <w:t xml:space="preserve"> </w:t>
      </w:r>
      <w:r w:rsidRPr="00E36788">
        <w:t>Hume</w:t>
      </w:r>
      <w:r w:rsidR="0013032F" w:rsidRPr="00E36788">
        <w:t xml:space="preserve"> </w:t>
      </w:r>
      <w:r w:rsidRPr="00E36788">
        <w:t>communities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stakeholders.</w:t>
      </w:r>
      <w:r w:rsidR="0013032F" w:rsidRPr="00E36788">
        <w:t xml:space="preserve"> </w:t>
      </w:r>
    </w:p>
    <w:p w14:paraId="278A7F29" w14:textId="01426B7C" w:rsidR="00757772" w:rsidRPr="00E36788" w:rsidRDefault="00305D3C" w:rsidP="00E36788">
      <w:r w:rsidRPr="00E36788">
        <w:rPr>
          <w:b/>
          <w:bCs/>
        </w:rPr>
        <w:t>Matt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Nelson</w:t>
      </w:r>
      <w:r w:rsidRPr="00E36788">
        <w:rPr>
          <w:b/>
          <w:bCs/>
        </w:rPr>
        <w:br/>
      </w:r>
      <w:r w:rsidRPr="00E36788">
        <w:t>Regional</w:t>
      </w:r>
      <w:r w:rsidR="0013032F" w:rsidRPr="00E36788">
        <w:t xml:space="preserve"> </w:t>
      </w:r>
      <w:r w:rsidRPr="00E36788">
        <w:t>Director,</w:t>
      </w:r>
      <w:r w:rsidR="0013032F" w:rsidRPr="00E36788">
        <w:t xml:space="preserve"> </w:t>
      </w:r>
      <w:r w:rsidRPr="00E36788">
        <w:t>Hume</w:t>
      </w:r>
    </w:p>
    <w:p w14:paraId="073D215D" w14:textId="727EB1F1" w:rsidR="00757772" w:rsidRDefault="00305D3C" w:rsidP="00E36788">
      <w:pPr>
        <w:pStyle w:val="Heading2"/>
      </w:pPr>
      <w:bookmarkStart w:id="51" w:name="_Toc149566597"/>
      <w:r>
        <w:t>Regional</w:t>
      </w:r>
      <w:r w:rsidR="0013032F">
        <w:t xml:space="preserve"> </w:t>
      </w:r>
      <w:r>
        <w:t>highlights</w:t>
      </w:r>
      <w:bookmarkEnd w:id="51"/>
    </w:p>
    <w:p w14:paraId="4F359B9D" w14:textId="096B2AB2" w:rsidR="00757772" w:rsidRPr="00E36788" w:rsidRDefault="00305D3C" w:rsidP="00E36788">
      <w:pPr>
        <w:pStyle w:val="Bullet"/>
      </w:pPr>
      <w:r w:rsidRPr="00E36788">
        <w:t>Supported</w:t>
      </w:r>
      <w:r w:rsidR="0013032F" w:rsidRPr="00E36788">
        <w:t xml:space="preserve"> </w:t>
      </w:r>
      <w:r w:rsidRPr="00E36788">
        <w:t>communities</w:t>
      </w:r>
      <w:r w:rsidR="0013032F" w:rsidRPr="00E36788">
        <w:t xml:space="preserve"> </w:t>
      </w:r>
      <w:r w:rsidRPr="00E36788">
        <w:t>through</w:t>
      </w:r>
      <w:r w:rsidR="0013032F" w:rsidRPr="00E36788">
        <w:t xml:space="preserve"> </w:t>
      </w:r>
      <w:r w:rsidRPr="00E36788">
        <w:t>several</w:t>
      </w:r>
      <w:r w:rsidR="0013032F" w:rsidRPr="00E36788">
        <w:t xml:space="preserve"> </w:t>
      </w:r>
      <w:r w:rsidRPr="00E36788">
        <w:t>significant</w:t>
      </w:r>
      <w:r w:rsidR="0013032F" w:rsidRPr="00E36788">
        <w:t xml:space="preserve"> </w:t>
      </w:r>
      <w:r w:rsidRPr="00E36788">
        <w:t>events</w:t>
      </w:r>
      <w:r w:rsidR="0013032F" w:rsidRPr="00E36788">
        <w:t xml:space="preserve"> </w:t>
      </w:r>
      <w:r w:rsidRPr="00E36788">
        <w:t>including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2022</w:t>
      </w:r>
      <w:r w:rsidR="0013032F" w:rsidRPr="00E36788">
        <w:t xml:space="preserve"> </w:t>
      </w:r>
      <w:r w:rsidRPr="00E36788">
        <w:t>spring</w:t>
      </w:r>
      <w:r w:rsidR="0013032F" w:rsidRPr="00E36788">
        <w:t xml:space="preserve"> </w:t>
      </w:r>
      <w:r w:rsidRPr="00E36788">
        <w:t>floods,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Bogong</w:t>
      </w:r>
      <w:r w:rsidR="0013032F" w:rsidRPr="00E36788">
        <w:t xml:space="preserve"> </w:t>
      </w:r>
      <w:r w:rsidRPr="00E36788">
        <w:t>High</w:t>
      </w:r>
      <w:r w:rsidR="0013032F" w:rsidRPr="00E36788">
        <w:t xml:space="preserve"> </w:t>
      </w:r>
      <w:r w:rsidRPr="00E36788">
        <w:t>Plains</w:t>
      </w:r>
      <w:r w:rsidR="0013032F" w:rsidRPr="00E36788">
        <w:t xml:space="preserve"> </w:t>
      </w:r>
      <w:r w:rsidRPr="00E36788">
        <w:t>Road</w:t>
      </w:r>
      <w:r w:rsidR="0013032F" w:rsidRPr="00E36788">
        <w:t xml:space="preserve"> </w:t>
      </w:r>
      <w:r w:rsidRPr="00E36788">
        <w:t>land</w:t>
      </w:r>
      <w:r w:rsidR="0013032F" w:rsidRPr="00E36788">
        <w:t xml:space="preserve"> </w:t>
      </w:r>
      <w:r w:rsidRPr="00E36788">
        <w:t>slip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early</w:t>
      </w:r>
      <w:r w:rsidR="0013032F" w:rsidRPr="00E36788">
        <w:t xml:space="preserve"> </w:t>
      </w:r>
      <w:r w:rsidRPr="00E36788">
        <w:t>exit</w:t>
      </w:r>
      <w:r w:rsidR="0013032F" w:rsidRPr="00E36788">
        <w:t xml:space="preserve"> </w:t>
      </w:r>
      <w:r w:rsidRPr="00E36788">
        <w:t>date</w:t>
      </w:r>
      <w:r w:rsidR="0013032F" w:rsidRPr="00E36788">
        <w:t xml:space="preserve"> </w:t>
      </w:r>
      <w:r w:rsidRPr="00E36788">
        <w:t>for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Victorian</w:t>
      </w:r>
      <w:r w:rsidR="0013032F" w:rsidRPr="00E36788">
        <w:t xml:space="preserve"> </w:t>
      </w:r>
      <w:r w:rsidRPr="00E36788">
        <w:t>Forestry</w:t>
      </w:r>
      <w:r w:rsidR="0013032F" w:rsidRPr="00E36788">
        <w:t xml:space="preserve"> </w:t>
      </w:r>
      <w:r w:rsidRPr="00E36788">
        <w:t>Transition</w:t>
      </w:r>
      <w:r w:rsidR="0013032F" w:rsidRPr="00E36788">
        <w:t xml:space="preserve"> </w:t>
      </w:r>
      <w:r w:rsidRPr="00E36788">
        <w:t>program.</w:t>
      </w:r>
      <w:r w:rsidR="0013032F" w:rsidRPr="00E36788">
        <w:t xml:space="preserve"> </w:t>
      </w:r>
      <w:r w:rsidRPr="00E36788">
        <w:t>This</w:t>
      </w:r>
      <w:r w:rsidR="0013032F" w:rsidRPr="00E36788">
        <w:t xml:space="preserve"> </w:t>
      </w:r>
      <w:r w:rsidRPr="00E36788">
        <w:t>work</w:t>
      </w:r>
      <w:r w:rsidR="0013032F" w:rsidRPr="00E36788">
        <w:t xml:space="preserve"> </w:t>
      </w:r>
      <w:r w:rsidRPr="00E36788">
        <w:t>included</w:t>
      </w:r>
      <w:r w:rsidR="0013032F" w:rsidRPr="00E36788">
        <w:t xml:space="preserve"> </w:t>
      </w:r>
      <w:r w:rsidRPr="00E36788">
        <w:t>facilitating</w:t>
      </w:r>
      <w:r w:rsidR="0013032F" w:rsidRPr="00E36788">
        <w:t xml:space="preserve"> </w:t>
      </w:r>
      <w:r w:rsidRPr="00E36788">
        <w:t>connections</w:t>
      </w:r>
      <w:r w:rsidR="0013032F" w:rsidRPr="00E36788">
        <w:t xml:space="preserve"> </w:t>
      </w:r>
      <w:r w:rsidRPr="00E36788">
        <w:t>with</w:t>
      </w:r>
      <w:r w:rsidR="0013032F" w:rsidRPr="00E36788">
        <w:t xml:space="preserve"> </w:t>
      </w:r>
      <w:r w:rsidRPr="00E36788">
        <w:t>Victorian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local</w:t>
      </w:r>
      <w:r w:rsidR="0013032F" w:rsidRPr="00E36788">
        <w:t xml:space="preserve"> </w:t>
      </w:r>
      <w:r w:rsidRPr="00E36788">
        <w:t>government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other</w:t>
      </w:r>
      <w:r w:rsidR="0013032F" w:rsidRPr="00E36788">
        <w:t xml:space="preserve"> </w:t>
      </w:r>
      <w:r w:rsidRPr="00E36788">
        <w:t>key</w:t>
      </w:r>
      <w:r w:rsidR="0013032F" w:rsidRPr="00E36788">
        <w:t xml:space="preserve"> </w:t>
      </w:r>
      <w:r w:rsidRPr="00E36788">
        <w:t>stakeholders,</w:t>
      </w:r>
      <w:r w:rsidR="0013032F" w:rsidRPr="00E36788">
        <w:t xml:space="preserve"> </w:t>
      </w:r>
      <w:r w:rsidRPr="00E36788">
        <w:t>assisting</w:t>
      </w:r>
      <w:r w:rsidR="0013032F" w:rsidRPr="00E36788">
        <w:t xml:space="preserve"> </w:t>
      </w:r>
      <w:r w:rsidRPr="00E36788">
        <w:t>with</w:t>
      </w:r>
      <w:r w:rsidR="0013032F" w:rsidRPr="00E36788">
        <w:t xml:space="preserve"> </w:t>
      </w:r>
      <w:r w:rsidRPr="00E36788">
        <w:t>access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program</w:t>
      </w:r>
      <w:r w:rsidR="0013032F" w:rsidRPr="00E36788">
        <w:t xml:space="preserve"> </w:t>
      </w:r>
      <w:r w:rsidRPr="00E36788">
        <w:t>support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grant</w:t>
      </w:r>
      <w:r w:rsidR="0013032F" w:rsidRPr="00E36788">
        <w:t xml:space="preserve"> </w:t>
      </w:r>
      <w:r w:rsidRPr="00E36788">
        <w:t>funding,</w:t>
      </w:r>
      <w:r w:rsidR="0013032F" w:rsidRPr="00E36788">
        <w:t xml:space="preserve"> </w:t>
      </w:r>
      <w:r w:rsidRPr="00E36788">
        <w:t>acting</w:t>
      </w:r>
      <w:r w:rsidR="0013032F" w:rsidRPr="00E36788">
        <w:t xml:space="preserve"> </w:t>
      </w:r>
      <w:r w:rsidRPr="00E36788">
        <w:t>as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trusted</w:t>
      </w:r>
      <w:r w:rsidR="0013032F" w:rsidRPr="00E36788">
        <w:t xml:space="preserve"> </w:t>
      </w:r>
      <w:r w:rsidRPr="00E36788">
        <w:t>information</w:t>
      </w:r>
      <w:r w:rsidR="0013032F" w:rsidRPr="00E36788">
        <w:t xml:space="preserve"> </w:t>
      </w:r>
      <w:r w:rsidRPr="00E36788">
        <w:t>source</w:t>
      </w:r>
      <w:r w:rsidR="0013032F" w:rsidRPr="00E36788">
        <w:t xml:space="preserve"> </w:t>
      </w:r>
      <w:r w:rsidRPr="00E36788">
        <w:t>on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ground,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providing</w:t>
      </w:r>
      <w:r w:rsidR="0013032F" w:rsidRPr="00E36788">
        <w:t xml:space="preserve"> </w:t>
      </w:r>
      <w:r w:rsidRPr="00E36788">
        <w:t>key</w:t>
      </w:r>
      <w:r w:rsidR="0013032F" w:rsidRPr="00E36788">
        <w:t xml:space="preserve"> </w:t>
      </w:r>
      <w:r w:rsidRPr="00E36788">
        <w:t>regional</w:t>
      </w:r>
      <w:r w:rsidR="0013032F" w:rsidRPr="00E36788">
        <w:t xml:space="preserve"> </w:t>
      </w:r>
      <w:r w:rsidRPr="00E36788">
        <w:t>advocacy</w:t>
      </w:r>
      <w:r w:rsidR="0013032F" w:rsidRPr="00E36788">
        <w:t xml:space="preserve"> </w:t>
      </w:r>
      <w:r w:rsidRPr="00E36788">
        <w:t>for</w:t>
      </w:r>
      <w:r w:rsidR="0013032F" w:rsidRPr="00E36788">
        <w:t xml:space="preserve"> </w:t>
      </w:r>
      <w:r w:rsidRPr="00E36788">
        <w:t>challenges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opportunities,</w:t>
      </w:r>
      <w:r w:rsidR="0013032F" w:rsidRPr="00E36788">
        <w:t xml:space="preserve"> </w:t>
      </w:r>
      <w:r w:rsidRPr="00E36788">
        <w:t>as</w:t>
      </w:r>
      <w:r w:rsidR="0013032F" w:rsidRPr="00E36788">
        <w:t xml:space="preserve"> </w:t>
      </w:r>
      <w:r w:rsidRPr="00E36788">
        <w:t>well</w:t>
      </w:r>
      <w:r w:rsidR="0013032F" w:rsidRPr="00E36788">
        <w:t xml:space="preserve"> </w:t>
      </w:r>
      <w:r w:rsidRPr="00E36788">
        <w:t>as</w:t>
      </w:r>
      <w:r w:rsidR="0013032F" w:rsidRPr="00E36788">
        <w:t xml:space="preserve"> </w:t>
      </w:r>
      <w:r w:rsidRPr="00E36788">
        <w:t>a</w:t>
      </w:r>
      <w:r w:rsidR="0013032F" w:rsidRPr="00E36788">
        <w:t xml:space="preserve"> </w:t>
      </w:r>
      <w:r w:rsidRPr="00E36788">
        <w:t>range</w:t>
      </w:r>
      <w:r w:rsidR="0013032F" w:rsidRPr="00E36788">
        <w:t xml:space="preserve"> </w:t>
      </w:r>
      <w:r w:rsidRPr="00E36788">
        <w:t>of</w:t>
      </w:r>
      <w:r w:rsidR="0013032F" w:rsidRPr="00E36788">
        <w:t xml:space="preserve"> </w:t>
      </w:r>
      <w:r w:rsidRPr="00E36788">
        <w:t>ad</w:t>
      </w:r>
      <w:r w:rsidR="0013032F" w:rsidRPr="00E36788">
        <w:t xml:space="preserve"> </w:t>
      </w:r>
      <w:r w:rsidRPr="00E36788">
        <w:t>hoc</w:t>
      </w:r>
      <w:r w:rsidR="0013032F" w:rsidRPr="00E36788">
        <w:t xml:space="preserve"> </w:t>
      </w:r>
      <w:r w:rsidRPr="00E36788">
        <w:t>supporting</w:t>
      </w:r>
      <w:r w:rsidR="0013032F" w:rsidRPr="00E36788">
        <w:t xml:space="preserve"> </w:t>
      </w:r>
      <w:r w:rsidRPr="00E36788">
        <w:t>roles</w:t>
      </w:r>
    </w:p>
    <w:p w14:paraId="569FC407" w14:textId="46A78FFB" w:rsidR="00757772" w:rsidRPr="00E36788" w:rsidRDefault="00305D3C" w:rsidP="00E36788">
      <w:pPr>
        <w:pStyle w:val="Bullet"/>
      </w:pPr>
      <w:r w:rsidRPr="00E36788">
        <w:t>Assisted</w:t>
      </w:r>
      <w:r w:rsidR="0013032F" w:rsidRPr="00E36788">
        <w:t xml:space="preserve"> </w:t>
      </w:r>
      <w:r w:rsidRPr="00E36788">
        <w:t>in</w:t>
      </w:r>
      <w:r w:rsidR="0013032F" w:rsidRPr="00E36788">
        <w:t xml:space="preserve"> </w:t>
      </w:r>
      <w:r w:rsidRPr="00E36788">
        <w:t>facilitating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creation</w:t>
      </w:r>
      <w:r w:rsidR="0013032F" w:rsidRPr="00E36788">
        <w:t xml:space="preserve"> </w:t>
      </w:r>
      <w:r w:rsidRPr="00E36788">
        <w:t>of</w:t>
      </w:r>
      <w:r w:rsidR="0013032F" w:rsidRPr="00E36788">
        <w:t xml:space="preserve"> </w:t>
      </w:r>
      <w:r w:rsidRPr="00E36788">
        <w:t>383</w:t>
      </w:r>
      <w:r w:rsidR="0013032F" w:rsidRPr="00E36788">
        <w:t xml:space="preserve"> </w:t>
      </w:r>
      <w:r w:rsidRPr="00E36788">
        <w:t>jobs,</w:t>
      </w:r>
      <w:r w:rsidR="0013032F" w:rsidRPr="00E36788">
        <w:t xml:space="preserve"> </w:t>
      </w:r>
      <w:r w:rsidRPr="00E36788">
        <w:t>delivering</w:t>
      </w:r>
      <w:r w:rsidR="0013032F" w:rsidRPr="00E36788">
        <w:t xml:space="preserve"> </w:t>
      </w:r>
      <w:r w:rsidRPr="00E36788">
        <w:t>$159</w:t>
      </w:r>
      <w:r w:rsidR="0013032F" w:rsidRPr="00E36788">
        <w:t xml:space="preserve"> </w:t>
      </w:r>
      <w:r w:rsidRPr="00E36788">
        <w:t>million</w:t>
      </w:r>
      <w:r w:rsidR="0013032F" w:rsidRPr="00E36788">
        <w:t xml:space="preserve"> </w:t>
      </w:r>
      <w:r w:rsidRPr="00E36788">
        <w:t>in</w:t>
      </w:r>
      <w:r w:rsidR="0013032F" w:rsidRPr="00E36788">
        <w:t xml:space="preserve"> </w:t>
      </w:r>
      <w:r w:rsidRPr="00E36788">
        <w:t>capital</w:t>
      </w:r>
      <w:r w:rsidR="0013032F" w:rsidRPr="00E36788">
        <w:t xml:space="preserve"> </w:t>
      </w:r>
      <w:r w:rsidRPr="00E36788">
        <w:t>expenditure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$6.4</w:t>
      </w:r>
      <w:r w:rsidR="0013032F" w:rsidRPr="00E36788">
        <w:t xml:space="preserve"> </w:t>
      </w:r>
      <w:r w:rsidRPr="00E36788">
        <w:t>million</w:t>
      </w:r>
      <w:r w:rsidR="0013032F" w:rsidRPr="00E36788">
        <w:t xml:space="preserve"> </w:t>
      </w:r>
      <w:r w:rsidRPr="00E36788">
        <w:t>in</w:t>
      </w:r>
      <w:r w:rsidR="0013032F" w:rsidRPr="00E36788">
        <w:t xml:space="preserve"> </w:t>
      </w:r>
      <w:r w:rsidRPr="00E36788">
        <w:t>exports.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Regional</w:t>
      </w:r>
      <w:r w:rsidR="0013032F" w:rsidRPr="00E36788">
        <w:t xml:space="preserve"> </w:t>
      </w:r>
      <w:r w:rsidRPr="00E36788">
        <w:t>Operations</w:t>
      </w:r>
      <w:r w:rsidR="0013032F" w:rsidRPr="00E36788">
        <w:t xml:space="preserve"> </w:t>
      </w:r>
      <w:r w:rsidRPr="00E36788">
        <w:t>team</w:t>
      </w:r>
      <w:r w:rsidR="0013032F" w:rsidRPr="00E36788">
        <w:t xml:space="preserve"> </w:t>
      </w:r>
      <w:r w:rsidRPr="00E36788">
        <w:t>continued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support</w:t>
      </w:r>
      <w:r w:rsidR="0013032F" w:rsidRPr="00E36788">
        <w:t xml:space="preserve"> </w:t>
      </w:r>
      <w:r w:rsidRPr="00E36788">
        <w:t>ongoing</w:t>
      </w:r>
      <w:r w:rsidR="0013032F" w:rsidRPr="00E36788">
        <w:t xml:space="preserve"> </w:t>
      </w:r>
      <w:r w:rsidRPr="00E36788">
        <w:t>strong</w:t>
      </w:r>
      <w:r w:rsidR="0013032F" w:rsidRPr="00E36788">
        <w:t xml:space="preserve"> </w:t>
      </w:r>
      <w:r w:rsidRPr="00E36788">
        <w:t>interest</w:t>
      </w:r>
      <w:r w:rsidR="0013032F" w:rsidRPr="00E36788">
        <w:t xml:space="preserve"> </w:t>
      </w:r>
      <w:r w:rsidRPr="00E36788">
        <w:t>in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Hume</w:t>
      </w:r>
      <w:r w:rsidR="0013032F" w:rsidRPr="00E36788">
        <w:t xml:space="preserve"> </w:t>
      </w:r>
      <w:r w:rsidRPr="00E36788">
        <w:t>region</w:t>
      </w:r>
      <w:r w:rsidR="0013032F" w:rsidRPr="00E36788">
        <w:t xml:space="preserve"> </w:t>
      </w:r>
      <w:r w:rsidRPr="00E36788">
        <w:t>for</w:t>
      </w:r>
      <w:r w:rsidR="0013032F" w:rsidRPr="00E36788">
        <w:t xml:space="preserve"> </w:t>
      </w:r>
      <w:r w:rsidRPr="00E36788">
        <w:t>investment</w:t>
      </w:r>
      <w:r w:rsidR="0013032F" w:rsidRPr="00E36788">
        <w:t xml:space="preserve"> </w:t>
      </w:r>
      <w:r w:rsidRPr="00E36788">
        <w:t>facilitation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business</w:t>
      </w:r>
      <w:r w:rsidR="0013032F" w:rsidRPr="00E36788">
        <w:t xml:space="preserve"> </w:t>
      </w:r>
      <w:r w:rsidRPr="00E36788">
        <w:t>attraction.</w:t>
      </w:r>
      <w:r w:rsidR="0013032F" w:rsidRPr="00E36788">
        <w:t xml:space="preserve"> </w:t>
      </w:r>
      <w:r w:rsidRPr="00E36788">
        <w:t>Over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past</w:t>
      </w:r>
      <w:r w:rsidR="0013032F" w:rsidRPr="00E36788">
        <w:t xml:space="preserve"> </w:t>
      </w:r>
      <w:r w:rsidRPr="00E36788">
        <w:t>3</w:t>
      </w:r>
      <w:r w:rsidR="0013032F" w:rsidRPr="00E36788">
        <w:t xml:space="preserve"> </w:t>
      </w:r>
      <w:r w:rsidRPr="00E36788">
        <w:t>years,</w:t>
      </w:r>
      <w:r w:rsidR="0013032F" w:rsidRPr="00E36788">
        <w:t xml:space="preserve"> </w:t>
      </w:r>
      <w:r w:rsidRPr="00E36788">
        <w:t>RDV</w:t>
      </w:r>
      <w:r w:rsidR="0013032F" w:rsidRPr="00E36788">
        <w:t xml:space="preserve"> </w:t>
      </w:r>
      <w:r w:rsidRPr="00E36788">
        <w:t>Hume</w:t>
      </w:r>
      <w:r w:rsidR="0013032F" w:rsidRPr="00E36788">
        <w:t xml:space="preserve"> </w:t>
      </w:r>
      <w:r w:rsidRPr="00E36788">
        <w:t>has</w:t>
      </w:r>
      <w:r w:rsidR="0013032F" w:rsidRPr="00E36788">
        <w:t xml:space="preserve"> </w:t>
      </w:r>
      <w:r w:rsidRPr="00E36788">
        <w:t>facilitated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delivery</w:t>
      </w:r>
      <w:r w:rsidR="0013032F" w:rsidRPr="00E36788">
        <w:t xml:space="preserve"> </w:t>
      </w:r>
      <w:r w:rsidRPr="00E36788">
        <w:t>of</w:t>
      </w:r>
      <w:r w:rsidR="0013032F" w:rsidRPr="00E36788">
        <w:t xml:space="preserve"> </w:t>
      </w:r>
      <w:r w:rsidRPr="00E36788">
        <w:t>1,358</w:t>
      </w:r>
      <w:r w:rsidR="0013032F" w:rsidRPr="00E36788">
        <w:t xml:space="preserve"> </w:t>
      </w:r>
      <w:r w:rsidRPr="00E36788">
        <w:t>new</w:t>
      </w:r>
      <w:r w:rsidR="0013032F" w:rsidRPr="00E36788">
        <w:t xml:space="preserve"> </w:t>
      </w:r>
      <w:r w:rsidRPr="00E36788">
        <w:t>jobs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$603</w:t>
      </w:r>
      <w:r w:rsidR="0013032F" w:rsidRPr="00E36788">
        <w:t xml:space="preserve"> </w:t>
      </w:r>
      <w:r w:rsidRPr="00E36788">
        <w:t>million</w:t>
      </w:r>
      <w:r w:rsidR="0013032F" w:rsidRPr="00E36788">
        <w:t xml:space="preserve"> </w:t>
      </w:r>
      <w:r w:rsidRPr="00E36788">
        <w:t>in</w:t>
      </w:r>
      <w:r w:rsidR="0013032F" w:rsidRPr="00E36788">
        <w:t xml:space="preserve"> </w:t>
      </w:r>
      <w:r w:rsidRPr="00E36788">
        <w:t>capital</w:t>
      </w:r>
      <w:r w:rsidR="0013032F" w:rsidRPr="00E36788">
        <w:t xml:space="preserve"> </w:t>
      </w:r>
      <w:r w:rsidRPr="00E36788">
        <w:t>expenditure</w:t>
      </w:r>
      <w:r w:rsidR="0013032F" w:rsidRPr="00E36788">
        <w:t xml:space="preserve"> </w:t>
      </w:r>
      <w:r w:rsidRPr="00E36788">
        <w:t>by</w:t>
      </w:r>
      <w:r w:rsidR="0013032F" w:rsidRPr="00E36788">
        <w:t xml:space="preserve"> </w:t>
      </w:r>
      <w:r w:rsidRPr="00E36788">
        <w:t>business</w:t>
      </w:r>
    </w:p>
    <w:p w14:paraId="4A303342" w14:textId="16FC2378" w:rsidR="00757772" w:rsidRPr="00E36788" w:rsidRDefault="00305D3C" w:rsidP="00E36788">
      <w:pPr>
        <w:pStyle w:val="Bullet"/>
      </w:pPr>
      <w:r w:rsidRPr="00E36788">
        <w:t>Delivered</w:t>
      </w:r>
      <w:r w:rsidR="0013032F" w:rsidRPr="00E36788">
        <w:t xml:space="preserve"> </w:t>
      </w:r>
      <w:r w:rsidRPr="00E36788">
        <w:t>48</w:t>
      </w:r>
      <w:r w:rsidR="0013032F" w:rsidRPr="00E36788">
        <w:t xml:space="preserve"> </w:t>
      </w:r>
      <w:r w:rsidRPr="00E36788">
        <w:t>community-based</w:t>
      </w:r>
      <w:r w:rsidR="0013032F" w:rsidRPr="00E36788">
        <w:t xml:space="preserve"> </w:t>
      </w:r>
      <w:r w:rsidRPr="00E36788">
        <w:t>projects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enhance</w:t>
      </w:r>
      <w:r w:rsidR="0013032F" w:rsidRPr="00E36788">
        <w:t xml:space="preserve"> </w:t>
      </w:r>
      <w:r w:rsidRPr="00E36788">
        <w:t>liveability</w:t>
      </w:r>
      <w:r w:rsidR="0013032F" w:rsidRPr="00E36788">
        <w:t xml:space="preserve"> </w:t>
      </w:r>
      <w:r w:rsidRPr="00E36788">
        <w:t>in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region.</w:t>
      </w:r>
      <w:r w:rsidR="0013032F" w:rsidRPr="00E36788">
        <w:t xml:space="preserve"> </w:t>
      </w:r>
      <w:r w:rsidRPr="00E36788">
        <w:t>Highlights</w:t>
      </w:r>
      <w:r w:rsidR="0013032F" w:rsidRPr="00E36788">
        <w:t xml:space="preserve"> </w:t>
      </w:r>
      <w:r w:rsidRPr="00E36788">
        <w:t>included</w:t>
      </w:r>
      <w:r w:rsidR="0013032F" w:rsidRPr="00E36788">
        <w:t xml:space="preserve"> </w:t>
      </w:r>
      <w:r w:rsidRPr="00E36788">
        <w:t>completing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Shepparton’s</w:t>
      </w:r>
      <w:r w:rsidR="0013032F" w:rsidRPr="00E36788">
        <w:t xml:space="preserve"> </w:t>
      </w:r>
      <w:r w:rsidRPr="00E36788">
        <w:t>Maude</w:t>
      </w:r>
      <w:r w:rsidR="0013032F" w:rsidRPr="00E36788">
        <w:t xml:space="preserve"> </w:t>
      </w:r>
      <w:r w:rsidRPr="00E36788">
        <w:t>St</w:t>
      </w:r>
      <w:r w:rsidR="0013032F" w:rsidRPr="00E36788">
        <w:t xml:space="preserve"> </w:t>
      </w:r>
      <w:r w:rsidRPr="00E36788">
        <w:t>Mall;</w:t>
      </w:r>
      <w:r w:rsidR="0013032F" w:rsidRPr="00E36788">
        <w:t xml:space="preserve"> </w:t>
      </w:r>
      <w:r w:rsidRPr="00E36788">
        <w:t>Mansfield</w:t>
      </w:r>
      <w:r w:rsidR="0013032F" w:rsidRPr="00E36788">
        <w:t xml:space="preserve"> </w:t>
      </w:r>
      <w:r w:rsidRPr="00E36788">
        <w:t>Autism</w:t>
      </w:r>
      <w:r w:rsidR="0013032F" w:rsidRPr="00E36788">
        <w:t xml:space="preserve"> </w:t>
      </w:r>
      <w:proofErr w:type="spellStart"/>
      <w:r w:rsidRPr="00E36788">
        <w:t>Statewide</w:t>
      </w:r>
      <w:proofErr w:type="spellEnd"/>
      <w:r w:rsidR="0013032F" w:rsidRPr="00E36788">
        <w:t xml:space="preserve"> </w:t>
      </w:r>
      <w:r w:rsidRPr="00E36788">
        <w:t>Service’s</w:t>
      </w:r>
      <w:r w:rsidR="0013032F" w:rsidRPr="00E36788">
        <w:t xml:space="preserve"> </w:t>
      </w:r>
      <w:r w:rsidRPr="00E36788">
        <w:t>‘Operation</w:t>
      </w:r>
      <w:r w:rsidR="0013032F" w:rsidRPr="00E36788">
        <w:t xml:space="preserve"> </w:t>
      </w:r>
      <w:r w:rsidRPr="00E36788">
        <w:t>Gamechanger;’</w:t>
      </w:r>
      <w:r w:rsidR="0013032F" w:rsidRPr="00E36788">
        <w:t xml:space="preserve"> </w:t>
      </w:r>
      <w:r w:rsidRPr="00E36788">
        <w:t>Great</w:t>
      </w:r>
      <w:r w:rsidR="0013032F" w:rsidRPr="00E36788">
        <w:t xml:space="preserve"> </w:t>
      </w:r>
      <w:r w:rsidRPr="00E36788">
        <w:t>Victorian</w:t>
      </w:r>
      <w:r w:rsidR="0013032F" w:rsidRPr="00E36788">
        <w:t xml:space="preserve"> </w:t>
      </w:r>
      <w:r w:rsidRPr="00E36788">
        <w:t>Rail</w:t>
      </w:r>
      <w:r w:rsidR="0013032F" w:rsidRPr="00E36788">
        <w:t xml:space="preserve"> </w:t>
      </w:r>
      <w:r w:rsidRPr="00E36788">
        <w:t>Trail</w:t>
      </w:r>
      <w:r w:rsidR="0013032F" w:rsidRPr="00E36788">
        <w:t xml:space="preserve"> </w:t>
      </w:r>
      <w:r w:rsidRPr="00E36788">
        <w:t>Art</w:t>
      </w:r>
      <w:r w:rsidR="0013032F" w:rsidRPr="00E36788">
        <w:t xml:space="preserve"> </w:t>
      </w:r>
      <w:r w:rsidRPr="00E36788">
        <w:t>Installations;</w:t>
      </w:r>
      <w:r w:rsidR="0013032F" w:rsidRPr="00E36788">
        <w:t xml:space="preserve"> </w:t>
      </w:r>
      <w:r w:rsidRPr="00E36788">
        <w:t>Stage</w:t>
      </w:r>
      <w:r w:rsidR="0013032F" w:rsidRPr="00E36788">
        <w:t xml:space="preserve"> </w:t>
      </w:r>
      <w:r w:rsidRPr="00E36788">
        <w:t>2</w:t>
      </w:r>
      <w:r w:rsidR="0013032F" w:rsidRPr="00E36788">
        <w:t xml:space="preserve"> </w:t>
      </w:r>
      <w:r w:rsidRPr="00E36788">
        <w:t>of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Great</w:t>
      </w:r>
      <w:r w:rsidR="0013032F" w:rsidRPr="00E36788">
        <w:t xml:space="preserve"> </w:t>
      </w:r>
      <w:r w:rsidRPr="00E36788">
        <w:t>River</w:t>
      </w:r>
      <w:r w:rsidR="0013032F" w:rsidRPr="00E36788">
        <w:t xml:space="preserve"> </w:t>
      </w:r>
      <w:r w:rsidRPr="00E36788">
        <w:t>Road</w:t>
      </w:r>
      <w:r w:rsidR="0013032F" w:rsidRPr="00E36788">
        <w:t xml:space="preserve"> </w:t>
      </w:r>
      <w:r w:rsidRPr="00E36788">
        <w:t>project</w:t>
      </w:r>
      <w:r w:rsidR="0013032F" w:rsidRPr="00E36788">
        <w:t xml:space="preserve"> </w:t>
      </w:r>
      <w:r w:rsidRPr="00E36788">
        <w:t>in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Upper</w:t>
      </w:r>
      <w:r w:rsidR="0013032F" w:rsidRPr="00E36788">
        <w:t xml:space="preserve"> </w:t>
      </w:r>
      <w:r w:rsidRPr="00E36788">
        <w:t>Murray;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supporting</w:t>
      </w:r>
      <w:r w:rsidR="0013032F" w:rsidRPr="00E36788">
        <w:t xml:space="preserve"> </w:t>
      </w:r>
      <w:r w:rsidRPr="00E36788">
        <w:t>a</w:t>
      </w:r>
      <w:r w:rsidR="0013032F" w:rsidRPr="00E36788">
        <w:t xml:space="preserve"> </w:t>
      </w:r>
      <w:r w:rsidRPr="00E36788">
        <w:t>range</w:t>
      </w:r>
      <w:r w:rsidR="0013032F" w:rsidRPr="00E36788">
        <w:t xml:space="preserve"> </w:t>
      </w:r>
      <w:r w:rsidRPr="00E36788">
        <w:t>of</w:t>
      </w:r>
      <w:r w:rsidR="0013032F" w:rsidRPr="00E36788">
        <w:t xml:space="preserve"> </w:t>
      </w:r>
      <w:r w:rsidRPr="00E36788">
        <w:t>localised</w:t>
      </w:r>
      <w:r w:rsidR="0013032F" w:rsidRPr="00E36788">
        <w:t xml:space="preserve"> </w:t>
      </w:r>
      <w:r w:rsidRPr="00E36788">
        <w:t>planning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feasibilit</w:t>
      </w:r>
      <w:r w:rsidRPr="00E36788">
        <w:t>y</w:t>
      </w:r>
      <w:r w:rsidR="0013032F" w:rsidRPr="00E36788">
        <w:t xml:space="preserve"> </w:t>
      </w:r>
      <w:r w:rsidRPr="00E36788">
        <w:t>projects</w:t>
      </w:r>
    </w:p>
    <w:p w14:paraId="362B4857" w14:textId="1C239B37" w:rsidR="00757772" w:rsidRPr="00E36788" w:rsidRDefault="00305D3C" w:rsidP="00E36788">
      <w:pPr>
        <w:pStyle w:val="Bullet"/>
      </w:pPr>
      <w:r w:rsidRPr="00E36788">
        <w:t>Supported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continued</w:t>
      </w:r>
      <w:r w:rsidR="0013032F" w:rsidRPr="00E36788">
        <w:t xml:space="preserve"> </w:t>
      </w:r>
      <w:r w:rsidRPr="00E36788">
        <w:t>growth</w:t>
      </w:r>
      <w:r w:rsidR="0013032F" w:rsidRPr="00E36788">
        <w:t xml:space="preserve"> </w:t>
      </w:r>
      <w:r w:rsidRPr="00E36788">
        <w:t>of</w:t>
      </w:r>
      <w:r w:rsidR="0013032F" w:rsidRPr="00E36788">
        <w:t xml:space="preserve"> </w:t>
      </w:r>
      <w:r w:rsidRPr="00E36788">
        <w:t>iconic</w:t>
      </w:r>
      <w:r w:rsidR="0013032F" w:rsidRPr="00E36788">
        <w:t xml:space="preserve"> </w:t>
      </w:r>
      <w:r w:rsidRPr="00E36788">
        <w:t>visitor</w:t>
      </w:r>
      <w:r w:rsidR="0013032F" w:rsidRPr="00E36788">
        <w:t xml:space="preserve"> </w:t>
      </w:r>
      <w:r w:rsidRPr="00E36788">
        <w:t>economy</w:t>
      </w:r>
      <w:r w:rsidR="0013032F" w:rsidRPr="00E36788">
        <w:t xml:space="preserve"> </w:t>
      </w:r>
      <w:r w:rsidRPr="00E36788">
        <w:t>projects</w:t>
      </w:r>
      <w:r w:rsidR="0013032F" w:rsidRPr="00E36788">
        <w:t xml:space="preserve"> </w:t>
      </w:r>
      <w:r w:rsidRPr="00E36788">
        <w:t>such</w:t>
      </w:r>
      <w:r w:rsidR="0013032F" w:rsidRPr="00E36788">
        <w:t xml:space="preserve"> </w:t>
      </w:r>
      <w:r w:rsidRPr="00E36788">
        <w:t>as</w:t>
      </w:r>
      <w:r w:rsidR="0013032F" w:rsidRPr="00E36788">
        <w:t xml:space="preserve"> </w:t>
      </w:r>
      <w:r w:rsidRPr="00E36788">
        <w:t>Ride</w:t>
      </w:r>
      <w:r w:rsidR="0013032F" w:rsidRPr="00E36788">
        <w:t xml:space="preserve"> </w:t>
      </w:r>
      <w:r w:rsidRPr="00E36788">
        <w:t>High</w:t>
      </w:r>
      <w:r w:rsidR="0013032F" w:rsidRPr="00E36788">
        <w:t xml:space="preserve"> </w:t>
      </w:r>
      <w:r w:rsidRPr="00E36788">
        <w:t>Country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Prosecco</w:t>
      </w:r>
      <w:r w:rsidR="0013032F" w:rsidRPr="00E36788">
        <w:t xml:space="preserve"> </w:t>
      </w:r>
      <w:r w:rsidRPr="00E36788">
        <w:t>Road.</w:t>
      </w:r>
      <w:r w:rsidR="0013032F" w:rsidRPr="00E36788">
        <w:t xml:space="preserve"> </w:t>
      </w:r>
      <w:r w:rsidRPr="00E36788">
        <w:t>There</w:t>
      </w:r>
      <w:r w:rsidR="0013032F" w:rsidRPr="00E36788">
        <w:t xml:space="preserve"> </w:t>
      </w:r>
      <w:r w:rsidRPr="00E36788">
        <w:t>were</w:t>
      </w:r>
      <w:r w:rsidR="0013032F" w:rsidRPr="00E36788">
        <w:t xml:space="preserve"> </w:t>
      </w:r>
      <w:r w:rsidRPr="00E36788">
        <w:t>13</w:t>
      </w:r>
      <w:r w:rsidR="0013032F" w:rsidRPr="00E36788">
        <w:t xml:space="preserve"> </w:t>
      </w:r>
      <w:r w:rsidRPr="00E36788">
        <w:t>active</w:t>
      </w:r>
      <w:r w:rsidR="0013032F" w:rsidRPr="00E36788">
        <w:t xml:space="preserve"> </w:t>
      </w:r>
      <w:r w:rsidRPr="00E36788">
        <w:t>projects</w:t>
      </w:r>
      <w:r w:rsidR="0013032F" w:rsidRPr="00E36788">
        <w:t xml:space="preserve"> </w:t>
      </w:r>
      <w:r w:rsidRPr="00E36788">
        <w:t>from</w:t>
      </w:r>
      <w:r w:rsidR="0013032F" w:rsidRPr="00E36788">
        <w:t xml:space="preserve"> </w:t>
      </w:r>
      <w:r w:rsidRPr="00E36788">
        <w:t>Round</w:t>
      </w:r>
      <w:r w:rsidR="0013032F" w:rsidRPr="00E36788">
        <w:t xml:space="preserve"> </w:t>
      </w:r>
      <w:r w:rsidRPr="00E36788">
        <w:t>2</w:t>
      </w:r>
      <w:r w:rsidR="0013032F" w:rsidRPr="00E36788">
        <w:t xml:space="preserve"> </w:t>
      </w:r>
      <w:r w:rsidRPr="00E36788">
        <w:t>of</w:t>
      </w:r>
      <w:r w:rsidR="0013032F" w:rsidRPr="00E36788">
        <w:t xml:space="preserve"> </w:t>
      </w:r>
      <w:r w:rsidRPr="00E36788">
        <w:t>Ride</w:t>
      </w:r>
      <w:r w:rsidR="0013032F" w:rsidRPr="00E36788">
        <w:t xml:space="preserve"> </w:t>
      </w:r>
      <w:r w:rsidRPr="00E36788">
        <w:t>High</w:t>
      </w:r>
      <w:r w:rsidR="0013032F" w:rsidRPr="00E36788">
        <w:t xml:space="preserve"> </w:t>
      </w:r>
      <w:r w:rsidRPr="00E36788">
        <w:t>Country</w:t>
      </w:r>
      <w:r w:rsidR="0013032F" w:rsidRPr="00E36788">
        <w:t xml:space="preserve"> </w:t>
      </w:r>
      <w:r w:rsidRPr="00E36788">
        <w:t>with</w:t>
      </w:r>
      <w:r w:rsidR="0013032F" w:rsidRPr="00E36788">
        <w:t xml:space="preserve"> </w:t>
      </w:r>
      <w:r w:rsidRPr="00E36788">
        <w:t>many</w:t>
      </w:r>
      <w:r w:rsidR="0013032F" w:rsidRPr="00E36788">
        <w:t xml:space="preserve"> </w:t>
      </w:r>
      <w:r w:rsidRPr="00E36788">
        <w:t>completed</w:t>
      </w:r>
      <w:r w:rsidR="0013032F" w:rsidRPr="00E36788">
        <w:t xml:space="preserve"> </w:t>
      </w:r>
      <w:r w:rsidRPr="00E36788">
        <w:t>over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year,</w:t>
      </w:r>
      <w:r w:rsidR="0013032F" w:rsidRPr="00E36788">
        <w:t xml:space="preserve"> </w:t>
      </w:r>
      <w:r w:rsidRPr="00E36788">
        <w:t>further</w:t>
      </w:r>
      <w:r w:rsidR="0013032F" w:rsidRPr="00E36788">
        <w:t xml:space="preserve"> </w:t>
      </w:r>
      <w:r w:rsidRPr="00E36788">
        <w:t>activating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regional</w:t>
      </w:r>
      <w:r w:rsidR="0013032F" w:rsidRPr="00E36788">
        <w:t xml:space="preserve"> </w:t>
      </w:r>
      <w:r w:rsidRPr="00E36788">
        <w:t>visitor</w:t>
      </w:r>
      <w:r w:rsidR="0013032F" w:rsidRPr="00E36788">
        <w:t xml:space="preserve"> </w:t>
      </w:r>
      <w:r w:rsidRPr="00E36788">
        <w:t>economy.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program</w:t>
      </w:r>
      <w:r w:rsidR="0013032F" w:rsidRPr="00E36788">
        <w:t xml:space="preserve"> </w:t>
      </w:r>
      <w:r w:rsidRPr="00E36788">
        <w:t>has</w:t>
      </w:r>
      <w:r w:rsidR="0013032F" w:rsidRPr="00E36788">
        <w:t xml:space="preserve"> </w:t>
      </w:r>
      <w:r w:rsidRPr="00E36788">
        <w:t>attracted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supported</w:t>
      </w:r>
      <w:r w:rsidR="0013032F" w:rsidRPr="00E36788">
        <w:t xml:space="preserve"> </w:t>
      </w:r>
      <w:r w:rsidRPr="00E36788">
        <w:t>in</w:t>
      </w:r>
      <w:r w:rsidR="0013032F" w:rsidRPr="00E36788">
        <w:t xml:space="preserve"> </w:t>
      </w:r>
      <w:r w:rsidRPr="00E36788">
        <w:t>excess</w:t>
      </w:r>
      <w:r w:rsidR="0013032F" w:rsidRPr="00E36788">
        <w:t xml:space="preserve"> </w:t>
      </w:r>
      <w:r w:rsidRPr="00E36788">
        <w:t>of</w:t>
      </w:r>
      <w:r w:rsidR="0013032F" w:rsidRPr="00E36788">
        <w:t xml:space="preserve"> </w:t>
      </w:r>
      <w:r w:rsidRPr="00E36788">
        <w:t>$5</w:t>
      </w:r>
      <w:r w:rsidR="0013032F" w:rsidRPr="00E36788">
        <w:t xml:space="preserve"> </w:t>
      </w:r>
      <w:r w:rsidRPr="00E36788">
        <w:t>million</w:t>
      </w:r>
      <w:r w:rsidR="0013032F" w:rsidRPr="00E36788">
        <w:t xml:space="preserve"> </w:t>
      </w:r>
      <w:r w:rsidRPr="00E36788">
        <w:t>in</w:t>
      </w:r>
      <w:r w:rsidR="0013032F" w:rsidRPr="00E36788">
        <w:t xml:space="preserve"> </w:t>
      </w:r>
      <w:r w:rsidRPr="00E36788">
        <w:t>investment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activate</w:t>
      </w:r>
      <w:r w:rsidR="0013032F" w:rsidRPr="00E36788">
        <w:t xml:space="preserve"> </w:t>
      </w:r>
      <w:r w:rsidRPr="00E36788">
        <w:t>private</w:t>
      </w:r>
      <w:r w:rsidR="0013032F" w:rsidRPr="00E36788">
        <w:t xml:space="preserve"> </w:t>
      </w:r>
      <w:r w:rsidRPr="00E36788">
        <w:t>sector</w:t>
      </w:r>
      <w:r w:rsidR="0013032F" w:rsidRPr="00E36788">
        <w:t xml:space="preserve"> </w:t>
      </w:r>
      <w:r w:rsidRPr="00E36788">
        <w:t>development</w:t>
      </w:r>
      <w:r w:rsidR="0013032F" w:rsidRPr="00E36788">
        <w:t xml:space="preserve"> </w:t>
      </w:r>
      <w:r w:rsidRPr="00E36788">
        <w:t>in</w:t>
      </w:r>
      <w:r w:rsidR="0013032F" w:rsidRPr="00E36788">
        <w:t xml:space="preserve"> </w:t>
      </w:r>
      <w:r w:rsidRPr="00E36788">
        <w:t>cycle</w:t>
      </w:r>
      <w:r w:rsidR="0013032F" w:rsidRPr="00E36788">
        <w:t xml:space="preserve"> </w:t>
      </w:r>
      <w:r w:rsidRPr="00E36788">
        <w:t>tourism</w:t>
      </w:r>
      <w:r w:rsidR="0013032F" w:rsidRPr="00E36788">
        <w:t xml:space="preserve"> </w:t>
      </w:r>
      <w:r w:rsidRPr="00E36788">
        <w:t>across</w:t>
      </w:r>
      <w:r w:rsidR="0013032F" w:rsidRPr="00E36788">
        <w:t xml:space="preserve"> </w:t>
      </w:r>
      <w:r w:rsidRPr="00E36788">
        <w:t>northeast</w:t>
      </w:r>
      <w:r w:rsidR="0013032F" w:rsidRPr="00E36788">
        <w:t xml:space="preserve"> </w:t>
      </w:r>
      <w:r w:rsidRPr="00E36788">
        <w:t>Victoria,</w:t>
      </w:r>
      <w:r w:rsidR="0013032F" w:rsidRPr="00E36788">
        <w:t xml:space="preserve"> </w:t>
      </w:r>
      <w:r w:rsidRPr="00E36788">
        <w:t>creating</w:t>
      </w:r>
      <w:r w:rsidR="0013032F" w:rsidRPr="00E36788">
        <w:t xml:space="preserve"> </w:t>
      </w:r>
      <w:r w:rsidRPr="00E36788">
        <w:t>an</w:t>
      </w:r>
      <w:r w:rsidR="0013032F" w:rsidRPr="00E36788">
        <w:t xml:space="preserve"> </w:t>
      </w:r>
      <w:r w:rsidRPr="00E36788">
        <w:t>estimated</w:t>
      </w:r>
      <w:r w:rsidR="0013032F" w:rsidRPr="00E36788">
        <w:t xml:space="preserve"> </w:t>
      </w:r>
      <w:r w:rsidRPr="00E36788">
        <w:t>70</w:t>
      </w:r>
      <w:r w:rsidR="0013032F" w:rsidRPr="00E36788">
        <w:t xml:space="preserve"> </w:t>
      </w:r>
      <w:r w:rsidRPr="00E36788">
        <w:t>direct</w:t>
      </w:r>
      <w:r w:rsidR="0013032F" w:rsidRPr="00E36788">
        <w:t xml:space="preserve"> </w:t>
      </w:r>
      <w:r w:rsidRPr="00E36788">
        <w:t>jobs</w:t>
      </w:r>
    </w:p>
    <w:p w14:paraId="3582F185" w14:textId="30F9B0E3" w:rsidR="00757772" w:rsidRPr="00E36788" w:rsidRDefault="00305D3C" w:rsidP="00E36788">
      <w:pPr>
        <w:pStyle w:val="Bulletlast"/>
      </w:pPr>
      <w:r w:rsidRPr="00E36788">
        <w:t>Delivered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final</w:t>
      </w:r>
      <w:r w:rsidR="0013032F" w:rsidRPr="00E36788">
        <w:t xml:space="preserve"> </w:t>
      </w:r>
      <w:r w:rsidRPr="00E36788">
        <w:t>portion</w:t>
      </w:r>
      <w:r w:rsidR="0013032F" w:rsidRPr="00E36788">
        <w:t xml:space="preserve"> </w:t>
      </w:r>
      <w:r w:rsidRPr="00E36788">
        <w:t>of</w:t>
      </w:r>
      <w:r w:rsidR="0013032F" w:rsidRPr="00E36788">
        <w:t xml:space="preserve"> </w:t>
      </w:r>
      <w:r w:rsidRPr="00E36788">
        <w:t>$18.9</w:t>
      </w:r>
      <w:r w:rsidR="0013032F" w:rsidRPr="00E36788">
        <w:t xml:space="preserve"> </w:t>
      </w:r>
      <w:r w:rsidRPr="00E36788">
        <w:t>million</w:t>
      </w:r>
      <w:r w:rsidR="0013032F" w:rsidRPr="00E36788">
        <w:t xml:space="preserve"> </w:t>
      </w:r>
      <w:r w:rsidRPr="00E36788">
        <w:t>funding</w:t>
      </w:r>
      <w:r w:rsidR="0013032F" w:rsidRPr="00E36788">
        <w:t xml:space="preserve"> </w:t>
      </w:r>
      <w:r w:rsidRPr="00E36788">
        <w:t>for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region’s</w:t>
      </w:r>
      <w:r w:rsidR="0013032F" w:rsidRPr="00E36788">
        <w:t xml:space="preserve"> </w:t>
      </w:r>
      <w:r w:rsidRPr="00E36788">
        <w:t>5</w:t>
      </w:r>
      <w:r w:rsidR="0013032F" w:rsidRPr="00E36788">
        <w:t xml:space="preserve"> </w:t>
      </w:r>
      <w:r w:rsidRPr="00E36788">
        <w:t>Alpine</w:t>
      </w:r>
      <w:r w:rsidR="0013032F" w:rsidRPr="00E36788">
        <w:t xml:space="preserve"> </w:t>
      </w:r>
      <w:r w:rsidRPr="00E36788">
        <w:t>resorts.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funding,</w:t>
      </w:r>
      <w:r w:rsidR="0013032F" w:rsidRPr="00E36788">
        <w:t xml:space="preserve"> </w:t>
      </w:r>
      <w:r w:rsidRPr="00E36788">
        <w:t>delivered</w:t>
      </w:r>
      <w:r w:rsidR="0013032F" w:rsidRPr="00E36788">
        <w:t xml:space="preserve"> </w:t>
      </w:r>
      <w:r w:rsidRPr="00E36788">
        <w:t>over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past</w:t>
      </w:r>
      <w:r w:rsidR="0013032F" w:rsidRPr="00E36788">
        <w:t xml:space="preserve"> </w:t>
      </w:r>
      <w:r w:rsidRPr="00E36788">
        <w:t>3</w:t>
      </w:r>
      <w:r w:rsidR="0013032F" w:rsidRPr="00E36788">
        <w:t xml:space="preserve"> </w:t>
      </w:r>
      <w:r w:rsidRPr="00E36788">
        <w:t>years,</w:t>
      </w:r>
      <w:r w:rsidR="0013032F" w:rsidRPr="00E36788">
        <w:t xml:space="preserve"> </w:t>
      </w:r>
      <w:r w:rsidRPr="00E36788">
        <w:t>supported</w:t>
      </w:r>
      <w:r w:rsidR="0013032F" w:rsidRPr="00E36788">
        <w:t xml:space="preserve"> </w:t>
      </w:r>
      <w:r w:rsidRPr="00E36788">
        <w:t>9</w:t>
      </w:r>
      <w:r w:rsidR="0013032F" w:rsidRPr="00E36788">
        <w:t xml:space="preserve"> </w:t>
      </w:r>
      <w:r w:rsidRPr="00E36788">
        <w:t>key</w:t>
      </w:r>
      <w:r w:rsidR="0013032F" w:rsidRPr="00E36788">
        <w:t xml:space="preserve"> </w:t>
      </w:r>
      <w:r w:rsidRPr="00E36788">
        <w:t>projects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continue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resorts’</w:t>
      </w:r>
      <w:r w:rsidR="0013032F" w:rsidRPr="00E36788">
        <w:t xml:space="preserve"> </w:t>
      </w:r>
      <w:r w:rsidRPr="00E36788">
        <w:t>growth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development</w:t>
      </w:r>
      <w:r w:rsidR="0013032F" w:rsidRPr="00E36788">
        <w:t xml:space="preserve"> </w:t>
      </w:r>
      <w:r w:rsidRPr="00E36788">
        <w:t>through</w:t>
      </w:r>
      <w:r w:rsidR="0013032F" w:rsidRPr="00E36788">
        <w:t xml:space="preserve"> </w:t>
      </w:r>
      <w:r w:rsidRPr="00E36788">
        <w:t>improved</w:t>
      </w:r>
      <w:r w:rsidR="0013032F" w:rsidRPr="00E36788">
        <w:t xml:space="preserve"> </w:t>
      </w:r>
      <w:r w:rsidRPr="00E36788">
        <w:t>infrastructure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strengthening</w:t>
      </w:r>
      <w:r w:rsidR="0013032F" w:rsidRPr="00E36788">
        <w:t xml:space="preserve"> </w:t>
      </w:r>
      <w:r w:rsidRPr="00E36788">
        <w:t>both</w:t>
      </w:r>
      <w:r w:rsidR="0013032F" w:rsidRPr="00E36788">
        <w:t xml:space="preserve"> </w:t>
      </w:r>
      <w:r w:rsidRPr="00E36788">
        <w:t>green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white</w:t>
      </w:r>
      <w:r w:rsidR="0013032F" w:rsidRPr="00E36788">
        <w:t xml:space="preserve"> </w:t>
      </w:r>
      <w:r w:rsidRPr="00E36788">
        <w:t>season</w:t>
      </w:r>
      <w:r w:rsidR="0013032F" w:rsidRPr="00E36788">
        <w:t xml:space="preserve"> </w:t>
      </w:r>
      <w:r w:rsidRPr="00E36788">
        <w:t>product</w:t>
      </w:r>
      <w:r w:rsidR="0013032F" w:rsidRPr="00E36788">
        <w:t xml:space="preserve"> </w:t>
      </w:r>
      <w:r w:rsidRPr="00E36788">
        <w:t>offers.</w:t>
      </w:r>
      <w:r w:rsidR="0013032F" w:rsidRPr="00E36788">
        <w:t xml:space="preserve"> </w:t>
      </w:r>
      <w:r w:rsidRPr="00E36788">
        <w:t>Alpine</w:t>
      </w:r>
      <w:r w:rsidR="0013032F" w:rsidRPr="00E36788">
        <w:t xml:space="preserve"> </w:t>
      </w:r>
      <w:r w:rsidRPr="00E36788">
        <w:t>resorts</w:t>
      </w:r>
      <w:r w:rsidR="0013032F" w:rsidRPr="00E36788">
        <w:t xml:space="preserve"> </w:t>
      </w:r>
      <w:r w:rsidRPr="00E36788">
        <w:t>were</w:t>
      </w:r>
      <w:r w:rsidR="0013032F" w:rsidRPr="00E36788">
        <w:t xml:space="preserve"> </w:t>
      </w:r>
      <w:r w:rsidRPr="00E36788">
        <w:t>a</w:t>
      </w:r>
      <w:r w:rsidR="0013032F" w:rsidRPr="00E36788">
        <w:t xml:space="preserve"> </w:t>
      </w:r>
      <w:r w:rsidRPr="00E36788">
        <w:t>significant</w:t>
      </w:r>
      <w:r w:rsidR="0013032F" w:rsidRPr="00E36788">
        <w:t xml:space="preserve"> </w:t>
      </w:r>
      <w:r w:rsidRPr="00E36788">
        <w:t>contributor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regional</w:t>
      </w:r>
      <w:r w:rsidR="0013032F" w:rsidRPr="00E36788">
        <w:t xml:space="preserve"> </w:t>
      </w:r>
      <w:r w:rsidRPr="00E36788">
        <w:t>economies</w:t>
      </w:r>
      <w:r w:rsidR="0013032F" w:rsidRPr="00E36788">
        <w:t xml:space="preserve"> </w:t>
      </w:r>
      <w:r w:rsidRPr="00E36788">
        <w:t>with</w:t>
      </w:r>
      <w:r w:rsidR="0013032F" w:rsidRPr="00E36788">
        <w:t xml:space="preserve"> </w:t>
      </w:r>
      <w:r w:rsidRPr="00E36788">
        <w:t>a</w:t>
      </w:r>
      <w:r w:rsidR="0013032F" w:rsidRPr="00E36788">
        <w:t xml:space="preserve"> </w:t>
      </w:r>
      <w:r w:rsidRPr="00E36788">
        <w:t>combined</w:t>
      </w:r>
      <w:r w:rsidR="0013032F" w:rsidRPr="00E36788">
        <w:t xml:space="preserve"> </w:t>
      </w:r>
      <w:r w:rsidRPr="00E36788">
        <w:t>contribution</w:t>
      </w:r>
      <w:r w:rsidR="0013032F" w:rsidRPr="00E36788">
        <w:t xml:space="preserve"> </w:t>
      </w:r>
      <w:r w:rsidRPr="00E36788">
        <w:t>of</w:t>
      </w:r>
      <w:r w:rsidR="0013032F" w:rsidRPr="00E36788">
        <w:t xml:space="preserve"> </w:t>
      </w:r>
      <w:r w:rsidRPr="00E36788">
        <w:t>over</w:t>
      </w:r>
      <w:r w:rsidR="0013032F" w:rsidRPr="00E36788">
        <w:t xml:space="preserve"> </w:t>
      </w:r>
      <w:r w:rsidRPr="00E36788">
        <w:t>$1.1</w:t>
      </w:r>
      <w:r w:rsidR="0013032F" w:rsidRPr="00E36788">
        <w:t xml:space="preserve"> </w:t>
      </w:r>
      <w:r w:rsidRPr="00E36788">
        <w:t>billion,</w:t>
      </w:r>
      <w:r w:rsidR="0013032F" w:rsidRPr="00E36788">
        <w:t xml:space="preserve"> </w:t>
      </w:r>
      <w:r w:rsidRPr="00E36788">
        <w:t>attracting</w:t>
      </w:r>
      <w:r w:rsidR="0013032F" w:rsidRPr="00E36788">
        <w:t xml:space="preserve"> </w:t>
      </w:r>
      <w:r w:rsidRPr="00E36788">
        <w:t>one</w:t>
      </w:r>
      <w:r w:rsidR="0013032F" w:rsidRPr="00E36788">
        <w:t xml:space="preserve"> </w:t>
      </w:r>
      <w:r w:rsidRPr="00E36788">
        <w:t>million</w:t>
      </w:r>
      <w:r w:rsidR="0013032F" w:rsidRPr="00E36788">
        <w:t xml:space="preserve"> </w:t>
      </w:r>
      <w:r w:rsidRPr="00E36788">
        <w:t>visitors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sustaining</w:t>
      </w:r>
      <w:r w:rsidR="0013032F" w:rsidRPr="00E36788">
        <w:t xml:space="preserve"> </w:t>
      </w:r>
      <w:r w:rsidRPr="00E36788">
        <w:t>nearly</w:t>
      </w:r>
      <w:r w:rsidR="0013032F" w:rsidRPr="00E36788">
        <w:t xml:space="preserve"> </w:t>
      </w:r>
      <w:r w:rsidRPr="00E36788">
        <w:t>10,000</w:t>
      </w:r>
      <w:r w:rsidR="0013032F" w:rsidRPr="00E36788">
        <w:t xml:space="preserve"> </w:t>
      </w:r>
      <w:r w:rsidRPr="00E36788">
        <w:t>jobs.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investments</w:t>
      </w:r>
      <w:r w:rsidR="0013032F" w:rsidRPr="00E36788">
        <w:t xml:space="preserve"> </w:t>
      </w:r>
      <w:r w:rsidRPr="00E36788">
        <w:t>will</w:t>
      </w:r>
      <w:r w:rsidR="0013032F" w:rsidRPr="00E36788">
        <w:t xml:space="preserve"> </w:t>
      </w:r>
      <w:r w:rsidRPr="00E36788">
        <w:t>help</w:t>
      </w:r>
      <w:r w:rsidR="0013032F" w:rsidRPr="00E36788">
        <w:t xml:space="preserve"> </w:t>
      </w:r>
      <w:r w:rsidRPr="00E36788">
        <w:t>diversify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predominantly</w:t>
      </w:r>
      <w:r w:rsidR="0013032F" w:rsidRPr="00E36788">
        <w:t xml:space="preserve"> </w:t>
      </w:r>
      <w:r w:rsidRPr="00E36788">
        <w:t>winter</w:t>
      </w:r>
      <w:r w:rsidR="0013032F" w:rsidRPr="00E36788">
        <w:t xml:space="preserve"> </w:t>
      </w:r>
      <w:r w:rsidRPr="00E36788">
        <w:t>market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year-round</w:t>
      </w:r>
      <w:r w:rsidR="0013032F" w:rsidRPr="00E36788">
        <w:t xml:space="preserve"> </w:t>
      </w:r>
      <w:r w:rsidRPr="00E36788">
        <w:t>visitation</w:t>
      </w:r>
      <w:r w:rsidR="0013032F" w:rsidRPr="00E36788">
        <w:t xml:space="preserve"> </w:t>
      </w:r>
      <w:r w:rsidRPr="00E36788">
        <w:t>which</w:t>
      </w:r>
      <w:r w:rsidR="0013032F" w:rsidRPr="00E36788">
        <w:t xml:space="preserve"> </w:t>
      </w:r>
      <w:r w:rsidRPr="00E36788">
        <w:t>will</w:t>
      </w:r>
      <w:r w:rsidR="0013032F" w:rsidRPr="00E36788">
        <w:t xml:space="preserve"> </w:t>
      </w:r>
      <w:r w:rsidRPr="00E36788">
        <w:t>increase</w:t>
      </w:r>
      <w:r w:rsidR="0013032F" w:rsidRPr="00E36788">
        <w:t xml:space="preserve"> </w:t>
      </w:r>
      <w:r w:rsidRPr="00E36788">
        <w:t>yield,</w:t>
      </w:r>
      <w:r w:rsidR="0013032F" w:rsidRPr="00E36788">
        <w:t xml:space="preserve"> </w:t>
      </w:r>
      <w:r w:rsidRPr="00E36788">
        <w:t>regional</w:t>
      </w:r>
      <w:r w:rsidR="0013032F" w:rsidRPr="00E36788">
        <w:t xml:space="preserve"> </w:t>
      </w:r>
      <w:r w:rsidRPr="00E36788">
        <w:t>employment,</w:t>
      </w:r>
      <w:r w:rsidR="0013032F" w:rsidRPr="00E36788">
        <w:t xml:space="preserve"> </w:t>
      </w:r>
      <w:r w:rsidRPr="00E36788">
        <w:t>private</w:t>
      </w:r>
      <w:r w:rsidR="0013032F" w:rsidRPr="00E36788">
        <w:t xml:space="preserve"> </w:t>
      </w:r>
      <w:r w:rsidRPr="00E36788">
        <w:t>sector</w:t>
      </w:r>
      <w:r w:rsidR="0013032F" w:rsidRPr="00E36788">
        <w:t xml:space="preserve"> </w:t>
      </w:r>
      <w:r w:rsidRPr="00E36788">
        <w:t>investment,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greater</w:t>
      </w:r>
      <w:r w:rsidR="0013032F" w:rsidRPr="00E36788">
        <w:t xml:space="preserve"> </w:t>
      </w:r>
      <w:r w:rsidRPr="00E36788">
        <w:t>community</w:t>
      </w:r>
      <w:r w:rsidR="0013032F" w:rsidRPr="00E36788">
        <w:t xml:space="preserve"> </w:t>
      </w:r>
      <w:r w:rsidRPr="00E36788">
        <w:t>engagement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cohesion.</w:t>
      </w:r>
    </w:p>
    <w:p w14:paraId="520E9536" w14:textId="0AA3FCCC" w:rsidR="00757772" w:rsidRDefault="00305D3C" w:rsidP="00E36788">
      <w:pPr>
        <w:pStyle w:val="Heading2"/>
      </w:pPr>
      <w:bookmarkStart w:id="52" w:name="_Toc149566598"/>
      <w:r>
        <w:lastRenderedPageBreak/>
        <w:t>Key</w:t>
      </w:r>
      <w:r w:rsidR="0013032F">
        <w:t xml:space="preserve"> </w:t>
      </w:r>
      <w:r>
        <w:t>outcomes</w:t>
      </w:r>
      <w:bookmarkEnd w:id="52"/>
    </w:p>
    <w:p w14:paraId="147F1EBF" w14:textId="10E3E9FD" w:rsidR="00757772" w:rsidRPr="00E36788" w:rsidRDefault="00305D3C" w:rsidP="00E36788">
      <w:pPr>
        <w:pStyle w:val="Normalbeforebullets"/>
        <w:rPr>
          <w:b/>
          <w:bCs/>
        </w:rPr>
      </w:pPr>
      <w:r w:rsidRPr="00E36788">
        <w:rPr>
          <w:b/>
          <w:bCs/>
        </w:rPr>
        <w:t>Mt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Buller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Electricity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Upgrade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project</w:t>
      </w:r>
    </w:p>
    <w:p w14:paraId="6BCB4EF7" w14:textId="369FE981" w:rsidR="00757772" w:rsidRPr="00E36788" w:rsidRDefault="00305D3C" w:rsidP="00E36788">
      <w:r w:rsidRPr="00E36788">
        <w:t>Supported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final</w:t>
      </w:r>
      <w:r w:rsidR="0013032F" w:rsidRPr="00E36788">
        <w:t xml:space="preserve"> </w:t>
      </w:r>
      <w:r w:rsidRPr="00E36788">
        <w:t>stages</w:t>
      </w:r>
      <w:r w:rsidR="0013032F" w:rsidRPr="00E36788">
        <w:t xml:space="preserve"> </w:t>
      </w:r>
      <w:r w:rsidRPr="00E36788">
        <w:t>of</w:t>
      </w:r>
      <w:r w:rsidR="0013032F" w:rsidRPr="00E36788">
        <w:t xml:space="preserve"> </w:t>
      </w:r>
      <w:r w:rsidRPr="00E36788">
        <w:t>delivery</w:t>
      </w:r>
      <w:r w:rsidR="0013032F" w:rsidRPr="00E36788">
        <w:t xml:space="preserve"> </w:t>
      </w:r>
      <w:r w:rsidRPr="00E36788">
        <w:t>of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$3.8</w:t>
      </w:r>
      <w:r w:rsidR="0013032F" w:rsidRPr="00E36788">
        <w:t xml:space="preserve"> </w:t>
      </w:r>
      <w:r w:rsidRPr="00E36788">
        <w:t>million</w:t>
      </w:r>
      <w:r w:rsidR="0013032F" w:rsidRPr="00E36788">
        <w:t xml:space="preserve"> </w:t>
      </w:r>
      <w:r w:rsidRPr="00E36788">
        <w:t>Mt</w:t>
      </w:r>
      <w:r w:rsidR="0013032F" w:rsidRPr="00E36788">
        <w:t xml:space="preserve"> </w:t>
      </w:r>
      <w:r w:rsidRPr="00E36788">
        <w:t>Buller</w:t>
      </w:r>
      <w:r w:rsidR="0013032F" w:rsidRPr="00E36788">
        <w:t xml:space="preserve"> </w:t>
      </w:r>
      <w:r w:rsidRPr="00E36788">
        <w:t>Electricity</w:t>
      </w:r>
      <w:r w:rsidR="0013032F" w:rsidRPr="00E36788">
        <w:t xml:space="preserve"> </w:t>
      </w:r>
      <w:r w:rsidRPr="00E36788">
        <w:t>Upgrade</w:t>
      </w:r>
      <w:r w:rsidR="0013032F" w:rsidRPr="00E36788">
        <w:t xml:space="preserve"> </w:t>
      </w:r>
      <w:r w:rsidRPr="00E36788">
        <w:t>project.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project</w:t>
      </w:r>
      <w:r w:rsidR="0013032F" w:rsidRPr="00E36788">
        <w:t xml:space="preserve"> </w:t>
      </w:r>
      <w:r w:rsidRPr="00E36788">
        <w:t>received</w:t>
      </w:r>
      <w:r w:rsidR="0013032F" w:rsidRPr="00E36788">
        <w:t xml:space="preserve"> </w:t>
      </w:r>
      <w:r w:rsidRPr="00E36788">
        <w:t>$3.6</w:t>
      </w:r>
      <w:r w:rsidR="0013032F" w:rsidRPr="00E36788">
        <w:t xml:space="preserve"> </w:t>
      </w:r>
      <w:r w:rsidRPr="00E36788">
        <w:t>million</w:t>
      </w:r>
      <w:r w:rsidR="0013032F" w:rsidRPr="00E36788">
        <w:t xml:space="preserve"> </w:t>
      </w:r>
      <w:r w:rsidRPr="00E36788">
        <w:t>funding</w:t>
      </w:r>
      <w:r w:rsidR="0013032F" w:rsidRPr="00E36788">
        <w:t xml:space="preserve"> </w:t>
      </w:r>
      <w:r w:rsidRPr="00E36788">
        <w:t>from</w:t>
      </w:r>
      <w:r w:rsidR="0013032F" w:rsidRPr="00E36788">
        <w:t xml:space="preserve"> </w:t>
      </w:r>
      <w:r w:rsidRPr="00E36788">
        <w:t>RDV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delivered</w:t>
      </w:r>
      <w:r w:rsidR="0013032F" w:rsidRPr="00E36788">
        <w:t xml:space="preserve"> </w:t>
      </w:r>
      <w:r w:rsidRPr="00E36788">
        <w:t>vital</w:t>
      </w:r>
      <w:r w:rsidR="0013032F" w:rsidRPr="00E36788">
        <w:t xml:space="preserve"> </w:t>
      </w:r>
      <w:r w:rsidRPr="00E36788">
        <w:t>additional</w:t>
      </w:r>
      <w:r w:rsidR="0013032F" w:rsidRPr="00E36788">
        <w:t xml:space="preserve"> </w:t>
      </w:r>
      <w:r w:rsidRPr="00E36788">
        <w:t>electricity</w:t>
      </w:r>
      <w:r w:rsidR="0013032F" w:rsidRPr="00E36788">
        <w:t xml:space="preserve"> </w:t>
      </w:r>
      <w:r w:rsidRPr="00E36788">
        <w:t>capacity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Mt</w:t>
      </w:r>
      <w:r w:rsidR="0013032F" w:rsidRPr="00E36788">
        <w:t xml:space="preserve"> </w:t>
      </w:r>
      <w:r w:rsidRPr="00E36788">
        <w:t>Buller,</w:t>
      </w:r>
      <w:r w:rsidR="0013032F" w:rsidRPr="00E36788">
        <w:t xml:space="preserve"> </w:t>
      </w:r>
      <w:r w:rsidRPr="00E36788">
        <w:t>enabling</w:t>
      </w:r>
      <w:r w:rsidR="0013032F" w:rsidRPr="00E36788">
        <w:t xml:space="preserve"> </w:t>
      </w:r>
      <w:r w:rsidRPr="00E36788">
        <w:t>consistent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continued</w:t>
      </w:r>
      <w:r w:rsidR="0013032F" w:rsidRPr="00E36788">
        <w:t xml:space="preserve"> </w:t>
      </w:r>
      <w:r w:rsidRPr="00E36788">
        <w:t>operation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expansion</w:t>
      </w:r>
      <w:r w:rsidR="0013032F" w:rsidRPr="00E36788">
        <w:t xml:space="preserve"> </w:t>
      </w:r>
      <w:r w:rsidRPr="00E36788">
        <w:t>of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snowmaking</w:t>
      </w:r>
      <w:r w:rsidR="0013032F" w:rsidRPr="00E36788">
        <w:t xml:space="preserve"> </w:t>
      </w:r>
      <w:r w:rsidRPr="00E36788">
        <w:t>system,</w:t>
      </w:r>
      <w:r w:rsidR="0013032F" w:rsidRPr="00E36788">
        <w:t xml:space="preserve"> </w:t>
      </w:r>
      <w:r w:rsidRPr="00E36788">
        <w:t>accommodation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visitor</w:t>
      </w:r>
      <w:r w:rsidR="0013032F" w:rsidRPr="00E36788">
        <w:t xml:space="preserve"> </w:t>
      </w:r>
      <w:r w:rsidRPr="00E36788">
        <w:t>attractions.</w:t>
      </w:r>
      <w:r w:rsidR="0013032F" w:rsidRPr="00E36788">
        <w:t xml:space="preserve"> </w:t>
      </w:r>
      <w:r w:rsidRPr="00E36788">
        <w:t>Thanks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a</w:t>
      </w:r>
      <w:r w:rsidR="0013032F" w:rsidRPr="00E36788">
        <w:t xml:space="preserve"> </w:t>
      </w:r>
      <w:r w:rsidRPr="00E36788">
        <w:t>new</w:t>
      </w:r>
      <w:r w:rsidR="0013032F" w:rsidRPr="00E36788">
        <w:t xml:space="preserve"> </w:t>
      </w:r>
      <w:r w:rsidRPr="00E36788">
        <w:t>‘snow</w:t>
      </w:r>
      <w:r w:rsidR="0013032F" w:rsidRPr="00E36788">
        <w:t xml:space="preserve"> </w:t>
      </w:r>
      <w:r w:rsidRPr="00E36788">
        <w:t>guarantee’</w:t>
      </w:r>
      <w:r w:rsidR="0013032F" w:rsidRPr="00E36788">
        <w:t xml:space="preserve"> </w:t>
      </w:r>
      <w:r w:rsidRPr="00E36788">
        <w:t>supported</w:t>
      </w:r>
      <w:r w:rsidR="0013032F" w:rsidRPr="00E36788">
        <w:t xml:space="preserve"> </w:t>
      </w:r>
      <w:r w:rsidRPr="00E36788">
        <w:t>by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snow-making</w:t>
      </w:r>
      <w:r w:rsidR="0013032F" w:rsidRPr="00E36788">
        <w:t xml:space="preserve"> </w:t>
      </w:r>
      <w:r w:rsidRPr="00E36788">
        <w:t>system,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2022</w:t>
      </w:r>
      <w:r w:rsidR="0013032F" w:rsidRPr="00E36788">
        <w:t xml:space="preserve"> </w:t>
      </w:r>
      <w:r w:rsidRPr="00E36788">
        <w:t>season</w:t>
      </w:r>
      <w:r w:rsidR="0013032F" w:rsidRPr="00E36788">
        <w:t xml:space="preserve"> </w:t>
      </w:r>
      <w:r w:rsidRPr="00E36788">
        <w:t>was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busiest</w:t>
      </w:r>
      <w:r w:rsidR="0013032F" w:rsidRPr="00E36788">
        <w:t xml:space="preserve"> </w:t>
      </w:r>
      <w:r w:rsidRPr="00E36788">
        <w:t>in</w:t>
      </w:r>
      <w:r w:rsidR="0013032F" w:rsidRPr="00E36788">
        <w:t xml:space="preserve"> </w:t>
      </w:r>
      <w:r w:rsidRPr="00E36788">
        <w:t>resort</w:t>
      </w:r>
      <w:r w:rsidR="0013032F" w:rsidRPr="00E36788">
        <w:t xml:space="preserve"> </w:t>
      </w:r>
      <w:r w:rsidRPr="00E36788">
        <w:t>history.</w:t>
      </w:r>
      <w:r w:rsidR="0013032F" w:rsidRPr="00E36788">
        <w:t xml:space="preserve"> </w:t>
      </w:r>
    </w:p>
    <w:p w14:paraId="71A141CE" w14:textId="1B15CB01" w:rsidR="00757772" w:rsidRPr="00E36788" w:rsidRDefault="00305D3C" w:rsidP="00E36788">
      <w:pPr>
        <w:pStyle w:val="Normalbeforebullets"/>
        <w:rPr>
          <w:b/>
          <w:bCs/>
        </w:rPr>
      </w:pPr>
      <w:r w:rsidRPr="00E36788">
        <w:rPr>
          <w:b/>
          <w:bCs/>
        </w:rPr>
        <w:t>Food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and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fibre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industry</w:t>
      </w:r>
    </w:p>
    <w:p w14:paraId="52666137" w14:textId="56EE377C" w:rsidR="00757772" w:rsidRPr="00E36788" w:rsidRDefault="00305D3C" w:rsidP="00E36788">
      <w:r w:rsidRPr="00E36788">
        <w:t>Continued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support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ongoing</w:t>
      </w:r>
      <w:r w:rsidR="0013032F" w:rsidRPr="00E36788">
        <w:t xml:space="preserve"> </w:t>
      </w:r>
      <w:r w:rsidRPr="00E36788">
        <w:t>growth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development</w:t>
      </w:r>
      <w:r w:rsidR="0013032F" w:rsidRPr="00E36788">
        <w:t xml:space="preserve"> </w:t>
      </w:r>
      <w:r w:rsidRPr="00E36788">
        <w:t>of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region’s</w:t>
      </w:r>
      <w:r w:rsidR="0013032F" w:rsidRPr="00E36788">
        <w:t xml:space="preserve"> </w:t>
      </w:r>
      <w:r w:rsidRPr="00E36788">
        <w:t>food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fibre</w:t>
      </w:r>
      <w:r w:rsidR="0013032F" w:rsidRPr="00E36788">
        <w:t xml:space="preserve"> </w:t>
      </w:r>
      <w:r w:rsidRPr="00E36788">
        <w:t>industry</w:t>
      </w:r>
      <w:r w:rsidR="0013032F" w:rsidRPr="00E36788">
        <w:t xml:space="preserve"> </w:t>
      </w:r>
      <w:r w:rsidRPr="00E36788">
        <w:t>through</w:t>
      </w:r>
      <w:r w:rsidR="0013032F" w:rsidRPr="00E36788">
        <w:t xml:space="preserve"> </w:t>
      </w:r>
      <w:r w:rsidRPr="00E36788">
        <w:t>key</w:t>
      </w:r>
      <w:r w:rsidR="0013032F" w:rsidRPr="00E36788">
        <w:t xml:space="preserve"> </w:t>
      </w:r>
      <w:r w:rsidRPr="00E36788">
        <w:t>Regional</w:t>
      </w:r>
      <w:r w:rsidR="0013032F" w:rsidRPr="00E36788">
        <w:t xml:space="preserve"> </w:t>
      </w:r>
      <w:r w:rsidRPr="00E36788">
        <w:t>Jobs</w:t>
      </w:r>
      <w:r w:rsidR="0013032F" w:rsidRPr="00E36788">
        <w:t xml:space="preserve"> </w:t>
      </w:r>
      <w:r w:rsidRPr="00E36788">
        <w:t>Fund</w:t>
      </w:r>
      <w:r w:rsidR="0013032F" w:rsidRPr="00E36788">
        <w:t xml:space="preserve"> </w:t>
      </w:r>
      <w:r w:rsidRPr="00E36788">
        <w:t>projects</w:t>
      </w:r>
      <w:r w:rsidR="0013032F" w:rsidRPr="00E36788">
        <w:t xml:space="preserve"> </w:t>
      </w:r>
      <w:r w:rsidRPr="00E36788">
        <w:t>including</w:t>
      </w:r>
      <w:r w:rsidR="0013032F" w:rsidRPr="00E36788">
        <w:t xml:space="preserve"> </w:t>
      </w:r>
      <w:r w:rsidRPr="00E36788">
        <w:t>glasshouse</w:t>
      </w:r>
      <w:r w:rsidR="0013032F" w:rsidRPr="00E36788">
        <w:t xml:space="preserve"> </w:t>
      </w:r>
      <w:r w:rsidRPr="00E36788">
        <w:t>developments</w:t>
      </w:r>
      <w:r w:rsidR="0013032F" w:rsidRPr="00E36788">
        <w:t xml:space="preserve"> </w:t>
      </w:r>
      <w:r w:rsidRPr="00E36788">
        <w:t>with</w:t>
      </w:r>
      <w:r w:rsidR="0013032F" w:rsidRPr="00E36788">
        <w:t xml:space="preserve"> </w:t>
      </w:r>
      <w:proofErr w:type="spellStart"/>
      <w:r w:rsidRPr="00E36788">
        <w:t>Cannatrek</w:t>
      </w:r>
      <w:proofErr w:type="spellEnd"/>
      <w:r w:rsidRPr="00E36788">
        <w:t>,</w:t>
      </w:r>
      <w:r w:rsidR="0013032F" w:rsidRPr="00E36788">
        <w:t xml:space="preserve"> </w:t>
      </w:r>
      <w:proofErr w:type="spellStart"/>
      <w:r w:rsidRPr="00E36788">
        <w:t>Flavorite</w:t>
      </w:r>
      <w:proofErr w:type="spellEnd"/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Katunga</w:t>
      </w:r>
      <w:r w:rsidR="0013032F" w:rsidRPr="00E36788">
        <w:t xml:space="preserve"> </w:t>
      </w:r>
      <w:r w:rsidRPr="00E36788">
        <w:t>Fresh.</w:t>
      </w:r>
      <w:r w:rsidR="0013032F" w:rsidRPr="00E36788">
        <w:t xml:space="preserve"> </w:t>
      </w:r>
      <w:r w:rsidRPr="00E36788">
        <w:t>Nestle’s</w:t>
      </w:r>
      <w:r w:rsidR="0013032F" w:rsidRPr="00E36788">
        <w:t xml:space="preserve"> </w:t>
      </w:r>
      <w:r w:rsidRPr="00E36788">
        <w:t>confectionery</w:t>
      </w:r>
      <w:r w:rsidR="0013032F" w:rsidRPr="00E36788">
        <w:t xml:space="preserve"> </w:t>
      </w:r>
      <w:r w:rsidRPr="00E36788">
        <w:t>operations</w:t>
      </w:r>
      <w:r w:rsidR="0013032F" w:rsidRPr="00E36788">
        <w:t xml:space="preserve"> </w:t>
      </w:r>
      <w:r w:rsidRPr="00E36788">
        <w:t>in</w:t>
      </w:r>
      <w:r w:rsidR="0013032F" w:rsidRPr="00E36788">
        <w:t xml:space="preserve"> </w:t>
      </w:r>
      <w:r w:rsidRPr="00E36788">
        <w:t>Broadford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Unilever’s</w:t>
      </w:r>
      <w:r w:rsidR="0013032F" w:rsidRPr="00E36788">
        <w:t xml:space="preserve"> </w:t>
      </w:r>
      <w:r w:rsidRPr="00E36788">
        <w:t>mayonnaise</w:t>
      </w:r>
      <w:r w:rsidR="0013032F" w:rsidRPr="00E36788">
        <w:t xml:space="preserve"> </w:t>
      </w:r>
      <w:r w:rsidRPr="00E36788">
        <w:t>operation</w:t>
      </w:r>
      <w:r w:rsidR="0013032F" w:rsidRPr="00E36788">
        <w:t xml:space="preserve"> </w:t>
      </w:r>
      <w:r w:rsidRPr="00E36788">
        <w:t>in</w:t>
      </w:r>
      <w:r w:rsidR="0013032F" w:rsidRPr="00E36788">
        <w:t xml:space="preserve"> </w:t>
      </w:r>
      <w:r w:rsidRPr="00E36788">
        <w:t>Tatura</w:t>
      </w:r>
      <w:r w:rsidR="0013032F" w:rsidRPr="00E36788">
        <w:t xml:space="preserve"> </w:t>
      </w:r>
      <w:r w:rsidRPr="00E36788">
        <w:t>were</w:t>
      </w:r>
      <w:r w:rsidR="0013032F" w:rsidRPr="00E36788">
        <w:t xml:space="preserve"> </w:t>
      </w:r>
      <w:r w:rsidRPr="00E36788">
        <w:t>expanded.</w:t>
      </w:r>
    </w:p>
    <w:p w14:paraId="3CAC4BAE" w14:textId="256120DE" w:rsidR="00757772" w:rsidRPr="00E36788" w:rsidRDefault="00305D3C" w:rsidP="00E36788">
      <w:pPr>
        <w:pStyle w:val="Normalbeforebullets"/>
        <w:rPr>
          <w:b/>
          <w:bCs/>
        </w:rPr>
      </w:pPr>
      <w:r w:rsidRPr="00E36788">
        <w:rPr>
          <w:b/>
          <w:bCs/>
        </w:rPr>
        <w:t>Connecting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the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eastern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seaboard</w:t>
      </w:r>
    </w:p>
    <w:p w14:paraId="38E01DBD" w14:textId="30F2BEE8" w:rsidR="00757772" w:rsidRPr="00E36788" w:rsidRDefault="00305D3C" w:rsidP="00E36788">
      <w:r w:rsidRPr="00E36788">
        <w:t>Supported</w:t>
      </w:r>
      <w:r w:rsidR="0013032F" w:rsidRPr="00E36788">
        <w:t xml:space="preserve"> </w:t>
      </w:r>
      <w:r w:rsidRPr="00E36788">
        <w:t>ongoing</w:t>
      </w:r>
      <w:r w:rsidR="0013032F" w:rsidRPr="00E36788">
        <w:t xml:space="preserve"> </w:t>
      </w:r>
      <w:r w:rsidRPr="00E36788">
        <w:t>work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progress</w:t>
      </w:r>
      <w:r w:rsidR="0013032F" w:rsidRPr="00E36788">
        <w:t xml:space="preserve"> </w:t>
      </w:r>
      <w:r w:rsidRPr="00E36788">
        <w:t>opportunities</w:t>
      </w:r>
      <w:r w:rsidR="0013032F" w:rsidRPr="00E36788">
        <w:t xml:space="preserve"> </w:t>
      </w:r>
      <w:r w:rsidRPr="00E36788">
        <w:t>for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region’s</w:t>
      </w:r>
      <w:r w:rsidR="0013032F" w:rsidRPr="00E36788">
        <w:t xml:space="preserve"> </w:t>
      </w:r>
      <w:r w:rsidRPr="00E36788">
        <w:t>key</w:t>
      </w:r>
      <w:r w:rsidR="0013032F" w:rsidRPr="00E36788">
        <w:t xml:space="preserve"> </w:t>
      </w:r>
      <w:r w:rsidRPr="00E36788">
        <w:t>industrial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logistics</w:t>
      </w:r>
      <w:r w:rsidR="0013032F" w:rsidRPr="00E36788">
        <w:t xml:space="preserve"> </w:t>
      </w:r>
      <w:r w:rsidRPr="00E36788">
        <w:t>precincts.</w:t>
      </w:r>
      <w:r w:rsidR="0013032F" w:rsidRPr="00E36788">
        <w:t xml:space="preserve"> </w:t>
      </w:r>
      <w:r w:rsidRPr="00E36788">
        <w:t>Hume</w:t>
      </w:r>
      <w:r w:rsidR="0013032F" w:rsidRPr="00E36788">
        <w:t xml:space="preserve"> </w:t>
      </w:r>
      <w:r w:rsidRPr="00E36788">
        <w:t>region’s</w:t>
      </w:r>
      <w:r w:rsidR="0013032F" w:rsidRPr="00E36788">
        <w:t xml:space="preserve"> </w:t>
      </w:r>
      <w:r w:rsidRPr="00E36788">
        <w:t>critical</w:t>
      </w:r>
      <w:r w:rsidR="0013032F" w:rsidRPr="00E36788">
        <w:t xml:space="preserve"> </w:t>
      </w:r>
      <w:r w:rsidRPr="00E36788">
        <w:t>location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connectivity</w:t>
      </w:r>
      <w:r w:rsidR="0013032F" w:rsidRPr="00E36788">
        <w:t xml:space="preserve"> </w:t>
      </w:r>
      <w:r w:rsidRPr="00E36788">
        <w:t>on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eastern</w:t>
      </w:r>
      <w:r w:rsidR="0013032F" w:rsidRPr="00E36788">
        <w:t xml:space="preserve"> </w:t>
      </w:r>
      <w:r w:rsidRPr="00E36788">
        <w:t>seaboard</w:t>
      </w:r>
      <w:r w:rsidR="0013032F" w:rsidRPr="00E36788">
        <w:t xml:space="preserve"> </w:t>
      </w:r>
      <w:r w:rsidRPr="00E36788">
        <w:t>saw</w:t>
      </w:r>
      <w:r w:rsidR="0013032F" w:rsidRPr="00E36788">
        <w:t xml:space="preserve"> </w:t>
      </w:r>
      <w:r w:rsidRPr="00E36788">
        <w:t>renewed</w:t>
      </w:r>
      <w:r w:rsidR="0013032F" w:rsidRPr="00E36788">
        <w:t xml:space="preserve"> </w:t>
      </w:r>
      <w:r w:rsidRPr="00E36788">
        <w:t>opportunities</w:t>
      </w:r>
      <w:r w:rsidR="0013032F" w:rsidRPr="00E36788">
        <w:t xml:space="preserve"> </w:t>
      </w:r>
      <w:r w:rsidRPr="00E36788">
        <w:t>for</w:t>
      </w:r>
      <w:r w:rsidR="0013032F" w:rsidRPr="00E36788">
        <w:t xml:space="preserve"> </w:t>
      </w:r>
      <w:r w:rsidRPr="00E36788">
        <w:t>stakeholders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progress</w:t>
      </w:r>
      <w:r w:rsidR="0013032F" w:rsidRPr="00E36788">
        <w:t xml:space="preserve"> </w:t>
      </w:r>
      <w:r w:rsidRPr="00E36788">
        <w:t>their</w:t>
      </w:r>
      <w:r w:rsidR="0013032F" w:rsidRPr="00E36788">
        <w:t xml:space="preserve"> </w:t>
      </w:r>
      <w:r w:rsidRPr="00E36788">
        <w:t>development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investment</w:t>
      </w:r>
      <w:r w:rsidR="0013032F" w:rsidRPr="00E36788">
        <w:t xml:space="preserve"> </w:t>
      </w:r>
      <w:r w:rsidRPr="00E36788">
        <w:t>priorities,</w:t>
      </w:r>
      <w:r w:rsidR="0013032F" w:rsidRPr="00E36788">
        <w:t xml:space="preserve"> </w:t>
      </w:r>
      <w:r w:rsidRPr="00E36788">
        <w:t>including</w:t>
      </w:r>
      <w:r w:rsidR="0013032F" w:rsidRPr="00E36788">
        <w:t xml:space="preserve"> </w:t>
      </w:r>
      <w:r w:rsidRPr="00E36788">
        <w:t>Logic</w:t>
      </w:r>
      <w:r w:rsidR="0013032F" w:rsidRPr="00E36788">
        <w:t xml:space="preserve"> </w:t>
      </w:r>
      <w:r w:rsidRPr="00E36788">
        <w:t>Wodonga,</w:t>
      </w:r>
      <w:r w:rsidR="0013032F" w:rsidRPr="00E36788">
        <w:t xml:space="preserve"> </w:t>
      </w:r>
      <w:r w:rsidRPr="00E36788">
        <w:t>GV</w:t>
      </w:r>
      <w:r w:rsidR="0013032F" w:rsidRPr="00E36788">
        <w:t xml:space="preserve"> </w:t>
      </w:r>
      <w:r w:rsidRPr="00E36788">
        <w:t>Link</w:t>
      </w:r>
      <w:r w:rsidR="0013032F" w:rsidRPr="00E36788">
        <w:t xml:space="preserve"> </w:t>
      </w:r>
      <w:r w:rsidRPr="00E36788">
        <w:t>Shepparton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proofErr w:type="spellStart"/>
      <w:r w:rsidRPr="00E36788">
        <w:t>Hildene</w:t>
      </w:r>
      <w:proofErr w:type="spellEnd"/>
      <w:r w:rsidR="0013032F" w:rsidRPr="00E36788">
        <w:t xml:space="preserve"> </w:t>
      </w:r>
      <w:r w:rsidRPr="00E36788">
        <w:t>at</w:t>
      </w:r>
      <w:r w:rsidR="0013032F" w:rsidRPr="00E36788">
        <w:t xml:space="preserve"> </w:t>
      </w:r>
      <w:r w:rsidRPr="00E36788">
        <w:t>Seymour.</w:t>
      </w:r>
    </w:p>
    <w:p w14:paraId="08E1B919" w14:textId="343090FB" w:rsidR="00757772" w:rsidRPr="00E36788" w:rsidRDefault="00305D3C" w:rsidP="00E36788">
      <w:pPr>
        <w:pStyle w:val="Normalbeforebullets"/>
        <w:rPr>
          <w:b/>
          <w:bCs/>
        </w:rPr>
      </w:pPr>
      <w:r w:rsidRPr="00E36788">
        <w:rPr>
          <w:b/>
          <w:bCs/>
        </w:rPr>
        <w:t>Working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with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stakeholders</w:t>
      </w:r>
    </w:p>
    <w:p w14:paraId="5686BAF7" w14:textId="2EACC85B" w:rsidR="00757772" w:rsidRPr="00E36788" w:rsidRDefault="00305D3C" w:rsidP="00E36788">
      <w:r w:rsidRPr="00E36788">
        <w:t>Continued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work</w:t>
      </w:r>
      <w:r w:rsidR="0013032F" w:rsidRPr="00E36788">
        <w:t xml:space="preserve"> </w:t>
      </w:r>
      <w:r w:rsidRPr="00E36788">
        <w:t>with</w:t>
      </w:r>
      <w:r w:rsidR="0013032F" w:rsidRPr="00E36788">
        <w:t xml:space="preserve"> </w:t>
      </w:r>
      <w:r w:rsidRPr="00E36788">
        <w:t>key</w:t>
      </w:r>
      <w:r w:rsidR="0013032F" w:rsidRPr="00E36788">
        <w:t xml:space="preserve"> </w:t>
      </w:r>
      <w:r w:rsidRPr="00E36788">
        <w:t>proponents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identify</w:t>
      </w:r>
      <w:r w:rsidR="0013032F" w:rsidRPr="00E36788">
        <w:t xml:space="preserve"> </w:t>
      </w:r>
      <w:r w:rsidRPr="00E36788">
        <w:t>barriers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investment,</w:t>
      </w:r>
      <w:r w:rsidR="0013032F" w:rsidRPr="00E36788">
        <w:t xml:space="preserve"> </w:t>
      </w:r>
      <w:r w:rsidRPr="00E36788">
        <w:t>work</w:t>
      </w:r>
      <w:r w:rsidR="0013032F" w:rsidRPr="00E36788">
        <w:t xml:space="preserve"> </w:t>
      </w:r>
      <w:r w:rsidRPr="00E36788">
        <w:t>through</w:t>
      </w:r>
      <w:r w:rsidR="0013032F" w:rsidRPr="00E36788">
        <w:t xml:space="preserve"> </w:t>
      </w:r>
      <w:r w:rsidRPr="00E36788">
        <w:t>planning</w:t>
      </w:r>
      <w:r w:rsidR="0013032F" w:rsidRPr="00E36788">
        <w:t xml:space="preserve"> </w:t>
      </w:r>
      <w:r w:rsidRPr="00E36788">
        <w:t>requirements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regulatory</w:t>
      </w:r>
      <w:r w:rsidR="0013032F" w:rsidRPr="00E36788">
        <w:t xml:space="preserve"> </w:t>
      </w:r>
      <w:r w:rsidRPr="00E36788">
        <w:t>challenges,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advocate</w:t>
      </w:r>
      <w:r w:rsidR="0013032F" w:rsidRPr="00E36788">
        <w:t xml:space="preserve"> </w:t>
      </w:r>
      <w:r w:rsidRPr="00E36788">
        <w:t>for</w:t>
      </w:r>
      <w:r w:rsidR="0013032F" w:rsidRPr="00E36788">
        <w:t xml:space="preserve"> </w:t>
      </w:r>
      <w:r w:rsidRPr="00E36788">
        <w:t>funding</w:t>
      </w:r>
      <w:r w:rsidR="0013032F" w:rsidRPr="00E36788">
        <w:t xml:space="preserve"> </w:t>
      </w:r>
      <w:r w:rsidRPr="00E36788">
        <w:t>support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develop</w:t>
      </w:r>
      <w:r w:rsidR="0013032F" w:rsidRPr="00E36788">
        <w:t xml:space="preserve"> </w:t>
      </w:r>
      <w:r w:rsidRPr="00E36788">
        <w:t>place-based</w:t>
      </w:r>
      <w:r w:rsidR="0013032F" w:rsidRPr="00E36788">
        <w:t xml:space="preserve"> </w:t>
      </w:r>
      <w:r w:rsidRPr="00E36788">
        <w:t>priority</w:t>
      </w:r>
      <w:r w:rsidR="0013032F" w:rsidRPr="00E36788">
        <w:t xml:space="preserve"> </w:t>
      </w:r>
      <w:r w:rsidRPr="00E36788">
        <w:t>initiatives</w:t>
      </w:r>
      <w:r w:rsidR="0013032F" w:rsidRPr="00E36788">
        <w:t xml:space="preserve"> </w:t>
      </w:r>
      <w:r w:rsidRPr="00E36788">
        <w:t>such</w:t>
      </w:r>
      <w:r w:rsidR="0013032F" w:rsidRPr="00E36788">
        <w:t xml:space="preserve"> </w:t>
      </w:r>
      <w:r w:rsidRPr="00E36788">
        <w:t>as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Lake</w:t>
      </w:r>
      <w:r w:rsidR="0013032F" w:rsidRPr="00E36788">
        <w:t xml:space="preserve"> </w:t>
      </w:r>
      <w:r w:rsidRPr="00E36788">
        <w:t>Eildon</w:t>
      </w:r>
      <w:r w:rsidR="0013032F" w:rsidRPr="00E36788">
        <w:t xml:space="preserve"> </w:t>
      </w:r>
      <w:r w:rsidRPr="00E36788">
        <w:t>Activation,</w:t>
      </w:r>
      <w:r w:rsidR="0013032F" w:rsidRPr="00E36788">
        <w:t xml:space="preserve"> </w:t>
      </w:r>
      <w:r w:rsidRPr="00E36788">
        <w:t>Seymour</w:t>
      </w:r>
      <w:r w:rsidR="0013032F" w:rsidRPr="00E36788">
        <w:t xml:space="preserve"> </w:t>
      </w:r>
      <w:r w:rsidRPr="00E36788">
        <w:t>Revitalis</w:t>
      </w:r>
      <w:r w:rsidRPr="00E36788">
        <w:t>ation</w:t>
      </w:r>
      <w:r w:rsidR="0013032F" w:rsidRPr="00E36788">
        <w:t xml:space="preserve"> </w:t>
      </w:r>
      <w:r w:rsidRPr="00E36788">
        <w:t>Initiative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Thompson’s</w:t>
      </w:r>
      <w:r w:rsidR="0013032F" w:rsidRPr="00E36788">
        <w:t xml:space="preserve"> </w:t>
      </w:r>
      <w:r w:rsidRPr="00E36788">
        <w:t>Beach</w:t>
      </w:r>
      <w:r w:rsidR="0013032F" w:rsidRPr="00E36788">
        <w:t xml:space="preserve"> </w:t>
      </w:r>
      <w:r w:rsidRPr="00E36788">
        <w:t>at</w:t>
      </w:r>
      <w:r w:rsidR="0013032F" w:rsidRPr="00E36788">
        <w:t xml:space="preserve"> </w:t>
      </w:r>
      <w:r w:rsidRPr="00E36788">
        <w:t>Cobram.</w:t>
      </w:r>
    </w:p>
    <w:p w14:paraId="09BF6921" w14:textId="29AB8060" w:rsidR="00757772" w:rsidRPr="00E36788" w:rsidRDefault="00305D3C" w:rsidP="00E36788">
      <w:pPr>
        <w:pStyle w:val="Normalbeforebullets"/>
        <w:rPr>
          <w:b/>
          <w:bCs/>
        </w:rPr>
      </w:pPr>
      <w:r w:rsidRPr="00E36788">
        <w:rPr>
          <w:b/>
          <w:bCs/>
        </w:rPr>
        <w:t>Goulburn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Murray</w:t>
      </w:r>
      <w:r w:rsidR="0013032F" w:rsidRPr="00E36788">
        <w:rPr>
          <w:b/>
          <w:bCs/>
        </w:rPr>
        <w:t xml:space="preserve"> </w:t>
      </w:r>
      <w:proofErr w:type="spellStart"/>
      <w:r w:rsidRPr="00E36788">
        <w:rPr>
          <w:b/>
          <w:bCs/>
        </w:rPr>
        <w:t>Woka</w:t>
      </w:r>
      <w:proofErr w:type="spellEnd"/>
      <w:r w:rsidR="0013032F" w:rsidRPr="00E36788">
        <w:rPr>
          <w:b/>
          <w:bCs/>
        </w:rPr>
        <w:t xml:space="preserve"> </w:t>
      </w:r>
      <w:proofErr w:type="spellStart"/>
      <w:r w:rsidRPr="00E36788">
        <w:rPr>
          <w:b/>
          <w:bCs/>
        </w:rPr>
        <w:t>Yurringa</w:t>
      </w:r>
      <w:proofErr w:type="spellEnd"/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Energy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Feasibility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Study</w:t>
      </w:r>
    </w:p>
    <w:p w14:paraId="0F30D0D6" w14:textId="7D213A20" w:rsidR="00757772" w:rsidRPr="00E36788" w:rsidRDefault="00305D3C" w:rsidP="00E36788">
      <w:r w:rsidRPr="00E36788">
        <w:t>Supported</w:t>
      </w:r>
      <w:r w:rsidR="0013032F" w:rsidRPr="00E36788">
        <w:t xml:space="preserve"> </w:t>
      </w:r>
      <w:r w:rsidRPr="00E36788">
        <w:t>funding</w:t>
      </w:r>
      <w:r w:rsidR="0013032F" w:rsidRPr="00E36788">
        <w:t xml:space="preserve"> </w:t>
      </w:r>
      <w:r w:rsidRPr="00E36788">
        <w:t>for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Goulburn</w:t>
      </w:r>
      <w:r w:rsidR="0013032F" w:rsidRPr="00E36788">
        <w:t xml:space="preserve"> </w:t>
      </w:r>
      <w:r w:rsidRPr="00E36788">
        <w:t>Murray</w:t>
      </w:r>
      <w:r w:rsidR="0013032F" w:rsidRPr="00E36788">
        <w:t xml:space="preserve"> </w:t>
      </w:r>
      <w:proofErr w:type="spellStart"/>
      <w:r w:rsidRPr="00E36788">
        <w:t>Woka</w:t>
      </w:r>
      <w:proofErr w:type="spellEnd"/>
      <w:r w:rsidR="0013032F" w:rsidRPr="00E36788">
        <w:t xml:space="preserve"> </w:t>
      </w:r>
      <w:proofErr w:type="spellStart"/>
      <w:r w:rsidRPr="00E36788">
        <w:t>Yurringa</w:t>
      </w:r>
      <w:proofErr w:type="spellEnd"/>
      <w:r w:rsidR="0013032F" w:rsidRPr="00E36788">
        <w:t xml:space="preserve"> </w:t>
      </w:r>
      <w:r w:rsidRPr="00E36788">
        <w:t>Energy</w:t>
      </w:r>
      <w:r w:rsidR="0013032F" w:rsidRPr="00E36788">
        <w:t xml:space="preserve"> </w:t>
      </w:r>
      <w:r w:rsidRPr="00E36788">
        <w:t>Feasibility</w:t>
      </w:r>
      <w:r w:rsidR="0013032F" w:rsidRPr="00E36788">
        <w:t xml:space="preserve"> </w:t>
      </w:r>
      <w:r w:rsidRPr="00E36788">
        <w:t>Study</w:t>
      </w:r>
      <w:r w:rsidR="0013032F" w:rsidRPr="00E36788">
        <w:t xml:space="preserve"> </w:t>
      </w:r>
      <w:r w:rsidRPr="00E36788">
        <w:t>which</w:t>
      </w:r>
      <w:r w:rsidR="0013032F" w:rsidRPr="00E36788">
        <w:t xml:space="preserve"> </w:t>
      </w:r>
      <w:r w:rsidRPr="00E36788">
        <w:t>laid</w:t>
      </w:r>
      <w:r w:rsidR="0013032F" w:rsidRPr="00E36788">
        <w:t xml:space="preserve"> </w:t>
      </w:r>
      <w:r w:rsidRPr="00E36788">
        <w:t>out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opportunity</w:t>
      </w:r>
      <w:r w:rsidR="0013032F" w:rsidRPr="00E36788">
        <w:t xml:space="preserve"> </w:t>
      </w:r>
      <w:r w:rsidRPr="00E36788">
        <w:t>for</w:t>
      </w:r>
      <w:r w:rsidR="0013032F" w:rsidRPr="00E36788">
        <w:t xml:space="preserve"> </w:t>
      </w:r>
      <w:r w:rsidRPr="00E36788">
        <w:t>a</w:t>
      </w:r>
      <w:r w:rsidR="0013032F" w:rsidRPr="00E36788">
        <w:t xml:space="preserve"> </w:t>
      </w:r>
      <w:r w:rsidRPr="00E36788">
        <w:t>game-changing</w:t>
      </w:r>
      <w:r w:rsidR="0013032F" w:rsidRPr="00E36788">
        <w:t xml:space="preserve"> </w:t>
      </w:r>
      <w:r w:rsidRPr="00E36788">
        <w:t>Aboriginal-owned</w:t>
      </w:r>
      <w:r w:rsidR="0013032F" w:rsidRPr="00E36788">
        <w:t xml:space="preserve"> </w:t>
      </w:r>
      <w:r w:rsidRPr="00E36788">
        <w:t>renewable</w:t>
      </w:r>
      <w:r w:rsidR="0013032F" w:rsidRPr="00E36788">
        <w:t xml:space="preserve"> </w:t>
      </w:r>
      <w:r w:rsidRPr="00E36788">
        <w:t>energy</w:t>
      </w:r>
      <w:r w:rsidR="0013032F" w:rsidRPr="00E36788">
        <w:t xml:space="preserve"> </w:t>
      </w:r>
      <w:r w:rsidRPr="00E36788">
        <w:t>development</w:t>
      </w:r>
      <w:r w:rsidR="0013032F" w:rsidRPr="00E36788">
        <w:t xml:space="preserve"> </w:t>
      </w:r>
      <w:r w:rsidRPr="00E36788">
        <w:t>in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region.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project</w:t>
      </w:r>
      <w:r w:rsidR="0013032F" w:rsidRPr="00E36788">
        <w:t xml:space="preserve"> </w:t>
      </w:r>
      <w:r w:rsidRPr="00E36788">
        <w:t>will</w:t>
      </w:r>
      <w:r w:rsidR="0013032F" w:rsidRPr="00E36788">
        <w:t xml:space="preserve"> </w:t>
      </w:r>
      <w:r w:rsidRPr="00E36788">
        <w:t>provide</w:t>
      </w:r>
      <w:r w:rsidR="0013032F" w:rsidRPr="00E36788">
        <w:t xml:space="preserve"> </w:t>
      </w:r>
      <w:r w:rsidRPr="00E36788">
        <w:t>a</w:t>
      </w:r>
      <w:r w:rsidR="0013032F" w:rsidRPr="00E36788">
        <w:t xml:space="preserve"> </w:t>
      </w:r>
      <w:r w:rsidRPr="00E36788">
        <w:t>circular</w:t>
      </w:r>
      <w:r w:rsidR="0013032F" w:rsidRPr="00E36788">
        <w:t xml:space="preserve"> </w:t>
      </w:r>
      <w:r w:rsidRPr="00E36788">
        <w:t>economy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clean</w:t>
      </w:r>
      <w:r w:rsidR="0013032F" w:rsidRPr="00E36788">
        <w:t xml:space="preserve"> </w:t>
      </w:r>
      <w:r w:rsidRPr="00E36788">
        <w:t>energy</w:t>
      </w:r>
      <w:r w:rsidR="0013032F" w:rsidRPr="00E36788">
        <w:t xml:space="preserve"> </w:t>
      </w:r>
      <w:r w:rsidRPr="00E36788">
        <w:t>solution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support</w:t>
      </w:r>
      <w:r w:rsidR="0013032F" w:rsidRPr="00E36788">
        <w:t xml:space="preserve"> </w:t>
      </w:r>
      <w:r w:rsidRPr="00E36788">
        <w:t>decarbonisation</w:t>
      </w:r>
      <w:r w:rsidR="0013032F" w:rsidRPr="00E36788">
        <w:t xml:space="preserve"> </w:t>
      </w:r>
      <w:r w:rsidRPr="00E36788">
        <w:t>of</w:t>
      </w:r>
      <w:r w:rsidR="0013032F" w:rsidRPr="00E36788">
        <w:t xml:space="preserve"> </w:t>
      </w:r>
      <w:r w:rsidRPr="00E36788">
        <w:t>industry</w:t>
      </w:r>
      <w:r w:rsidR="0013032F" w:rsidRPr="00E36788">
        <w:t xml:space="preserve"> </w:t>
      </w:r>
      <w:r w:rsidRPr="00E36788">
        <w:t>in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region,</w:t>
      </w:r>
      <w:r w:rsidR="0013032F" w:rsidRPr="00E36788">
        <w:t xml:space="preserve"> </w:t>
      </w:r>
      <w:r w:rsidRPr="00E36788">
        <w:t>while</w:t>
      </w:r>
      <w:r w:rsidR="0013032F" w:rsidRPr="00E36788">
        <w:t xml:space="preserve"> </w:t>
      </w:r>
      <w:r w:rsidRPr="00E36788">
        <w:t>also</w:t>
      </w:r>
      <w:r w:rsidR="0013032F" w:rsidRPr="00E36788">
        <w:t xml:space="preserve"> </w:t>
      </w:r>
      <w:r w:rsidRPr="00E36788">
        <w:t>creating</w:t>
      </w:r>
      <w:r w:rsidR="0013032F" w:rsidRPr="00E36788">
        <w:t xml:space="preserve"> </w:t>
      </w:r>
      <w:r w:rsidRPr="00E36788">
        <w:t>opportunities</w:t>
      </w:r>
      <w:r w:rsidR="0013032F" w:rsidRPr="00E36788">
        <w:t xml:space="preserve"> </w:t>
      </w:r>
      <w:r w:rsidRPr="00E36788">
        <w:t>for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agriculture</w:t>
      </w:r>
      <w:r w:rsidR="0013032F" w:rsidRPr="00E36788">
        <w:t xml:space="preserve"> </w:t>
      </w:r>
      <w:r w:rsidRPr="00E36788">
        <w:t>sector,</w:t>
      </w:r>
      <w:r w:rsidR="0013032F" w:rsidRPr="00E36788">
        <w:t xml:space="preserve"> </w:t>
      </w:r>
      <w:r w:rsidRPr="00E36788">
        <w:t>local</w:t>
      </w:r>
      <w:r w:rsidR="0013032F" w:rsidRPr="00E36788">
        <w:t xml:space="preserve"> </w:t>
      </w:r>
      <w:r w:rsidRPr="00E36788">
        <w:t>employment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engagement</w:t>
      </w:r>
      <w:r w:rsidR="0013032F" w:rsidRPr="00E36788">
        <w:t xml:space="preserve"> </w:t>
      </w:r>
      <w:r w:rsidRPr="00E36788">
        <w:t>with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Indigenous</w:t>
      </w:r>
      <w:r w:rsidR="0013032F" w:rsidRPr="00E36788">
        <w:t xml:space="preserve"> </w:t>
      </w:r>
      <w:r w:rsidRPr="00E36788">
        <w:t>community.</w:t>
      </w:r>
    </w:p>
    <w:p w14:paraId="5EC85DE8" w14:textId="5BB4B5C1" w:rsidR="00757772" w:rsidRPr="00E36788" w:rsidRDefault="00305D3C" w:rsidP="00E36788">
      <w:pPr>
        <w:pStyle w:val="Normalbeforebullets"/>
        <w:rPr>
          <w:b/>
          <w:bCs/>
        </w:rPr>
      </w:pPr>
      <w:r w:rsidRPr="00E36788">
        <w:rPr>
          <w:b/>
          <w:bCs/>
        </w:rPr>
        <w:t>Advocating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for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communities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and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stakeholders</w:t>
      </w:r>
    </w:p>
    <w:p w14:paraId="47C78803" w14:textId="7A7B3BE2" w:rsidR="00757772" w:rsidRPr="00E36788" w:rsidRDefault="00305D3C" w:rsidP="00E36788">
      <w:r w:rsidRPr="00E36788">
        <w:t>Performed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important</w:t>
      </w:r>
      <w:r w:rsidR="0013032F" w:rsidRPr="00E36788">
        <w:t xml:space="preserve"> </w:t>
      </w:r>
      <w:r w:rsidRPr="00E36788">
        <w:t>role</w:t>
      </w:r>
      <w:r w:rsidR="0013032F" w:rsidRPr="00E36788">
        <w:t xml:space="preserve"> </w:t>
      </w:r>
      <w:r w:rsidRPr="00E36788">
        <w:t>of</w:t>
      </w:r>
      <w:r w:rsidR="0013032F" w:rsidRPr="00E36788">
        <w:t xml:space="preserve"> </w:t>
      </w:r>
      <w:r w:rsidRPr="00E36788">
        <w:t>supporting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region’s</w:t>
      </w:r>
      <w:r w:rsidR="0013032F" w:rsidRPr="00E36788">
        <w:t xml:space="preserve"> </w:t>
      </w:r>
      <w:r w:rsidRPr="00E36788">
        <w:t>voice</w:t>
      </w:r>
      <w:r w:rsidR="0013032F" w:rsidRPr="00E36788">
        <w:t xml:space="preserve"> </w:t>
      </w:r>
      <w:r w:rsidRPr="00E36788">
        <w:t>into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Australian</w:t>
      </w:r>
      <w:r w:rsidR="0013032F" w:rsidRPr="00E36788">
        <w:t xml:space="preserve"> </w:t>
      </w:r>
      <w:r w:rsidRPr="00E36788">
        <w:t>Government</w:t>
      </w:r>
      <w:r w:rsidR="0013032F" w:rsidRPr="00E36788">
        <w:t xml:space="preserve"> </w:t>
      </w:r>
      <w:r w:rsidRPr="00E36788">
        <w:t>through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Regional</w:t>
      </w:r>
      <w:r w:rsidR="0013032F" w:rsidRPr="00E36788">
        <w:t xml:space="preserve"> </w:t>
      </w:r>
      <w:r w:rsidRPr="00E36788">
        <w:t>Development</w:t>
      </w:r>
      <w:r w:rsidR="0013032F" w:rsidRPr="00E36788">
        <w:t xml:space="preserve"> </w:t>
      </w:r>
      <w:r w:rsidRPr="00E36788">
        <w:t>Australia</w:t>
      </w:r>
      <w:r w:rsidR="0013032F" w:rsidRPr="00E36788">
        <w:t xml:space="preserve"> </w:t>
      </w:r>
      <w:r w:rsidRPr="00E36788">
        <w:t>(RDA)</w:t>
      </w:r>
      <w:r w:rsidR="0013032F" w:rsidRPr="00E36788">
        <w:t xml:space="preserve"> </w:t>
      </w:r>
      <w:r w:rsidRPr="00E36788">
        <w:t>Hume</w:t>
      </w:r>
      <w:r w:rsidR="0013032F" w:rsidRPr="00E36788">
        <w:t xml:space="preserve"> </w:t>
      </w:r>
      <w:r w:rsidRPr="00E36788">
        <w:t>Committee.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RDA,</w:t>
      </w:r>
      <w:r w:rsidR="0013032F" w:rsidRPr="00E36788">
        <w:t xml:space="preserve"> </w:t>
      </w:r>
      <w:r w:rsidRPr="00E36788">
        <w:t>with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guidance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support</w:t>
      </w:r>
      <w:r w:rsidR="0013032F" w:rsidRPr="00E36788">
        <w:t xml:space="preserve"> </w:t>
      </w:r>
      <w:r w:rsidRPr="00E36788">
        <w:t>of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RDV</w:t>
      </w:r>
      <w:r w:rsidR="0013032F" w:rsidRPr="00E36788">
        <w:t xml:space="preserve"> </w:t>
      </w:r>
      <w:r w:rsidRPr="00E36788">
        <w:t>Hume</w:t>
      </w:r>
      <w:r w:rsidR="0013032F" w:rsidRPr="00E36788">
        <w:t xml:space="preserve"> </w:t>
      </w:r>
      <w:r w:rsidRPr="00E36788">
        <w:t>team,</w:t>
      </w:r>
      <w:r w:rsidR="0013032F" w:rsidRPr="00E36788">
        <w:t xml:space="preserve"> </w:t>
      </w:r>
      <w:r w:rsidRPr="00E36788">
        <w:t>provided</w:t>
      </w:r>
      <w:r w:rsidR="0013032F" w:rsidRPr="00E36788">
        <w:t xml:space="preserve"> </w:t>
      </w:r>
      <w:r w:rsidRPr="00E36788">
        <w:t>intelligence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government</w:t>
      </w:r>
      <w:r w:rsidR="0013032F" w:rsidRPr="00E36788">
        <w:t xml:space="preserve"> </w:t>
      </w:r>
      <w:r w:rsidRPr="00E36788">
        <w:t>on</w:t>
      </w:r>
      <w:r w:rsidR="0013032F" w:rsidRPr="00E36788">
        <w:t xml:space="preserve"> </w:t>
      </w:r>
      <w:r w:rsidRPr="00E36788">
        <w:t>key</w:t>
      </w:r>
      <w:r w:rsidR="0013032F" w:rsidRPr="00E36788">
        <w:t xml:space="preserve"> </w:t>
      </w:r>
      <w:r w:rsidRPr="00E36788">
        <w:t>issues</w:t>
      </w:r>
      <w:r w:rsidR="0013032F" w:rsidRPr="00E36788">
        <w:t xml:space="preserve"> </w:t>
      </w:r>
      <w:r w:rsidRPr="00E36788">
        <w:t>impacting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region</w:t>
      </w:r>
      <w:r w:rsidR="0013032F" w:rsidRPr="00E36788">
        <w:t xml:space="preserve"> </w:t>
      </w:r>
      <w:r w:rsidRPr="00E36788">
        <w:t>including</w:t>
      </w:r>
      <w:r w:rsidR="0013032F" w:rsidRPr="00E36788">
        <w:t xml:space="preserve"> </w:t>
      </w:r>
      <w:r w:rsidRPr="00E36788">
        <w:t>workforce</w:t>
      </w:r>
      <w:r w:rsidR="0013032F" w:rsidRPr="00E36788">
        <w:t xml:space="preserve"> </w:t>
      </w:r>
      <w:r w:rsidRPr="00E36788">
        <w:t>challenges,</w:t>
      </w:r>
      <w:r w:rsidR="0013032F" w:rsidRPr="00E36788">
        <w:t xml:space="preserve"> </w:t>
      </w:r>
      <w:r w:rsidRPr="00E36788">
        <w:t>natural</w:t>
      </w:r>
      <w:r w:rsidR="0013032F" w:rsidRPr="00E36788">
        <w:t xml:space="preserve"> </w:t>
      </w:r>
      <w:r w:rsidRPr="00E36788">
        <w:t>disasters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gaps</w:t>
      </w:r>
      <w:r w:rsidR="0013032F" w:rsidRPr="00E36788">
        <w:t xml:space="preserve"> </w:t>
      </w:r>
      <w:r w:rsidRPr="00E36788">
        <w:t>in</w:t>
      </w:r>
      <w:r w:rsidR="0013032F" w:rsidRPr="00E36788">
        <w:t xml:space="preserve"> </w:t>
      </w:r>
      <w:r w:rsidRPr="00E36788">
        <w:t>program</w:t>
      </w:r>
      <w:r w:rsidR="0013032F" w:rsidRPr="00E36788">
        <w:t xml:space="preserve"> </w:t>
      </w:r>
      <w:r w:rsidRPr="00E36788">
        <w:t>design</w:t>
      </w:r>
      <w:r w:rsidR="0013032F" w:rsidRPr="00E36788">
        <w:t xml:space="preserve"> </w:t>
      </w:r>
      <w:r w:rsidRPr="00E36788">
        <w:t>or</w:t>
      </w:r>
      <w:r w:rsidR="0013032F" w:rsidRPr="00E36788">
        <w:t xml:space="preserve"> </w:t>
      </w:r>
      <w:r w:rsidRPr="00E36788">
        <w:t>service</w:t>
      </w:r>
      <w:r w:rsidR="0013032F" w:rsidRPr="00E36788">
        <w:t xml:space="preserve"> </w:t>
      </w:r>
      <w:r w:rsidRPr="00E36788">
        <w:t>delivery.</w:t>
      </w:r>
      <w:r w:rsidR="0013032F" w:rsidRPr="00E36788">
        <w:t xml:space="preserve"> </w:t>
      </w:r>
      <w:r w:rsidRPr="00E36788">
        <w:t>A</w:t>
      </w:r>
      <w:r w:rsidR="0013032F" w:rsidRPr="00E36788">
        <w:t xml:space="preserve"> </w:t>
      </w:r>
      <w:r w:rsidRPr="00E36788">
        <w:t>significant</w:t>
      </w:r>
      <w:r w:rsidR="0013032F" w:rsidRPr="00E36788">
        <w:t xml:space="preserve"> </w:t>
      </w:r>
      <w:r w:rsidRPr="00E36788">
        <w:t>outcome</w:t>
      </w:r>
      <w:r w:rsidR="0013032F" w:rsidRPr="00E36788">
        <w:t xml:space="preserve"> </w:t>
      </w:r>
      <w:r w:rsidRPr="00E36788">
        <w:t>was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lastRenderedPageBreak/>
        <w:t>successful</w:t>
      </w:r>
      <w:r w:rsidR="0013032F" w:rsidRPr="00E36788">
        <w:t xml:space="preserve"> </w:t>
      </w:r>
      <w:r w:rsidRPr="00E36788">
        <w:t>advocacy</w:t>
      </w:r>
      <w:r w:rsidR="0013032F" w:rsidRPr="00E36788">
        <w:t xml:space="preserve"> </w:t>
      </w:r>
      <w:r w:rsidRPr="00E36788">
        <w:t>by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RDA</w:t>
      </w:r>
      <w:r w:rsidR="0013032F" w:rsidRPr="00E36788">
        <w:t xml:space="preserve"> </w:t>
      </w:r>
      <w:r w:rsidRPr="00E36788">
        <w:t>Committee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have</w:t>
      </w:r>
      <w:r w:rsidR="0013032F" w:rsidRPr="00E36788">
        <w:t xml:space="preserve"> </w:t>
      </w:r>
      <w:r w:rsidRPr="00E36788">
        <w:t>Hume’s</w:t>
      </w:r>
      <w:r w:rsidR="0013032F" w:rsidRPr="00E36788">
        <w:t xml:space="preserve"> </w:t>
      </w:r>
      <w:r w:rsidRPr="00E36788">
        <w:t>alpine</w:t>
      </w:r>
      <w:r w:rsidR="0013032F" w:rsidRPr="00E36788">
        <w:t xml:space="preserve"> </w:t>
      </w:r>
      <w:r w:rsidRPr="00E36788">
        <w:t>resorts</w:t>
      </w:r>
      <w:r w:rsidR="0013032F" w:rsidRPr="00E36788">
        <w:t xml:space="preserve"> </w:t>
      </w:r>
      <w:r w:rsidRPr="00E36788">
        <w:t>recognised</w:t>
      </w:r>
      <w:r w:rsidR="0013032F" w:rsidRPr="00E36788">
        <w:t xml:space="preserve"> </w:t>
      </w:r>
      <w:r w:rsidRPr="00E36788">
        <w:t>as</w:t>
      </w:r>
      <w:r w:rsidR="0013032F" w:rsidRPr="00E36788">
        <w:t xml:space="preserve"> </w:t>
      </w:r>
      <w:r w:rsidRPr="00E36788">
        <w:t>eligible</w:t>
      </w:r>
      <w:r w:rsidR="0013032F" w:rsidRPr="00E36788">
        <w:t xml:space="preserve"> </w:t>
      </w:r>
      <w:r w:rsidRPr="00E36788">
        <w:t>for</w:t>
      </w:r>
      <w:r w:rsidR="0013032F" w:rsidRPr="00E36788">
        <w:t xml:space="preserve"> </w:t>
      </w:r>
      <w:r w:rsidRPr="00E36788">
        <w:t>Australian</w:t>
      </w:r>
      <w:r w:rsidR="0013032F" w:rsidRPr="00E36788">
        <w:t xml:space="preserve"> </w:t>
      </w:r>
      <w:r w:rsidRPr="00E36788">
        <w:t>Government</w:t>
      </w:r>
      <w:r w:rsidR="0013032F" w:rsidRPr="00E36788">
        <w:t xml:space="preserve"> </w:t>
      </w:r>
      <w:r w:rsidRPr="00E36788">
        <w:t>infrastructure</w:t>
      </w:r>
      <w:r w:rsidR="0013032F" w:rsidRPr="00E36788">
        <w:t xml:space="preserve"> </w:t>
      </w:r>
      <w:r w:rsidRPr="00E36788">
        <w:t>funding.</w:t>
      </w:r>
    </w:p>
    <w:p w14:paraId="4CB9C929" w14:textId="4BA519E1" w:rsidR="00757772" w:rsidRPr="00E36788" w:rsidRDefault="00305D3C" w:rsidP="00E36788">
      <w:pPr>
        <w:pStyle w:val="Normalbeforebullets"/>
        <w:rPr>
          <w:b/>
          <w:bCs/>
        </w:rPr>
      </w:pPr>
      <w:r w:rsidRPr="00E36788">
        <w:rPr>
          <w:b/>
          <w:bCs/>
        </w:rPr>
        <w:t>Delivering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for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our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local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communities</w:t>
      </w:r>
    </w:p>
    <w:p w14:paraId="0E66FD38" w14:textId="4D07BCC8" w:rsidR="00757772" w:rsidRPr="00E36788" w:rsidRDefault="00305D3C" w:rsidP="00E36788">
      <w:r w:rsidRPr="00E36788">
        <w:t>Facilitated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transition</w:t>
      </w:r>
      <w:r w:rsidR="0013032F" w:rsidRPr="00E36788">
        <w:t xml:space="preserve"> </w:t>
      </w:r>
      <w:r w:rsidRPr="00E36788">
        <w:t>of</w:t>
      </w:r>
      <w:r w:rsidR="0013032F" w:rsidRPr="00E36788">
        <w:t xml:space="preserve"> </w:t>
      </w:r>
      <w:r w:rsidRPr="00E36788">
        <w:t>our</w:t>
      </w:r>
      <w:r w:rsidR="0013032F" w:rsidRPr="00E36788">
        <w:t xml:space="preserve"> </w:t>
      </w:r>
      <w:r w:rsidRPr="00E36788">
        <w:t>Economic</w:t>
      </w:r>
      <w:r w:rsidR="0013032F" w:rsidRPr="00E36788">
        <w:t xml:space="preserve"> </w:t>
      </w:r>
      <w:r w:rsidRPr="00E36788">
        <w:t>Development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Investment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Trade</w:t>
      </w:r>
      <w:r w:rsidR="0013032F" w:rsidRPr="00E36788">
        <w:t xml:space="preserve"> </w:t>
      </w:r>
      <w:r w:rsidRPr="00E36788">
        <w:t>teams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form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‘Regional</w:t>
      </w:r>
      <w:r w:rsidR="0013032F" w:rsidRPr="00E36788">
        <w:t xml:space="preserve"> </w:t>
      </w:r>
      <w:r w:rsidRPr="00E36788">
        <w:t>Operations</w:t>
      </w:r>
      <w:r w:rsidR="0013032F" w:rsidRPr="00E36788">
        <w:t xml:space="preserve"> </w:t>
      </w:r>
      <w:r w:rsidRPr="00E36788">
        <w:t>Group’</w:t>
      </w:r>
      <w:r w:rsidR="0013032F" w:rsidRPr="00E36788">
        <w:t xml:space="preserve"> </w:t>
      </w:r>
      <w:r w:rsidRPr="00E36788">
        <w:t>through</w:t>
      </w:r>
      <w:r w:rsidR="0013032F" w:rsidRPr="00E36788">
        <w:t xml:space="preserve"> </w:t>
      </w:r>
      <w:r w:rsidRPr="00E36788">
        <w:t>local</w:t>
      </w:r>
      <w:r w:rsidR="0013032F" w:rsidRPr="00E36788">
        <w:t xml:space="preserve"> </w:t>
      </w:r>
      <w:r w:rsidRPr="00E36788">
        <w:t>leadership</w:t>
      </w:r>
      <w:r w:rsidR="0013032F" w:rsidRPr="00E36788">
        <w:t xml:space="preserve"> </w:t>
      </w:r>
      <w:r w:rsidRPr="00E36788">
        <w:t>on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ground.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change</w:t>
      </w:r>
      <w:r w:rsidR="0013032F" w:rsidRPr="00E36788">
        <w:t xml:space="preserve"> </w:t>
      </w:r>
      <w:r w:rsidRPr="00E36788">
        <w:t>aims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provide</w:t>
      </w:r>
      <w:r w:rsidR="0013032F" w:rsidRPr="00E36788">
        <w:t xml:space="preserve"> </w:t>
      </w:r>
      <w:r w:rsidRPr="00E36788">
        <w:t>a</w:t>
      </w:r>
      <w:r w:rsidR="0013032F" w:rsidRPr="00E36788">
        <w:t xml:space="preserve"> </w:t>
      </w:r>
      <w:r w:rsidRPr="00E36788">
        <w:t>more</w:t>
      </w:r>
      <w:r w:rsidR="0013032F" w:rsidRPr="00E36788">
        <w:t xml:space="preserve"> </w:t>
      </w:r>
      <w:r w:rsidRPr="00E36788">
        <w:t>comprehensive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holistic</w:t>
      </w:r>
      <w:r w:rsidR="0013032F" w:rsidRPr="00E36788">
        <w:t xml:space="preserve"> </w:t>
      </w:r>
      <w:r w:rsidRPr="00E36788">
        <w:t>RDV</w:t>
      </w:r>
      <w:r w:rsidR="0013032F" w:rsidRPr="00E36788">
        <w:t xml:space="preserve"> </w:t>
      </w:r>
      <w:r w:rsidRPr="00E36788">
        <w:t>delivery</w:t>
      </w:r>
      <w:r w:rsidR="0013032F" w:rsidRPr="00E36788">
        <w:t xml:space="preserve"> </w:t>
      </w:r>
      <w:r w:rsidRPr="00E36788">
        <w:t>offering</w:t>
      </w:r>
      <w:r w:rsidR="0013032F" w:rsidRPr="00E36788">
        <w:t xml:space="preserve"> </w:t>
      </w:r>
      <w:r w:rsidRPr="00E36788">
        <w:t>for</w:t>
      </w:r>
      <w:r w:rsidR="0013032F" w:rsidRPr="00E36788">
        <w:t xml:space="preserve"> </w:t>
      </w:r>
      <w:r w:rsidRPr="00E36788">
        <w:t>rural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regional</w:t>
      </w:r>
      <w:r w:rsidR="0013032F" w:rsidRPr="00E36788">
        <w:t xml:space="preserve"> </w:t>
      </w:r>
      <w:r w:rsidRPr="00E36788">
        <w:t>communities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stakeholders.</w:t>
      </w:r>
      <w:r w:rsidR="0013032F" w:rsidRPr="00E36788">
        <w:t xml:space="preserve"> </w:t>
      </w:r>
      <w:r w:rsidRPr="00E36788">
        <w:t>With</w:t>
      </w:r>
      <w:r w:rsidR="0013032F" w:rsidRPr="00E36788">
        <w:t xml:space="preserve"> </w:t>
      </w:r>
      <w:r w:rsidRPr="00E36788">
        <w:t>an</w:t>
      </w:r>
      <w:r w:rsidR="0013032F" w:rsidRPr="00E36788">
        <w:t xml:space="preserve"> </w:t>
      </w:r>
      <w:r w:rsidRPr="00E36788">
        <w:t>emphasis</w:t>
      </w:r>
      <w:r w:rsidR="0013032F" w:rsidRPr="00E36788">
        <w:t xml:space="preserve"> </w:t>
      </w:r>
      <w:r w:rsidRPr="00E36788">
        <w:t>on</w:t>
      </w:r>
      <w:r w:rsidR="0013032F" w:rsidRPr="00E36788">
        <w:t xml:space="preserve"> </w:t>
      </w:r>
      <w:r w:rsidRPr="00E36788">
        <w:t>a</w:t>
      </w:r>
      <w:r w:rsidR="0013032F" w:rsidRPr="00E36788">
        <w:t xml:space="preserve"> </w:t>
      </w:r>
      <w:r w:rsidRPr="00E36788">
        <w:t>place-based</w:t>
      </w:r>
      <w:r w:rsidR="0013032F" w:rsidRPr="00E36788">
        <w:t xml:space="preserve"> </w:t>
      </w:r>
      <w:r w:rsidRPr="00E36788">
        <w:t>approach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our</w:t>
      </w:r>
      <w:r w:rsidR="0013032F" w:rsidRPr="00E36788">
        <w:t xml:space="preserve"> </w:t>
      </w:r>
      <w:r w:rsidRPr="00E36788">
        <w:t>work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taking</w:t>
      </w:r>
      <w:r w:rsidR="0013032F" w:rsidRPr="00E36788">
        <w:t xml:space="preserve"> </w:t>
      </w:r>
      <w:r w:rsidRPr="00E36788">
        <w:t>a</w:t>
      </w:r>
      <w:r w:rsidR="0013032F" w:rsidRPr="00E36788">
        <w:t xml:space="preserve"> </w:t>
      </w:r>
      <w:r w:rsidRPr="00E36788">
        <w:t>whole-of-</w:t>
      </w:r>
      <w:r w:rsidRPr="00E36788">
        <w:t>Victorian-Government</w:t>
      </w:r>
      <w:r w:rsidR="0013032F" w:rsidRPr="00E36788">
        <w:t xml:space="preserve"> </w:t>
      </w:r>
      <w:r w:rsidRPr="00E36788">
        <w:t>lens,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newly</w:t>
      </w:r>
      <w:r w:rsidR="0013032F" w:rsidRPr="00E36788">
        <w:t xml:space="preserve"> </w:t>
      </w:r>
      <w:r w:rsidRPr="00E36788">
        <w:t>formed</w:t>
      </w:r>
      <w:r w:rsidR="0013032F" w:rsidRPr="00E36788">
        <w:t xml:space="preserve"> </w:t>
      </w:r>
      <w:r w:rsidRPr="00E36788">
        <w:t>approach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work</w:t>
      </w:r>
      <w:r w:rsidR="0013032F" w:rsidRPr="00E36788">
        <w:t xml:space="preserve"> </w:t>
      </w:r>
      <w:r w:rsidRPr="00E36788">
        <w:t>allows</w:t>
      </w:r>
      <w:r w:rsidR="0013032F" w:rsidRPr="00E36788">
        <w:t xml:space="preserve"> </w:t>
      </w:r>
      <w:r w:rsidRPr="00E36788">
        <w:t>us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best</w:t>
      </w:r>
      <w:r w:rsidR="0013032F" w:rsidRPr="00E36788">
        <w:t xml:space="preserve"> </w:t>
      </w:r>
      <w:r w:rsidRPr="00E36788">
        <w:t>utilise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knowledge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skills</w:t>
      </w:r>
      <w:r w:rsidR="0013032F" w:rsidRPr="00E36788">
        <w:t xml:space="preserve"> </w:t>
      </w:r>
      <w:r w:rsidRPr="00E36788">
        <w:t>within</w:t>
      </w:r>
      <w:r w:rsidR="0013032F" w:rsidRPr="00E36788">
        <w:t xml:space="preserve"> </w:t>
      </w:r>
      <w:r w:rsidRPr="00E36788">
        <w:t>our</w:t>
      </w:r>
      <w:r w:rsidR="0013032F" w:rsidRPr="00E36788">
        <w:t xml:space="preserve"> </w:t>
      </w:r>
      <w:r w:rsidRPr="00E36788">
        <w:t>team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deliver</w:t>
      </w:r>
      <w:r w:rsidR="0013032F" w:rsidRPr="00E36788">
        <w:t xml:space="preserve"> </w:t>
      </w:r>
      <w:r w:rsidRPr="00E36788">
        <w:t>best</w:t>
      </w:r>
      <w:r w:rsidR="0013032F" w:rsidRPr="00E36788">
        <w:t xml:space="preserve"> </w:t>
      </w:r>
      <w:r w:rsidRPr="00E36788">
        <w:t>value</w:t>
      </w:r>
      <w:r w:rsidR="0013032F" w:rsidRPr="00E36788">
        <w:t xml:space="preserve"> </w:t>
      </w:r>
      <w:r w:rsidRPr="00E36788">
        <w:t>outcomes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our</w:t>
      </w:r>
      <w:r w:rsidR="0013032F" w:rsidRPr="00E36788">
        <w:t xml:space="preserve"> </w:t>
      </w:r>
      <w:r w:rsidRPr="00E36788">
        <w:t>rural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regional</w:t>
      </w:r>
      <w:r w:rsidR="0013032F" w:rsidRPr="00E36788">
        <w:t xml:space="preserve"> </w:t>
      </w:r>
      <w:r w:rsidRPr="00E36788">
        <w:t>partners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networks.</w:t>
      </w:r>
    </w:p>
    <w:p w14:paraId="2DCE4AFF" w14:textId="35A4D948" w:rsidR="00757772" w:rsidRDefault="00305D3C" w:rsidP="00E36788">
      <w:pPr>
        <w:pStyle w:val="Heading2"/>
      </w:pPr>
      <w:bookmarkStart w:id="53" w:name="_Toc149566599"/>
      <w:r>
        <w:t>Loddon</w:t>
      </w:r>
      <w:r w:rsidR="0013032F">
        <w:t xml:space="preserve"> </w:t>
      </w:r>
      <w:r>
        <w:t>Mallee</w:t>
      </w:r>
      <w:bookmarkEnd w:id="53"/>
    </w:p>
    <w:p w14:paraId="5E1FECA1" w14:textId="1303E738" w:rsidR="00757772" w:rsidRDefault="00305D3C" w:rsidP="00E36788">
      <w:pPr>
        <w:pStyle w:val="Heading3"/>
      </w:pPr>
      <w:r>
        <w:t>Regional</w:t>
      </w:r>
      <w:r w:rsidR="0013032F">
        <w:t xml:space="preserve"> </w:t>
      </w:r>
      <w:r>
        <w:t>Director’s</w:t>
      </w:r>
      <w:r w:rsidR="0013032F">
        <w:t xml:space="preserve"> </w:t>
      </w:r>
      <w:r>
        <w:t>report</w:t>
      </w:r>
    </w:p>
    <w:p w14:paraId="09C5CE15" w14:textId="570097A1" w:rsidR="00757772" w:rsidRPr="00E36788" w:rsidRDefault="00305D3C" w:rsidP="00E36788">
      <w:r w:rsidRPr="00E36788">
        <w:t>The</w:t>
      </w:r>
      <w:r w:rsidR="0013032F" w:rsidRPr="00E36788">
        <w:t xml:space="preserve"> </w:t>
      </w:r>
      <w:r w:rsidRPr="00E36788">
        <w:t>Loddon</w:t>
      </w:r>
      <w:r w:rsidR="0013032F" w:rsidRPr="00E36788">
        <w:t xml:space="preserve"> </w:t>
      </w:r>
      <w:r w:rsidRPr="00E36788">
        <w:t>Mallee</w:t>
      </w:r>
      <w:r w:rsidR="0013032F" w:rsidRPr="00E36788">
        <w:t xml:space="preserve"> </w:t>
      </w:r>
      <w:r w:rsidRPr="00E36788">
        <w:t>region</w:t>
      </w:r>
      <w:r w:rsidR="0013032F" w:rsidRPr="00E36788">
        <w:t xml:space="preserve"> </w:t>
      </w:r>
      <w:r w:rsidRPr="00E36788">
        <w:t>occupies</w:t>
      </w:r>
      <w:r w:rsidR="0013032F" w:rsidRPr="00E36788">
        <w:t xml:space="preserve"> </w:t>
      </w:r>
      <w:r w:rsidRPr="00E36788">
        <w:t>more</w:t>
      </w:r>
      <w:r w:rsidR="0013032F" w:rsidRPr="00E36788">
        <w:t xml:space="preserve"> </w:t>
      </w:r>
      <w:r w:rsidRPr="00E36788">
        <w:t>than</w:t>
      </w:r>
      <w:r w:rsidR="0013032F" w:rsidRPr="00E36788">
        <w:t xml:space="preserve"> </w:t>
      </w:r>
      <w:r w:rsidRPr="00E36788">
        <w:t>a</w:t>
      </w:r>
      <w:r w:rsidR="0013032F" w:rsidRPr="00E36788">
        <w:t xml:space="preserve"> </w:t>
      </w:r>
      <w:r w:rsidRPr="00E36788">
        <w:t>quarter</w:t>
      </w:r>
      <w:r w:rsidR="0013032F" w:rsidRPr="00E36788">
        <w:t xml:space="preserve"> </w:t>
      </w:r>
      <w:r w:rsidRPr="00E36788">
        <w:t>of</w:t>
      </w:r>
      <w:r w:rsidR="0013032F" w:rsidRPr="00E36788">
        <w:t xml:space="preserve"> </w:t>
      </w:r>
      <w:r w:rsidRPr="00E36788">
        <w:t>Victoria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has</w:t>
      </w:r>
      <w:r w:rsidR="0013032F" w:rsidRPr="00E36788">
        <w:t xml:space="preserve"> </w:t>
      </w:r>
      <w:r w:rsidRPr="00E36788">
        <w:t>one</w:t>
      </w:r>
      <w:r w:rsidR="0013032F" w:rsidRPr="00E36788">
        <w:t xml:space="preserve"> </w:t>
      </w:r>
      <w:r w:rsidRPr="00E36788">
        <w:t>of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most</w:t>
      </w:r>
      <w:r w:rsidR="0013032F" w:rsidRPr="00E36788">
        <w:t xml:space="preserve"> </w:t>
      </w:r>
      <w:r w:rsidRPr="00E36788">
        <w:t>consistently</w:t>
      </w:r>
      <w:r w:rsidR="0013032F" w:rsidRPr="00E36788">
        <w:t xml:space="preserve"> </w:t>
      </w:r>
      <w:r w:rsidRPr="00E36788">
        <w:t>warm</w:t>
      </w:r>
      <w:r w:rsidR="0013032F" w:rsidRPr="00E36788">
        <w:t xml:space="preserve"> </w:t>
      </w:r>
      <w:r w:rsidRPr="00E36788">
        <w:t>climates</w:t>
      </w:r>
      <w:r w:rsidR="0013032F" w:rsidRPr="00E36788">
        <w:t xml:space="preserve"> </w:t>
      </w:r>
      <w:r w:rsidRPr="00E36788">
        <w:t>in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state.</w:t>
      </w:r>
      <w:r w:rsidR="0013032F" w:rsidRPr="00E36788">
        <w:t xml:space="preserve"> </w:t>
      </w:r>
      <w:r w:rsidRPr="00E36788">
        <w:t>It</w:t>
      </w:r>
      <w:r w:rsidR="0013032F" w:rsidRPr="00E36788">
        <w:t xml:space="preserve"> </w:t>
      </w:r>
      <w:r w:rsidRPr="00E36788">
        <w:t>also</w:t>
      </w:r>
      <w:r w:rsidR="0013032F" w:rsidRPr="00E36788">
        <w:t xml:space="preserve"> </w:t>
      </w:r>
      <w:r w:rsidRPr="00E36788">
        <w:t>boasts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beautiful</w:t>
      </w:r>
      <w:r w:rsidR="0013032F" w:rsidRPr="00E36788">
        <w:t xml:space="preserve"> </w:t>
      </w:r>
      <w:r w:rsidRPr="00E36788">
        <w:t>waterways</w:t>
      </w:r>
      <w:r w:rsidR="0013032F" w:rsidRPr="00E36788">
        <w:t xml:space="preserve"> </w:t>
      </w:r>
      <w:r w:rsidRPr="00E36788">
        <w:t>of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Murray</w:t>
      </w:r>
      <w:r w:rsidR="0013032F" w:rsidRPr="00E36788">
        <w:t xml:space="preserve"> </w:t>
      </w:r>
      <w:r w:rsidRPr="00E36788">
        <w:t>River,</w:t>
      </w:r>
      <w:r w:rsidR="0013032F" w:rsidRPr="00E36788">
        <w:t xml:space="preserve"> </w:t>
      </w:r>
      <w:r w:rsidRPr="00E36788">
        <w:t>acclaimed</w:t>
      </w:r>
      <w:r w:rsidR="0013032F" w:rsidRPr="00E36788">
        <w:t xml:space="preserve"> </w:t>
      </w:r>
      <w:r w:rsidRPr="00E36788">
        <w:t>restaurants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wineries,</w:t>
      </w:r>
      <w:r w:rsidR="0013032F" w:rsidRPr="00E36788">
        <w:t xml:space="preserve"> </w:t>
      </w:r>
      <w:r w:rsidRPr="00E36788">
        <w:t>heritage</w:t>
      </w:r>
      <w:r w:rsidR="0013032F" w:rsidRPr="00E36788">
        <w:t xml:space="preserve"> </w:t>
      </w:r>
      <w:r w:rsidRPr="00E36788">
        <w:t>towns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grand</w:t>
      </w:r>
      <w:r w:rsidR="0013032F" w:rsidRPr="00E36788">
        <w:t xml:space="preserve"> </w:t>
      </w:r>
      <w:r w:rsidRPr="00E36788">
        <w:t>forests.</w:t>
      </w:r>
      <w:r w:rsidR="0013032F" w:rsidRPr="00E36788">
        <w:t xml:space="preserve"> </w:t>
      </w:r>
      <w:r w:rsidRPr="00E36788">
        <w:t>For</w:t>
      </w:r>
      <w:r w:rsidR="0013032F" w:rsidRPr="00E36788">
        <w:t xml:space="preserve"> </w:t>
      </w:r>
      <w:r w:rsidRPr="00E36788">
        <w:t>these</w:t>
      </w:r>
      <w:r w:rsidR="0013032F" w:rsidRPr="00E36788">
        <w:t xml:space="preserve"> </w:t>
      </w:r>
      <w:r w:rsidRPr="00E36788">
        <w:t>reasons</w:t>
      </w:r>
      <w:r w:rsidR="0013032F" w:rsidRPr="00E36788">
        <w:t xml:space="preserve"> </w:t>
      </w:r>
      <w:r w:rsidRPr="00E36788">
        <w:t>it’s</w:t>
      </w:r>
      <w:r w:rsidR="0013032F" w:rsidRPr="00E36788">
        <w:t xml:space="preserve"> </w:t>
      </w:r>
      <w:r w:rsidRPr="00E36788">
        <w:t>a</w:t>
      </w:r>
      <w:r w:rsidR="0013032F" w:rsidRPr="00E36788">
        <w:t xml:space="preserve"> </w:t>
      </w:r>
      <w:r w:rsidRPr="00E36788">
        <w:t>popular</w:t>
      </w:r>
      <w:r w:rsidR="0013032F" w:rsidRPr="00E36788">
        <w:t xml:space="preserve"> </w:t>
      </w:r>
      <w:r w:rsidRPr="00E36788">
        <w:t>region</w:t>
      </w:r>
      <w:r w:rsidR="0013032F" w:rsidRPr="00E36788">
        <w:t xml:space="preserve"> </w:t>
      </w:r>
      <w:r w:rsidRPr="00E36788">
        <w:t>for</w:t>
      </w:r>
      <w:r w:rsidR="0013032F" w:rsidRPr="00E36788">
        <w:t xml:space="preserve"> </w:t>
      </w:r>
      <w:r w:rsidRPr="00E36788">
        <w:t>tourists,</w:t>
      </w:r>
      <w:r w:rsidR="0013032F" w:rsidRPr="00E36788">
        <w:t xml:space="preserve"> </w:t>
      </w:r>
      <w:r w:rsidRPr="00E36788">
        <w:t>locals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businesses.</w:t>
      </w:r>
      <w:r w:rsidR="0013032F" w:rsidRPr="00E36788">
        <w:t xml:space="preserve"> </w:t>
      </w:r>
      <w:r w:rsidRPr="00E36788">
        <w:t>In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last</w:t>
      </w:r>
      <w:r w:rsidR="0013032F" w:rsidRPr="00E36788">
        <w:t xml:space="preserve"> </w:t>
      </w:r>
      <w:r w:rsidRPr="00E36788">
        <w:t>financial</w:t>
      </w:r>
      <w:r w:rsidR="0013032F" w:rsidRPr="00E36788">
        <w:t xml:space="preserve"> </w:t>
      </w:r>
      <w:r w:rsidRPr="00E36788">
        <w:t>year,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RDV</w:t>
      </w:r>
      <w:r w:rsidR="0013032F" w:rsidRPr="00E36788">
        <w:t xml:space="preserve"> </w:t>
      </w:r>
      <w:r w:rsidRPr="00E36788">
        <w:t>Loddon</w:t>
      </w:r>
      <w:r w:rsidR="0013032F" w:rsidRPr="00E36788">
        <w:t xml:space="preserve"> </w:t>
      </w:r>
      <w:r w:rsidRPr="00E36788">
        <w:t>Mallee</w:t>
      </w:r>
      <w:r w:rsidR="0013032F" w:rsidRPr="00E36788">
        <w:t xml:space="preserve"> </w:t>
      </w:r>
      <w:r w:rsidRPr="00E36788">
        <w:t>team</w:t>
      </w:r>
      <w:r w:rsidR="0013032F" w:rsidRPr="00E36788">
        <w:t xml:space="preserve"> </w:t>
      </w:r>
      <w:r w:rsidRPr="00E36788">
        <w:t>supported</w:t>
      </w:r>
      <w:r w:rsidR="0013032F" w:rsidRPr="00E36788">
        <w:t xml:space="preserve"> </w:t>
      </w:r>
      <w:r w:rsidRPr="00E36788">
        <w:t>205</w:t>
      </w:r>
      <w:r w:rsidR="0013032F" w:rsidRPr="00E36788">
        <w:t xml:space="preserve"> </w:t>
      </w:r>
      <w:r w:rsidRPr="00E36788">
        <w:t>projects</w:t>
      </w:r>
      <w:r w:rsidR="0013032F" w:rsidRPr="00E36788">
        <w:t xml:space="preserve"> </w:t>
      </w:r>
      <w:r w:rsidRPr="00E36788">
        <w:t>including</w:t>
      </w:r>
      <w:r w:rsidR="0013032F" w:rsidRPr="00E36788">
        <w:t xml:space="preserve"> </w:t>
      </w:r>
      <w:r w:rsidRPr="00E36788">
        <w:t>$16.27</w:t>
      </w:r>
      <w:r w:rsidR="0013032F" w:rsidRPr="00E36788">
        <w:t xml:space="preserve"> </w:t>
      </w:r>
      <w:r w:rsidRPr="00E36788">
        <w:t>million</w:t>
      </w:r>
      <w:r w:rsidR="0013032F" w:rsidRPr="00E36788">
        <w:t xml:space="preserve"> </w:t>
      </w:r>
      <w:r w:rsidRPr="00E36788">
        <w:t>in</w:t>
      </w:r>
      <w:r w:rsidR="0013032F" w:rsidRPr="00E36788">
        <w:t xml:space="preserve"> </w:t>
      </w:r>
      <w:r w:rsidRPr="00E36788">
        <w:t>grants.</w:t>
      </w:r>
    </w:p>
    <w:p w14:paraId="047FBD32" w14:textId="4CC5E3A3" w:rsidR="00757772" w:rsidRPr="00E36788" w:rsidRDefault="00305D3C" w:rsidP="00E36788">
      <w:r w:rsidRPr="00E36788">
        <w:t>The</w:t>
      </w:r>
      <w:r w:rsidR="0013032F" w:rsidRPr="00E36788">
        <w:t xml:space="preserve"> </w:t>
      </w:r>
      <w:r w:rsidRPr="00E36788">
        <w:t>2022</w:t>
      </w:r>
      <w:r w:rsidR="0013032F" w:rsidRPr="00E36788">
        <w:t xml:space="preserve"> </w:t>
      </w:r>
      <w:r w:rsidRPr="00E36788">
        <w:t>floods</w:t>
      </w:r>
      <w:r w:rsidR="0013032F" w:rsidRPr="00E36788">
        <w:t xml:space="preserve"> </w:t>
      </w:r>
      <w:r w:rsidRPr="00E36788">
        <w:t>had</w:t>
      </w:r>
      <w:r w:rsidR="0013032F" w:rsidRPr="00E36788">
        <w:t xml:space="preserve"> </w:t>
      </w:r>
      <w:r w:rsidRPr="00E36788">
        <w:t>a</w:t>
      </w:r>
      <w:r w:rsidR="0013032F" w:rsidRPr="00E36788">
        <w:t xml:space="preserve"> </w:t>
      </w:r>
      <w:r w:rsidRPr="00E36788">
        <w:t>significant</w:t>
      </w:r>
      <w:r w:rsidR="0013032F" w:rsidRPr="00E36788">
        <w:t xml:space="preserve"> </w:t>
      </w:r>
      <w:r w:rsidRPr="00E36788">
        <w:t>impact.</w:t>
      </w:r>
      <w:r w:rsidR="0013032F" w:rsidRPr="00E36788">
        <w:t xml:space="preserve"> </w:t>
      </w:r>
      <w:r w:rsidRPr="00E36788">
        <w:t>Towns</w:t>
      </w:r>
      <w:r w:rsidR="0013032F" w:rsidRPr="00E36788">
        <w:t xml:space="preserve"> </w:t>
      </w:r>
      <w:r w:rsidRPr="00E36788">
        <w:t>including</w:t>
      </w:r>
      <w:r w:rsidR="0013032F" w:rsidRPr="00E36788">
        <w:t xml:space="preserve"> </w:t>
      </w:r>
      <w:r w:rsidRPr="00E36788">
        <w:t>Rochester,</w:t>
      </w:r>
      <w:r w:rsidR="0013032F" w:rsidRPr="00E36788">
        <w:t xml:space="preserve"> </w:t>
      </w:r>
      <w:r w:rsidRPr="00E36788">
        <w:t>Echuca,</w:t>
      </w:r>
      <w:r w:rsidR="0013032F" w:rsidRPr="00E36788">
        <w:t xml:space="preserve"> </w:t>
      </w:r>
      <w:r w:rsidRPr="00E36788">
        <w:t>Bridgewater,</w:t>
      </w:r>
      <w:r w:rsidR="0013032F" w:rsidRPr="00E36788">
        <w:t xml:space="preserve"> </w:t>
      </w:r>
      <w:r w:rsidRPr="00E36788">
        <w:t>Kerang,</w:t>
      </w:r>
      <w:r w:rsidR="0013032F" w:rsidRPr="00E36788">
        <w:t xml:space="preserve"> </w:t>
      </w:r>
      <w:r w:rsidRPr="00E36788">
        <w:t>Swan</w:t>
      </w:r>
      <w:r w:rsidR="0013032F" w:rsidRPr="00E36788">
        <w:t xml:space="preserve"> </w:t>
      </w:r>
      <w:r w:rsidRPr="00E36788">
        <w:t>Hill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Mildura</w:t>
      </w:r>
      <w:r w:rsidR="0013032F" w:rsidRPr="00E36788">
        <w:t xml:space="preserve"> </w:t>
      </w:r>
      <w:r w:rsidRPr="00E36788">
        <w:t>experienced</w:t>
      </w:r>
      <w:r w:rsidR="0013032F" w:rsidRPr="00E36788">
        <w:t xml:space="preserve"> </w:t>
      </w:r>
      <w:r w:rsidRPr="00E36788">
        <w:t>inundation</w:t>
      </w:r>
      <w:r w:rsidR="0013032F" w:rsidRPr="00E36788">
        <w:t xml:space="preserve"> </w:t>
      </w:r>
      <w:r w:rsidRPr="00E36788">
        <w:t>spanning</w:t>
      </w:r>
      <w:r w:rsidR="0013032F" w:rsidRPr="00E36788">
        <w:t xml:space="preserve"> </w:t>
      </w:r>
      <w:r w:rsidRPr="00E36788">
        <w:t>many</w:t>
      </w:r>
      <w:r w:rsidR="0013032F" w:rsidRPr="00E36788">
        <w:t xml:space="preserve"> </w:t>
      </w:r>
      <w:r w:rsidRPr="00E36788">
        <w:t>weeks</w:t>
      </w:r>
      <w:r w:rsidR="0013032F" w:rsidRPr="00E36788">
        <w:t xml:space="preserve"> </w:t>
      </w:r>
      <w:r w:rsidRPr="00E36788">
        <w:t>or</w:t>
      </w:r>
      <w:r w:rsidR="0013032F" w:rsidRPr="00E36788">
        <w:t xml:space="preserve"> </w:t>
      </w:r>
      <w:r w:rsidRPr="00E36788">
        <w:t>months.</w:t>
      </w:r>
      <w:r w:rsidR="0013032F" w:rsidRPr="00E36788">
        <w:t xml:space="preserve"> </w:t>
      </w:r>
      <w:r w:rsidRPr="00E36788">
        <w:t>In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case</w:t>
      </w:r>
      <w:r w:rsidR="0013032F" w:rsidRPr="00E36788">
        <w:t xml:space="preserve"> </w:t>
      </w:r>
      <w:r w:rsidRPr="00E36788">
        <w:t>of</w:t>
      </w:r>
      <w:r w:rsidR="0013032F" w:rsidRPr="00E36788">
        <w:t xml:space="preserve"> </w:t>
      </w:r>
      <w:r w:rsidRPr="00E36788">
        <w:t>Rochester,</w:t>
      </w:r>
      <w:r w:rsidR="0013032F" w:rsidRPr="00E36788">
        <w:t xml:space="preserve"> </w:t>
      </w:r>
      <w:r w:rsidRPr="00E36788">
        <w:t>Echuca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Bridgewater,</w:t>
      </w:r>
      <w:r w:rsidR="0013032F" w:rsidRPr="00E36788">
        <w:t xml:space="preserve"> </w:t>
      </w:r>
      <w:r w:rsidRPr="00E36788">
        <w:t>homes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businesses</w:t>
      </w:r>
      <w:r w:rsidR="0013032F" w:rsidRPr="00E36788">
        <w:t xml:space="preserve"> </w:t>
      </w:r>
      <w:r w:rsidRPr="00E36788">
        <w:t>were</w:t>
      </w:r>
      <w:r w:rsidR="0013032F" w:rsidRPr="00E36788">
        <w:t xml:space="preserve"> </w:t>
      </w:r>
      <w:r w:rsidRPr="00E36788">
        <w:t>significantly</w:t>
      </w:r>
      <w:r w:rsidR="0013032F" w:rsidRPr="00E36788">
        <w:t xml:space="preserve"> </w:t>
      </w:r>
      <w:r w:rsidRPr="00E36788">
        <w:t>impacted,</w:t>
      </w:r>
      <w:r w:rsidR="0013032F" w:rsidRPr="00E36788">
        <w:t xml:space="preserve"> </w:t>
      </w:r>
      <w:r w:rsidRPr="00E36788">
        <w:t>with</w:t>
      </w:r>
      <w:r w:rsidR="0013032F" w:rsidRPr="00E36788">
        <w:t xml:space="preserve"> </w:t>
      </w:r>
      <w:r w:rsidRPr="00E36788">
        <w:t>recovery</w:t>
      </w:r>
      <w:r w:rsidR="0013032F" w:rsidRPr="00E36788">
        <w:t xml:space="preserve"> </w:t>
      </w:r>
      <w:r w:rsidRPr="00E36788">
        <w:t>still</w:t>
      </w:r>
      <w:r w:rsidR="0013032F" w:rsidRPr="00E36788">
        <w:t xml:space="preserve"> </w:t>
      </w:r>
      <w:r w:rsidRPr="00E36788">
        <w:t>continuing.</w:t>
      </w:r>
      <w:r w:rsidR="0013032F" w:rsidRPr="00E36788">
        <w:t xml:space="preserve"> </w:t>
      </w:r>
      <w:r w:rsidRPr="00E36788">
        <w:t>RDV</w:t>
      </w:r>
      <w:r w:rsidR="0013032F" w:rsidRPr="00E36788">
        <w:t xml:space="preserve"> </w:t>
      </w:r>
      <w:r w:rsidRPr="00E36788">
        <w:t>staff</w:t>
      </w:r>
      <w:r w:rsidR="0013032F" w:rsidRPr="00E36788">
        <w:t xml:space="preserve"> </w:t>
      </w:r>
      <w:r w:rsidRPr="00E36788">
        <w:t>worked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support</w:t>
      </w:r>
      <w:r w:rsidR="0013032F" w:rsidRPr="00E36788">
        <w:t xml:space="preserve"> </w:t>
      </w:r>
      <w:r w:rsidRPr="00E36788">
        <w:t>local</w:t>
      </w:r>
      <w:r w:rsidR="0013032F" w:rsidRPr="00E36788">
        <w:t xml:space="preserve"> </w:t>
      </w:r>
      <w:r w:rsidRPr="00E36788">
        <w:t>councils,</w:t>
      </w:r>
      <w:r w:rsidR="0013032F" w:rsidRPr="00E36788">
        <w:t xml:space="preserve"> </w:t>
      </w:r>
      <w:r w:rsidRPr="00E36788">
        <w:t>businesses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communities</w:t>
      </w:r>
      <w:r w:rsidR="0013032F" w:rsidRPr="00E36788">
        <w:t xml:space="preserve"> </w:t>
      </w:r>
      <w:r w:rsidRPr="00E36788">
        <w:t>through</w:t>
      </w:r>
      <w:r w:rsidR="0013032F" w:rsidRPr="00E36788">
        <w:t xml:space="preserve"> </w:t>
      </w:r>
      <w:r w:rsidRPr="00E36788">
        <w:t>this</w:t>
      </w:r>
      <w:r w:rsidR="0013032F" w:rsidRPr="00E36788">
        <w:t xml:space="preserve"> </w:t>
      </w:r>
      <w:r w:rsidRPr="00E36788">
        <w:t>challenging</w:t>
      </w:r>
      <w:r w:rsidR="0013032F" w:rsidRPr="00E36788">
        <w:t xml:space="preserve"> </w:t>
      </w:r>
      <w:r w:rsidRPr="00E36788">
        <w:t>period.</w:t>
      </w:r>
    </w:p>
    <w:p w14:paraId="3389D82B" w14:textId="36378CF1" w:rsidR="00757772" w:rsidRPr="00E36788" w:rsidRDefault="00305D3C" w:rsidP="00E36788">
      <w:r w:rsidRPr="00E36788">
        <w:t>An</w:t>
      </w:r>
      <w:r w:rsidR="0013032F" w:rsidRPr="00E36788">
        <w:t xml:space="preserve"> </w:t>
      </w:r>
      <w:r w:rsidRPr="00E36788">
        <w:t>important</w:t>
      </w:r>
      <w:r w:rsidR="0013032F" w:rsidRPr="00E36788">
        <w:t xml:space="preserve"> </w:t>
      </w:r>
      <w:r w:rsidRPr="00E36788">
        <w:t>focus</w:t>
      </w:r>
      <w:r w:rsidR="0013032F" w:rsidRPr="00E36788">
        <w:t xml:space="preserve"> </w:t>
      </w:r>
      <w:r w:rsidRPr="00E36788">
        <w:t>of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year</w:t>
      </w:r>
      <w:r w:rsidR="0013032F" w:rsidRPr="00E36788">
        <w:t xml:space="preserve"> </w:t>
      </w:r>
      <w:r w:rsidRPr="00E36788">
        <w:t>was</w:t>
      </w:r>
      <w:r w:rsidR="0013032F" w:rsidRPr="00E36788">
        <w:t xml:space="preserve"> </w:t>
      </w:r>
      <w:r w:rsidRPr="00E36788">
        <w:t>delivering</w:t>
      </w:r>
      <w:r w:rsidR="0013032F" w:rsidRPr="00E36788">
        <w:t xml:space="preserve"> </w:t>
      </w:r>
      <w:r w:rsidRPr="00E36788">
        <w:t>on</w:t>
      </w:r>
      <w:r w:rsidR="0013032F" w:rsidRPr="00E36788">
        <w:t xml:space="preserve"> </w:t>
      </w:r>
      <w:proofErr w:type="spellStart"/>
      <w:r w:rsidRPr="00E36788">
        <w:t>Galkangu</w:t>
      </w:r>
      <w:proofErr w:type="spellEnd"/>
      <w:r w:rsidR="0013032F" w:rsidRPr="00E36788">
        <w:t xml:space="preserve"> </w:t>
      </w:r>
      <w:r w:rsidRPr="00E36788">
        <w:t>–</w:t>
      </w:r>
      <w:r w:rsidR="0013032F" w:rsidRPr="00E36788">
        <w:t xml:space="preserve"> </w:t>
      </w:r>
      <w:r w:rsidRPr="00E36788">
        <w:t>Bendigo</w:t>
      </w:r>
      <w:r w:rsidR="0013032F" w:rsidRPr="00E36788">
        <w:t xml:space="preserve"> </w:t>
      </w:r>
      <w:proofErr w:type="spellStart"/>
      <w:r w:rsidRPr="00E36788">
        <w:t>GovHub</w:t>
      </w:r>
      <w:proofErr w:type="spellEnd"/>
      <w:r w:rsidRPr="00E36788">
        <w:t>.</w:t>
      </w:r>
      <w:r w:rsidR="0013032F" w:rsidRPr="00E36788">
        <w:t xml:space="preserve"> </w:t>
      </w:r>
      <w:proofErr w:type="spellStart"/>
      <w:r w:rsidRPr="00E36788">
        <w:t>Galkangu</w:t>
      </w:r>
      <w:proofErr w:type="spellEnd"/>
      <w:r w:rsidR="0013032F" w:rsidRPr="00E36788">
        <w:t xml:space="preserve"> </w:t>
      </w:r>
      <w:r w:rsidRPr="00E36788">
        <w:t>created</w:t>
      </w:r>
      <w:r w:rsidR="0013032F" w:rsidRPr="00E36788">
        <w:t xml:space="preserve"> </w:t>
      </w:r>
      <w:r w:rsidRPr="00E36788">
        <w:t>more</w:t>
      </w:r>
      <w:r w:rsidR="0013032F" w:rsidRPr="00E36788">
        <w:t xml:space="preserve"> </w:t>
      </w:r>
      <w:r w:rsidRPr="00E36788">
        <w:t>than</w:t>
      </w:r>
      <w:r w:rsidR="0013032F" w:rsidRPr="00E36788">
        <w:t xml:space="preserve"> </w:t>
      </w:r>
      <w:r w:rsidRPr="00E36788">
        <w:t>200</w:t>
      </w:r>
      <w:r w:rsidR="0013032F" w:rsidRPr="00E36788">
        <w:t xml:space="preserve"> </w:t>
      </w:r>
      <w:r w:rsidRPr="00E36788">
        <w:t>jobs</w:t>
      </w:r>
      <w:r w:rsidR="0013032F" w:rsidRPr="00E36788">
        <w:t xml:space="preserve"> </w:t>
      </w:r>
      <w:r w:rsidRPr="00E36788">
        <w:t>during</w:t>
      </w:r>
      <w:r w:rsidR="0013032F" w:rsidRPr="00E36788">
        <w:t xml:space="preserve"> </w:t>
      </w:r>
      <w:r w:rsidRPr="00E36788">
        <w:t>construction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another</w:t>
      </w:r>
      <w:r w:rsidR="0013032F" w:rsidRPr="00E36788">
        <w:t xml:space="preserve"> </w:t>
      </w:r>
      <w:r w:rsidRPr="00E36788">
        <w:t>1,200</w:t>
      </w:r>
      <w:r w:rsidR="0013032F" w:rsidRPr="00E36788">
        <w:t xml:space="preserve"> </w:t>
      </w:r>
      <w:r w:rsidRPr="00E36788">
        <w:t>indirect</w:t>
      </w:r>
      <w:r w:rsidR="0013032F" w:rsidRPr="00E36788">
        <w:t xml:space="preserve"> </w:t>
      </w:r>
      <w:r w:rsidRPr="00E36788">
        <w:t>jobs</w:t>
      </w:r>
      <w:r w:rsidR="0013032F" w:rsidRPr="00E36788">
        <w:t xml:space="preserve"> </w:t>
      </w:r>
      <w:r w:rsidRPr="00E36788">
        <w:t>have</w:t>
      </w:r>
      <w:r w:rsidR="0013032F" w:rsidRPr="00E36788">
        <w:t xml:space="preserve"> </w:t>
      </w:r>
      <w:r w:rsidRPr="00E36788">
        <w:t>been</w:t>
      </w:r>
      <w:r w:rsidR="0013032F" w:rsidRPr="00E36788">
        <w:t xml:space="preserve"> </w:t>
      </w:r>
      <w:r w:rsidRPr="00E36788">
        <w:t>supported</w:t>
      </w:r>
      <w:r w:rsidR="0013032F" w:rsidRPr="00E36788">
        <w:t xml:space="preserve"> </w:t>
      </w:r>
      <w:r w:rsidRPr="00E36788">
        <w:t>during</w:t>
      </w:r>
      <w:r w:rsidR="0013032F" w:rsidRPr="00E36788">
        <w:t xml:space="preserve"> </w:t>
      </w:r>
      <w:r w:rsidRPr="00E36788">
        <w:t>construction.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project</w:t>
      </w:r>
      <w:r w:rsidR="0013032F" w:rsidRPr="00E36788">
        <w:t xml:space="preserve"> </w:t>
      </w:r>
      <w:r w:rsidRPr="00E36788">
        <w:t>is</w:t>
      </w:r>
      <w:r w:rsidR="0013032F" w:rsidRPr="00E36788">
        <w:t xml:space="preserve"> </w:t>
      </w:r>
      <w:r w:rsidRPr="00E36788">
        <w:t>expected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inject</w:t>
      </w:r>
      <w:r w:rsidR="0013032F" w:rsidRPr="00E36788">
        <w:t xml:space="preserve"> </w:t>
      </w:r>
      <w:r w:rsidRPr="00E36788">
        <w:t>$131</w:t>
      </w:r>
      <w:r w:rsidR="0013032F" w:rsidRPr="00E36788">
        <w:t xml:space="preserve"> </w:t>
      </w:r>
      <w:r w:rsidRPr="00E36788">
        <w:t>million</w:t>
      </w:r>
      <w:r w:rsidR="0013032F" w:rsidRPr="00E36788">
        <w:t xml:space="preserve"> </w:t>
      </w:r>
      <w:r w:rsidRPr="00E36788">
        <w:t>into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local</w:t>
      </w:r>
      <w:r w:rsidR="0013032F" w:rsidRPr="00E36788">
        <w:t xml:space="preserve"> </w:t>
      </w:r>
      <w:r w:rsidRPr="00E36788">
        <w:t>economy</w:t>
      </w:r>
      <w:r w:rsidR="0013032F" w:rsidRPr="00E36788">
        <w:t xml:space="preserve"> </w:t>
      </w:r>
      <w:r w:rsidRPr="00E36788">
        <w:t>each</w:t>
      </w:r>
      <w:r w:rsidR="0013032F" w:rsidRPr="00E36788">
        <w:t xml:space="preserve"> </w:t>
      </w:r>
      <w:r w:rsidRPr="00E36788">
        <w:t>year</w:t>
      </w:r>
      <w:r w:rsidR="0013032F" w:rsidRPr="00E36788">
        <w:t xml:space="preserve"> </w:t>
      </w:r>
      <w:r w:rsidRPr="00E36788">
        <w:t>through</w:t>
      </w:r>
      <w:r w:rsidR="0013032F" w:rsidRPr="00E36788">
        <w:t xml:space="preserve"> </w:t>
      </w:r>
      <w:r w:rsidRPr="00E36788">
        <w:t>flow-on</w:t>
      </w:r>
      <w:r w:rsidR="0013032F" w:rsidRPr="00E36788">
        <w:t xml:space="preserve"> </w:t>
      </w:r>
      <w:r w:rsidRPr="00E36788">
        <w:t>benefits.</w:t>
      </w:r>
    </w:p>
    <w:p w14:paraId="4A36BB84" w14:textId="01CBFC19" w:rsidR="00757772" w:rsidRPr="00E36788" w:rsidRDefault="00305D3C" w:rsidP="00E36788">
      <w:r w:rsidRPr="00E36788">
        <w:t>The</w:t>
      </w:r>
      <w:r w:rsidR="0013032F" w:rsidRPr="00E36788">
        <w:t xml:space="preserve"> </w:t>
      </w:r>
      <w:r w:rsidRPr="00E36788">
        <w:t>state-of-the-art</w:t>
      </w:r>
      <w:r w:rsidR="0013032F" w:rsidRPr="00E36788">
        <w:t xml:space="preserve"> </w:t>
      </w:r>
      <w:proofErr w:type="spellStart"/>
      <w:r w:rsidRPr="00E36788">
        <w:t>GovHub</w:t>
      </w:r>
      <w:proofErr w:type="spellEnd"/>
      <w:r w:rsidR="0013032F" w:rsidRPr="00E36788">
        <w:t xml:space="preserve"> </w:t>
      </w:r>
      <w:r w:rsidRPr="00E36788">
        <w:t>also</w:t>
      </w:r>
      <w:r w:rsidR="0013032F" w:rsidRPr="00E36788">
        <w:t xml:space="preserve"> </w:t>
      </w:r>
      <w:r w:rsidRPr="00E36788">
        <w:t>features</w:t>
      </w:r>
      <w:r w:rsidR="0013032F" w:rsidRPr="00E36788">
        <w:t xml:space="preserve"> </w:t>
      </w:r>
      <w:r w:rsidRPr="00E36788">
        <w:t>a</w:t>
      </w:r>
      <w:r w:rsidR="0013032F" w:rsidRPr="00E36788">
        <w:t xml:space="preserve"> </w:t>
      </w:r>
      <w:r w:rsidRPr="00E36788">
        <w:t>6-Star</w:t>
      </w:r>
      <w:r w:rsidR="0013032F" w:rsidRPr="00E36788">
        <w:t xml:space="preserve"> </w:t>
      </w:r>
      <w:r w:rsidRPr="00E36788">
        <w:t>Green</w:t>
      </w:r>
      <w:r w:rsidR="0013032F" w:rsidRPr="00E36788">
        <w:t xml:space="preserve"> </w:t>
      </w:r>
      <w:r w:rsidRPr="00E36788">
        <w:t>rating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includes</w:t>
      </w:r>
      <w:r w:rsidR="0013032F" w:rsidRPr="00E36788">
        <w:t xml:space="preserve"> </w:t>
      </w:r>
      <w:r w:rsidRPr="00E36788">
        <w:t>energy</w:t>
      </w:r>
      <w:r w:rsidR="0013032F" w:rsidRPr="00E36788">
        <w:t xml:space="preserve"> </w:t>
      </w:r>
      <w:r w:rsidRPr="00E36788">
        <w:t>efficient</w:t>
      </w:r>
      <w:r w:rsidR="0013032F" w:rsidRPr="00E36788">
        <w:t xml:space="preserve"> </w:t>
      </w:r>
      <w:r w:rsidRPr="00E36788">
        <w:t>indoor</w:t>
      </w:r>
      <w:r w:rsidR="0013032F" w:rsidRPr="00E36788">
        <w:t xml:space="preserve"> </w:t>
      </w:r>
      <w:r w:rsidRPr="00E36788">
        <w:t>air-quality</w:t>
      </w:r>
      <w:r w:rsidR="0013032F" w:rsidRPr="00E36788">
        <w:t xml:space="preserve"> </w:t>
      </w:r>
      <w:r w:rsidRPr="00E36788">
        <w:t>systems,</w:t>
      </w:r>
      <w:r w:rsidR="0013032F" w:rsidRPr="00E36788">
        <w:t xml:space="preserve"> </w:t>
      </w:r>
      <w:r w:rsidRPr="00E36788">
        <w:t>solar</w:t>
      </w:r>
      <w:r w:rsidR="0013032F" w:rsidRPr="00E36788">
        <w:t xml:space="preserve"> </w:t>
      </w:r>
      <w:r w:rsidRPr="00E36788">
        <w:t>panels,</w:t>
      </w:r>
      <w:r w:rsidR="0013032F" w:rsidRPr="00E36788">
        <w:t xml:space="preserve"> </w:t>
      </w:r>
      <w:r w:rsidRPr="00E36788">
        <w:t>water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energy</w:t>
      </w:r>
      <w:r w:rsidR="0013032F" w:rsidRPr="00E36788">
        <w:t xml:space="preserve"> </w:t>
      </w:r>
      <w:r w:rsidRPr="00E36788">
        <w:t>monitoring</w:t>
      </w:r>
      <w:r w:rsidR="0013032F" w:rsidRPr="00E36788">
        <w:t xml:space="preserve"> </w:t>
      </w:r>
      <w:r w:rsidRPr="00E36788">
        <w:t>systems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a</w:t>
      </w:r>
      <w:r w:rsidR="0013032F" w:rsidRPr="00E36788">
        <w:t xml:space="preserve"> </w:t>
      </w:r>
      <w:r w:rsidRPr="00E36788">
        <w:t>sustainable</w:t>
      </w:r>
      <w:r w:rsidR="0013032F" w:rsidRPr="00E36788">
        <w:t xml:space="preserve"> </w:t>
      </w:r>
      <w:r w:rsidRPr="00E36788">
        <w:t>timber</w:t>
      </w:r>
      <w:r w:rsidR="0013032F" w:rsidRPr="00E36788">
        <w:t xml:space="preserve"> </w:t>
      </w:r>
      <w:r w:rsidRPr="00E36788">
        <w:t>frame.</w:t>
      </w:r>
      <w:r w:rsidR="0013032F" w:rsidRPr="00E36788">
        <w:t xml:space="preserve"> </w:t>
      </w:r>
      <w:proofErr w:type="spellStart"/>
      <w:r w:rsidRPr="00E36788">
        <w:t>Galkangu</w:t>
      </w:r>
      <w:proofErr w:type="spellEnd"/>
      <w:r w:rsidR="0013032F" w:rsidRPr="00E36788">
        <w:t xml:space="preserve"> </w:t>
      </w:r>
      <w:r w:rsidRPr="00E36788">
        <w:t>is</w:t>
      </w:r>
      <w:r w:rsidR="0013032F" w:rsidRPr="00E36788">
        <w:t xml:space="preserve"> </w:t>
      </w:r>
      <w:r w:rsidRPr="00E36788">
        <w:t>from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Dja</w:t>
      </w:r>
      <w:r w:rsidR="0013032F" w:rsidRPr="00E36788">
        <w:t xml:space="preserve"> </w:t>
      </w:r>
      <w:proofErr w:type="spellStart"/>
      <w:r w:rsidRPr="00E36788">
        <w:t>Dja</w:t>
      </w:r>
      <w:proofErr w:type="spellEnd"/>
      <w:r w:rsidR="0013032F" w:rsidRPr="00E36788">
        <w:t xml:space="preserve"> </w:t>
      </w:r>
      <w:r w:rsidRPr="00E36788">
        <w:t>Wurrung</w:t>
      </w:r>
      <w:r w:rsidR="0013032F" w:rsidRPr="00E36788">
        <w:t xml:space="preserve"> </w:t>
      </w:r>
      <w:r w:rsidRPr="00E36788">
        <w:t>language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means</w:t>
      </w:r>
      <w:r w:rsidRPr="00E36788">
        <w:t> </w:t>
      </w:r>
      <w:r w:rsidRPr="00E36788">
        <w:t>’build</w:t>
      </w:r>
      <w:r w:rsidR="0013032F" w:rsidRPr="00E36788">
        <w:t xml:space="preserve"> </w:t>
      </w:r>
      <w:r w:rsidRPr="00E36788">
        <w:t>together,</w:t>
      </w:r>
      <w:r w:rsidR="0013032F" w:rsidRPr="00E36788">
        <w:t xml:space="preserve"> </w:t>
      </w:r>
      <w:r w:rsidRPr="00E36788">
        <w:t>we</w:t>
      </w:r>
      <w:r w:rsidR="0013032F" w:rsidRPr="00E36788">
        <w:t xml:space="preserve"> </w:t>
      </w:r>
      <w:r w:rsidRPr="00E36788">
        <w:t>make</w:t>
      </w:r>
      <w:r w:rsidR="0013032F" w:rsidRPr="00E36788">
        <w:t xml:space="preserve"> </w:t>
      </w:r>
      <w:r w:rsidRPr="00E36788">
        <w:t>together,</w:t>
      </w:r>
      <w:r w:rsidR="0013032F" w:rsidRPr="00E36788">
        <w:t xml:space="preserve"> </w:t>
      </w:r>
      <w:r w:rsidRPr="00E36788">
        <w:t>make</w:t>
      </w:r>
      <w:r w:rsidR="0013032F" w:rsidRPr="00E36788">
        <w:t xml:space="preserve"> </w:t>
      </w:r>
      <w:r w:rsidRPr="00E36788">
        <w:t>things</w:t>
      </w:r>
      <w:r w:rsidR="0013032F" w:rsidRPr="00E36788">
        <w:t xml:space="preserve"> </w:t>
      </w:r>
      <w:r w:rsidRPr="00E36788">
        <w:t>happen</w:t>
      </w:r>
      <w:r w:rsidR="0013032F" w:rsidRPr="00E36788">
        <w:t xml:space="preserve"> </w:t>
      </w:r>
      <w:r w:rsidRPr="00E36788">
        <w:t>together,</w:t>
      </w:r>
      <w:r w:rsidR="0013032F" w:rsidRPr="00E36788">
        <w:t xml:space="preserve"> </w:t>
      </w:r>
      <w:r w:rsidRPr="00E36788">
        <w:t>more</w:t>
      </w:r>
      <w:r w:rsidR="0013032F" w:rsidRPr="00E36788">
        <w:t xml:space="preserve"> </w:t>
      </w:r>
      <w:r w:rsidRPr="00E36788">
        <w:t>connected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Country.’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name</w:t>
      </w:r>
      <w:r w:rsidR="0013032F" w:rsidRPr="00E36788">
        <w:t xml:space="preserve"> </w:t>
      </w:r>
      <w:r w:rsidRPr="00E36788">
        <w:t>was</w:t>
      </w:r>
      <w:r w:rsidR="0013032F" w:rsidRPr="00E36788">
        <w:t xml:space="preserve"> </w:t>
      </w:r>
      <w:r w:rsidRPr="00E36788">
        <w:t>selected</w:t>
      </w:r>
      <w:r w:rsidR="0013032F" w:rsidRPr="00E36788">
        <w:t xml:space="preserve"> </w:t>
      </w:r>
      <w:r w:rsidRPr="00E36788">
        <w:t>after</w:t>
      </w:r>
      <w:r w:rsidR="0013032F" w:rsidRPr="00E36788">
        <w:t xml:space="preserve"> </w:t>
      </w:r>
      <w:r w:rsidRPr="00E36788">
        <w:t>consultation</w:t>
      </w:r>
      <w:r w:rsidR="0013032F" w:rsidRPr="00E36788">
        <w:t xml:space="preserve"> </w:t>
      </w:r>
      <w:r w:rsidRPr="00E36788">
        <w:t>with</w:t>
      </w:r>
      <w:r w:rsidR="0013032F" w:rsidRPr="00E36788">
        <w:t xml:space="preserve"> </w:t>
      </w:r>
      <w:r w:rsidRPr="00E36788">
        <w:t>Traditional</w:t>
      </w:r>
      <w:r w:rsidR="0013032F" w:rsidRPr="00E36788">
        <w:t xml:space="preserve"> </w:t>
      </w:r>
      <w:r w:rsidRPr="00E36788">
        <w:t>Owners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Geographic</w:t>
      </w:r>
      <w:r w:rsidR="0013032F" w:rsidRPr="00E36788">
        <w:t xml:space="preserve"> </w:t>
      </w:r>
      <w:r w:rsidRPr="00E36788">
        <w:t>Na</w:t>
      </w:r>
      <w:r w:rsidRPr="00E36788">
        <w:t>mes</w:t>
      </w:r>
      <w:r w:rsidR="0013032F" w:rsidRPr="00E36788">
        <w:t xml:space="preserve"> </w:t>
      </w:r>
      <w:r w:rsidRPr="00E36788">
        <w:t>Victoria.</w:t>
      </w:r>
    </w:p>
    <w:p w14:paraId="569C0769" w14:textId="10900EE7" w:rsidR="00757772" w:rsidRPr="00E36788" w:rsidRDefault="00305D3C" w:rsidP="00E36788">
      <w:r w:rsidRPr="00E36788">
        <w:t>This</w:t>
      </w:r>
      <w:r w:rsidR="0013032F" w:rsidRPr="00E36788">
        <w:t xml:space="preserve"> </w:t>
      </w:r>
      <w:r w:rsidRPr="00E36788">
        <w:t>is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first</w:t>
      </w:r>
      <w:r w:rsidR="0013032F" w:rsidRPr="00E36788">
        <w:t xml:space="preserve"> </w:t>
      </w:r>
      <w:proofErr w:type="spellStart"/>
      <w:r w:rsidRPr="00E36788">
        <w:t>GovHub</w:t>
      </w:r>
      <w:proofErr w:type="spellEnd"/>
      <w:r w:rsidR="0013032F" w:rsidRPr="00E36788">
        <w:t xml:space="preserve"> </w:t>
      </w:r>
      <w:r w:rsidRPr="00E36788">
        <w:t>in</w:t>
      </w:r>
      <w:r w:rsidR="0013032F" w:rsidRPr="00E36788">
        <w:t xml:space="preserve"> </w:t>
      </w:r>
      <w:r w:rsidRPr="00E36788">
        <w:t>Victoria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bring</w:t>
      </w:r>
      <w:r w:rsidR="0013032F" w:rsidRPr="00E36788">
        <w:t xml:space="preserve"> </w:t>
      </w:r>
      <w:r w:rsidRPr="00E36788">
        <w:t>Victorian</w:t>
      </w:r>
      <w:r w:rsidR="0013032F" w:rsidRPr="00E36788">
        <w:t xml:space="preserve"> </w:t>
      </w:r>
      <w:r w:rsidRPr="00E36788">
        <w:t>Government</w:t>
      </w:r>
      <w:r w:rsidR="0013032F" w:rsidRPr="00E36788">
        <w:t xml:space="preserve"> </w:t>
      </w:r>
      <w:r w:rsidRPr="00E36788">
        <w:t>departments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local</w:t>
      </w:r>
      <w:r w:rsidR="0013032F" w:rsidRPr="00E36788">
        <w:t xml:space="preserve"> </w:t>
      </w:r>
      <w:r w:rsidRPr="00E36788">
        <w:t>council</w:t>
      </w:r>
      <w:r w:rsidR="0013032F" w:rsidRPr="00E36788">
        <w:t xml:space="preserve"> </w:t>
      </w:r>
      <w:r w:rsidRPr="00E36788">
        <w:t>together</w:t>
      </w:r>
      <w:r w:rsidR="0013032F" w:rsidRPr="00E36788">
        <w:t xml:space="preserve"> </w:t>
      </w:r>
      <w:r w:rsidRPr="00E36788">
        <w:t>in</w:t>
      </w:r>
      <w:r w:rsidR="0013032F" w:rsidRPr="00E36788">
        <w:t xml:space="preserve"> </w:t>
      </w:r>
      <w:r w:rsidRPr="00E36788">
        <w:t>one</w:t>
      </w:r>
      <w:r w:rsidR="0013032F" w:rsidRPr="00E36788">
        <w:t xml:space="preserve"> </w:t>
      </w:r>
      <w:r w:rsidRPr="00E36788">
        <w:t>centre.</w:t>
      </w:r>
    </w:p>
    <w:p w14:paraId="3AD52EEC" w14:textId="2464C404" w:rsidR="00757772" w:rsidRPr="00E36788" w:rsidRDefault="00305D3C" w:rsidP="00E36788">
      <w:r w:rsidRPr="00E36788">
        <w:lastRenderedPageBreak/>
        <w:t>The</w:t>
      </w:r>
      <w:r w:rsidR="0013032F" w:rsidRPr="00E36788">
        <w:t xml:space="preserve"> </w:t>
      </w:r>
      <w:r w:rsidRPr="00E36788">
        <w:t>RDV</w:t>
      </w:r>
      <w:r w:rsidR="0013032F" w:rsidRPr="00E36788">
        <w:t xml:space="preserve"> </w:t>
      </w:r>
      <w:r w:rsidRPr="00E36788">
        <w:t>team</w:t>
      </w:r>
      <w:r w:rsidR="0013032F" w:rsidRPr="00E36788">
        <w:t xml:space="preserve"> </w:t>
      </w:r>
      <w:r w:rsidRPr="00E36788">
        <w:t>provided</w:t>
      </w:r>
      <w:r w:rsidR="0013032F" w:rsidRPr="00E36788">
        <w:t xml:space="preserve"> </w:t>
      </w:r>
      <w:r w:rsidRPr="00E36788">
        <w:t>support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Loddon</w:t>
      </w:r>
      <w:r w:rsidR="0013032F" w:rsidRPr="00E36788">
        <w:t xml:space="preserve"> </w:t>
      </w:r>
      <w:r w:rsidRPr="00E36788">
        <w:t>Campaspe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Mallee</w:t>
      </w:r>
      <w:r w:rsidR="0013032F" w:rsidRPr="00E36788">
        <w:t xml:space="preserve"> </w:t>
      </w:r>
      <w:r w:rsidRPr="00E36788">
        <w:t>Regional</w:t>
      </w:r>
      <w:r w:rsidR="0013032F" w:rsidRPr="00E36788">
        <w:t xml:space="preserve"> </w:t>
      </w:r>
      <w:r w:rsidRPr="00E36788">
        <w:t>Partnerships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Regional</w:t>
      </w:r>
      <w:r w:rsidR="0013032F" w:rsidRPr="00E36788">
        <w:t xml:space="preserve"> </w:t>
      </w:r>
      <w:r w:rsidRPr="00E36788">
        <w:t>Development</w:t>
      </w:r>
      <w:r w:rsidR="0013032F" w:rsidRPr="00E36788">
        <w:t xml:space="preserve"> </w:t>
      </w:r>
      <w:r w:rsidRPr="00E36788">
        <w:t>Australia</w:t>
      </w:r>
      <w:r w:rsidR="0013032F" w:rsidRPr="00E36788">
        <w:t xml:space="preserve"> </w:t>
      </w:r>
      <w:r w:rsidRPr="00E36788">
        <w:t>Committee,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played</w:t>
      </w:r>
      <w:r w:rsidR="0013032F" w:rsidRPr="00E36788">
        <w:t xml:space="preserve"> </w:t>
      </w:r>
      <w:r w:rsidRPr="00E36788">
        <w:t>a</w:t>
      </w:r>
      <w:r w:rsidR="0013032F" w:rsidRPr="00E36788">
        <w:t xml:space="preserve"> </w:t>
      </w:r>
      <w:r w:rsidRPr="00E36788">
        <w:t>critical</w:t>
      </w:r>
      <w:r w:rsidR="0013032F" w:rsidRPr="00E36788">
        <w:t xml:space="preserve"> </w:t>
      </w:r>
      <w:r w:rsidRPr="00E36788">
        <w:t>role</w:t>
      </w:r>
      <w:r w:rsidR="0013032F" w:rsidRPr="00E36788">
        <w:t xml:space="preserve"> </w:t>
      </w:r>
      <w:r w:rsidRPr="00E36788">
        <w:t>in</w:t>
      </w:r>
      <w:r w:rsidR="0013032F" w:rsidRPr="00E36788">
        <w:t xml:space="preserve"> </w:t>
      </w:r>
      <w:r w:rsidRPr="00E36788">
        <w:t>creating</w:t>
      </w:r>
      <w:r w:rsidR="0013032F" w:rsidRPr="00E36788">
        <w:t xml:space="preserve"> </w:t>
      </w:r>
      <w:r w:rsidRPr="00E36788">
        <w:t>opportunities</w:t>
      </w:r>
      <w:r w:rsidR="0013032F" w:rsidRPr="00E36788">
        <w:t xml:space="preserve"> </w:t>
      </w:r>
      <w:r w:rsidRPr="00E36788">
        <w:t>for</w:t>
      </w:r>
      <w:r w:rsidR="0013032F" w:rsidRPr="00E36788">
        <w:t xml:space="preserve"> </w:t>
      </w:r>
      <w:r w:rsidRPr="00E36788">
        <w:t>our</w:t>
      </w:r>
      <w:r w:rsidR="0013032F" w:rsidRPr="00E36788">
        <w:t xml:space="preserve"> </w:t>
      </w:r>
      <w:r w:rsidRPr="00E36788">
        <w:t>rural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regional</w:t>
      </w:r>
      <w:r w:rsidR="0013032F" w:rsidRPr="00E36788">
        <w:t xml:space="preserve"> </w:t>
      </w:r>
      <w:r w:rsidRPr="00E36788">
        <w:t>towns</w:t>
      </w:r>
      <w:r w:rsidR="0013032F" w:rsidRPr="00E36788">
        <w:t xml:space="preserve"> </w:t>
      </w:r>
      <w:r w:rsidRPr="00E36788">
        <w:t>and</w:t>
      </w:r>
      <w:r w:rsidR="0013032F" w:rsidRPr="00E36788">
        <w:t xml:space="preserve"> </w:t>
      </w:r>
      <w:r w:rsidRPr="00E36788">
        <w:t>cities.</w:t>
      </w:r>
    </w:p>
    <w:p w14:paraId="1F75F42B" w14:textId="51B19D9C" w:rsidR="00757772" w:rsidRPr="00E36788" w:rsidRDefault="00305D3C" w:rsidP="00E36788">
      <w:r w:rsidRPr="00E36788">
        <w:t>All</w:t>
      </w:r>
      <w:r w:rsidR="0013032F" w:rsidRPr="00E36788">
        <w:t xml:space="preserve"> </w:t>
      </w:r>
      <w:r w:rsidRPr="00E36788">
        <w:t>3</w:t>
      </w:r>
      <w:r w:rsidR="0013032F" w:rsidRPr="00E36788">
        <w:t xml:space="preserve"> </w:t>
      </w:r>
      <w:r w:rsidRPr="00E36788">
        <w:t>committees</w:t>
      </w:r>
      <w:r w:rsidR="0013032F" w:rsidRPr="00E36788">
        <w:t xml:space="preserve"> </w:t>
      </w:r>
      <w:r w:rsidRPr="00E36788">
        <w:t>have</w:t>
      </w:r>
      <w:r w:rsidR="0013032F" w:rsidRPr="00E36788">
        <w:t xml:space="preserve"> </w:t>
      </w:r>
      <w:r w:rsidRPr="00E36788">
        <w:t>supported</w:t>
      </w:r>
      <w:r w:rsidR="0013032F" w:rsidRPr="00E36788">
        <w:t xml:space="preserve"> </w:t>
      </w:r>
      <w:r w:rsidRPr="00E36788">
        <w:t>strategic</w:t>
      </w:r>
      <w:r w:rsidR="0013032F" w:rsidRPr="00E36788">
        <w:t xml:space="preserve"> </w:t>
      </w:r>
      <w:r w:rsidRPr="00E36788">
        <w:t>projects</w:t>
      </w:r>
      <w:r w:rsidR="0013032F" w:rsidRPr="00E36788">
        <w:t xml:space="preserve"> </w:t>
      </w:r>
      <w:r w:rsidRPr="00E36788">
        <w:t>to</w:t>
      </w:r>
      <w:r w:rsidR="0013032F" w:rsidRPr="00E36788">
        <w:t xml:space="preserve"> </w:t>
      </w:r>
      <w:r w:rsidRPr="00E36788">
        <w:t>help</w:t>
      </w:r>
      <w:r w:rsidR="0013032F" w:rsidRPr="00E36788">
        <w:t xml:space="preserve"> </w:t>
      </w:r>
      <w:r w:rsidRPr="00E36788">
        <w:t>understand</w:t>
      </w:r>
      <w:r w:rsidR="0013032F" w:rsidRPr="00E36788">
        <w:t xml:space="preserve"> </w:t>
      </w:r>
      <w:r w:rsidRPr="00E36788">
        <w:t>some</w:t>
      </w:r>
      <w:r w:rsidR="0013032F" w:rsidRPr="00E36788">
        <w:t xml:space="preserve"> </w:t>
      </w:r>
      <w:r w:rsidRPr="00E36788">
        <w:t>of</w:t>
      </w:r>
      <w:r w:rsidR="0013032F" w:rsidRPr="00E36788">
        <w:t xml:space="preserve"> </w:t>
      </w:r>
      <w:r w:rsidRPr="00E36788">
        <w:t>the</w:t>
      </w:r>
      <w:r w:rsidR="0013032F" w:rsidRPr="00E36788">
        <w:t xml:space="preserve"> </w:t>
      </w:r>
      <w:r w:rsidRPr="00E36788">
        <w:t>most</w:t>
      </w:r>
      <w:r w:rsidR="0013032F" w:rsidRPr="00E36788">
        <w:t xml:space="preserve"> </w:t>
      </w:r>
      <w:r w:rsidRPr="00E36788">
        <w:t>pressing</w:t>
      </w:r>
      <w:r w:rsidR="0013032F" w:rsidRPr="00E36788">
        <w:t xml:space="preserve"> </w:t>
      </w:r>
      <w:r w:rsidRPr="00E36788">
        <w:t>challenges</w:t>
      </w:r>
      <w:r w:rsidR="0013032F" w:rsidRPr="00E36788">
        <w:t xml:space="preserve"> </w:t>
      </w:r>
      <w:r w:rsidRPr="00E36788">
        <w:t>in</w:t>
      </w:r>
      <w:r w:rsidR="0013032F" w:rsidRPr="00E36788">
        <w:t xml:space="preserve"> </w:t>
      </w:r>
      <w:r w:rsidRPr="00E36788">
        <w:t>Loddon</w:t>
      </w:r>
      <w:r w:rsidR="0013032F" w:rsidRPr="00E36788">
        <w:t xml:space="preserve"> </w:t>
      </w:r>
      <w:r w:rsidRPr="00E36788">
        <w:t>Mallee.</w:t>
      </w:r>
    </w:p>
    <w:p w14:paraId="0B24E6B2" w14:textId="77A95D18" w:rsidR="00757772" w:rsidRPr="00E36788" w:rsidRDefault="00305D3C" w:rsidP="00E36788">
      <w:r w:rsidRPr="00E36788">
        <w:rPr>
          <w:b/>
          <w:bCs/>
        </w:rPr>
        <w:t>Leanne</w:t>
      </w:r>
      <w:r w:rsidR="0013032F" w:rsidRPr="00E36788">
        <w:rPr>
          <w:b/>
          <w:bCs/>
        </w:rPr>
        <w:t xml:space="preserve"> </w:t>
      </w:r>
      <w:r w:rsidRPr="00E36788">
        <w:rPr>
          <w:b/>
          <w:bCs/>
        </w:rPr>
        <w:t>Rosewall</w:t>
      </w:r>
      <w:r w:rsidRPr="00E36788">
        <w:rPr>
          <w:b/>
          <w:bCs/>
        </w:rPr>
        <w:br/>
      </w:r>
      <w:r w:rsidRPr="00E36788">
        <w:t>Regional</w:t>
      </w:r>
      <w:r w:rsidR="0013032F" w:rsidRPr="00E36788">
        <w:t xml:space="preserve"> </w:t>
      </w:r>
      <w:r w:rsidRPr="00E36788">
        <w:t>Director,</w:t>
      </w:r>
      <w:r w:rsidR="0013032F" w:rsidRPr="00E36788">
        <w:t xml:space="preserve"> </w:t>
      </w:r>
      <w:r w:rsidRPr="00E36788">
        <w:t>Loddon</w:t>
      </w:r>
      <w:r w:rsidR="0013032F" w:rsidRPr="00E36788">
        <w:t xml:space="preserve"> </w:t>
      </w:r>
      <w:r w:rsidRPr="00E36788">
        <w:t>Mallee</w:t>
      </w:r>
    </w:p>
    <w:p w14:paraId="21B302AC" w14:textId="43769A01" w:rsidR="00757772" w:rsidRDefault="00305D3C" w:rsidP="0076152E">
      <w:pPr>
        <w:pStyle w:val="Heading2"/>
      </w:pPr>
      <w:bookmarkStart w:id="54" w:name="_Toc149566600"/>
      <w:r>
        <w:t>Regional</w:t>
      </w:r>
      <w:r w:rsidR="0013032F">
        <w:t xml:space="preserve"> </w:t>
      </w:r>
      <w:r>
        <w:t>highlights</w:t>
      </w:r>
      <w:bookmarkEnd w:id="54"/>
    </w:p>
    <w:p w14:paraId="6B7A4950" w14:textId="4B1AF13C" w:rsidR="00757772" w:rsidRPr="0076152E" w:rsidRDefault="00305D3C" w:rsidP="0076152E">
      <w:pPr>
        <w:pStyle w:val="Bullet"/>
      </w:pPr>
      <w:r w:rsidRPr="0076152E">
        <w:t>Led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proofErr w:type="spellStart"/>
      <w:r w:rsidRPr="0076152E">
        <w:t>Galkangu</w:t>
      </w:r>
      <w:proofErr w:type="spellEnd"/>
      <w:r w:rsidR="0013032F" w:rsidRPr="0076152E">
        <w:t xml:space="preserve"> </w:t>
      </w:r>
      <w:r w:rsidRPr="0076152E">
        <w:t>Bendigo</w:t>
      </w:r>
      <w:r w:rsidR="0013032F" w:rsidRPr="0076152E">
        <w:t xml:space="preserve"> </w:t>
      </w:r>
      <w:proofErr w:type="spellStart"/>
      <w:r w:rsidRPr="0076152E">
        <w:t>GovHub</w:t>
      </w:r>
      <w:proofErr w:type="spellEnd"/>
      <w:r w:rsidR="0013032F" w:rsidRPr="0076152E">
        <w:t xml:space="preserve"> </w:t>
      </w:r>
      <w:r w:rsidRPr="0076152E">
        <w:t>project</w:t>
      </w:r>
      <w:r w:rsidR="0013032F" w:rsidRPr="0076152E">
        <w:t xml:space="preserve"> </w:t>
      </w:r>
      <w:r w:rsidRPr="0076152E">
        <w:t>in</w:t>
      </w:r>
      <w:r w:rsidR="0013032F" w:rsidRPr="0076152E">
        <w:t xml:space="preserve"> </w:t>
      </w:r>
      <w:r w:rsidRPr="0076152E">
        <w:t>partnership</w:t>
      </w:r>
      <w:r w:rsidR="0013032F" w:rsidRPr="0076152E">
        <w:t xml:space="preserve"> </w:t>
      </w:r>
      <w:r w:rsidRPr="0076152E">
        <w:t>with</w:t>
      </w:r>
      <w:r w:rsidR="0013032F" w:rsidRPr="0076152E">
        <w:t xml:space="preserve"> </w:t>
      </w:r>
      <w:r w:rsidRPr="0076152E">
        <w:t>Development</w:t>
      </w:r>
      <w:r w:rsidR="0013032F" w:rsidRPr="0076152E">
        <w:t xml:space="preserve"> </w:t>
      </w:r>
      <w:r w:rsidRPr="0076152E">
        <w:t>Victoria</w:t>
      </w:r>
      <w:r w:rsidR="0013032F" w:rsidRPr="0076152E">
        <w:t xml:space="preserve"> </w:t>
      </w:r>
      <w:r w:rsidRPr="0076152E">
        <w:t>and</w:t>
      </w:r>
      <w:r w:rsidR="0013032F" w:rsidRPr="0076152E">
        <w:t xml:space="preserve"> </w:t>
      </w:r>
      <w:r w:rsidRPr="0076152E">
        <w:t>builders</w:t>
      </w:r>
      <w:r w:rsidR="0013032F" w:rsidRPr="0076152E">
        <w:t xml:space="preserve"> </w:t>
      </w:r>
      <w:r w:rsidRPr="0076152E">
        <w:t>Icon</w:t>
      </w:r>
      <w:r w:rsidR="0013032F" w:rsidRPr="0076152E">
        <w:t xml:space="preserve"> </w:t>
      </w:r>
      <w:r w:rsidRPr="0076152E">
        <w:t>Fairbrother</w:t>
      </w:r>
      <w:r w:rsidR="0013032F" w:rsidRPr="0076152E">
        <w:t xml:space="preserve"> </w:t>
      </w:r>
      <w:r w:rsidRPr="0076152E">
        <w:t>who</w:t>
      </w:r>
      <w:r w:rsidR="0013032F" w:rsidRPr="0076152E">
        <w:t xml:space="preserve"> </w:t>
      </w:r>
      <w:r w:rsidRPr="0076152E">
        <w:t>worked</w:t>
      </w:r>
      <w:r w:rsidR="0013032F" w:rsidRPr="0076152E">
        <w:t xml:space="preserve"> </w:t>
      </w:r>
      <w:r w:rsidRPr="0076152E">
        <w:t>alongside</w:t>
      </w:r>
      <w:r w:rsidR="0013032F" w:rsidRPr="0076152E">
        <w:t xml:space="preserve"> </w:t>
      </w:r>
      <w:r w:rsidRPr="0076152E">
        <w:t>DJAARA</w:t>
      </w:r>
      <w:r w:rsidR="0013032F" w:rsidRPr="0076152E">
        <w:t xml:space="preserve"> </w:t>
      </w:r>
      <w:r w:rsidRPr="0076152E">
        <w:t>(Dja</w:t>
      </w:r>
      <w:r w:rsidR="0013032F" w:rsidRPr="0076152E">
        <w:t xml:space="preserve"> </w:t>
      </w:r>
      <w:proofErr w:type="spellStart"/>
      <w:r w:rsidRPr="0076152E">
        <w:t>Dja</w:t>
      </w:r>
      <w:proofErr w:type="spellEnd"/>
      <w:r w:rsidR="0013032F" w:rsidRPr="0076152E">
        <w:t xml:space="preserve"> </w:t>
      </w:r>
      <w:r w:rsidRPr="0076152E">
        <w:t>Wurrung</w:t>
      </w:r>
      <w:r w:rsidR="0013032F" w:rsidRPr="0076152E">
        <w:t xml:space="preserve"> </w:t>
      </w:r>
      <w:r w:rsidRPr="0076152E">
        <w:t>Clans</w:t>
      </w:r>
      <w:r w:rsidR="0013032F" w:rsidRPr="0076152E">
        <w:t xml:space="preserve"> </w:t>
      </w:r>
      <w:r w:rsidRPr="0076152E">
        <w:t>Aboriginal</w:t>
      </w:r>
      <w:r w:rsidR="0013032F" w:rsidRPr="0076152E">
        <w:t xml:space="preserve"> </w:t>
      </w:r>
      <w:r w:rsidRPr="0076152E">
        <w:t>Corporation)</w:t>
      </w:r>
      <w:r w:rsidR="0013032F" w:rsidRPr="0076152E">
        <w:t xml:space="preserve"> </w:t>
      </w:r>
      <w:r w:rsidRPr="0076152E">
        <w:t>and</w:t>
      </w:r>
      <w:r w:rsidR="0013032F" w:rsidRPr="0076152E">
        <w:t xml:space="preserve"> </w:t>
      </w:r>
      <w:r w:rsidRPr="0076152E">
        <w:t>Traditional</w:t>
      </w:r>
      <w:r w:rsidR="0013032F" w:rsidRPr="0076152E">
        <w:t xml:space="preserve"> </w:t>
      </w:r>
      <w:r w:rsidRPr="0076152E">
        <w:t>Owners.</w:t>
      </w:r>
      <w:r w:rsidR="0013032F" w:rsidRPr="0076152E">
        <w:t xml:space="preserve"> </w:t>
      </w:r>
      <w:r w:rsidRPr="0076152E">
        <w:t>Up</w:t>
      </w:r>
      <w:r w:rsidR="0013032F" w:rsidRPr="0076152E">
        <w:t xml:space="preserve"> </w:t>
      </w:r>
      <w:r w:rsidRPr="0076152E">
        <w:t>to</w:t>
      </w:r>
      <w:r w:rsidR="0013032F" w:rsidRPr="0076152E">
        <w:t xml:space="preserve"> </w:t>
      </w:r>
      <w:r w:rsidRPr="0076152E">
        <w:t>1,000</w:t>
      </w:r>
      <w:r w:rsidR="0013032F" w:rsidRPr="0076152E">
        <w:t xml:space="preserve"> </w:t>
      </w:r>
      <w:r w:rsidRPr="0076152E">
        <w:t>Victorian</w:t>
      </w:r>
      <w:r w:rsidR="0013032F" w:rsidRPr="0076152E">
        <w:t xml:space="preserve"> </w:t>
      </w:r>
      <w:r w:rsidRPr="0076152E">
        <w:t>Government</w:t>
      </w:r>
      <w:r w:rsidR="0013032F" w:rsidRPr="0076152E">
        <w:t xml:space="preserve"> </w:t>
      </w:r>
      <w:r w:rsidRPr="0076152E">
        <w:t>and</w:t>
      </w:r>
      <w:r w:rsidR="0013032F" w:rsidRPr="0076152E">
        <w:t xml:space="preserve"> </w:t>
      </w:r>
      <w:r w:rsidRPr="0076152E">
        <w:t>City</w:t>
      </w:r>
      <w:r w:rsidR="0013032F" w:rsidRPr="0076152E">
        <w:t xml:space="preserve"> </w:t>
      </w:r>
      <w:r w:rsidRPr="0076152E">
        <w:t>of</w:t>
      </w:r>
      <w:r w:rsidR="0013032F" w:rsidRPr="0076152E">
        <w:t xml:space="preserve"> </w:t>
      </w:r>
      <w:r w:rsidRPr="0076152E">
        <w:t>Greater</w:t>
      </w:r>
      <w:r w:rsidR="0013032F" w:rsidRPr="0076152E">
        <w:t xml:space="preserve"> </w:t>
      </w:r>
      <w:r w:rsidRPr="0076152E">
        <w:t>Bendigo</w:t>
      </w:r>
      <w:r w:rsidR="0013032F" w:rsidRPr="0076152E">
        <w:t xml:space="preserve"> </w:t>
      </w:r>
      <w:r w:rsidRPr="0076152E">
        <w:t>Council</w:t>
      </w:r>
      <w:r w:rsidR="0013032F" w:rsidRPr="0076152E">
        <w:t xml:space="preserve"> </w:t>
      </w:r>
      <w:r w:rsidRPr="0076152E">
        <w:t>staff</w:t>
      </w:r>
      <w:r w:rsidR="0013032F" w:rsidRPr="0076152E">
        <w:t xml:space="preserve"> </w:t>
      </w:r>
      <w:r w:rsidRPr="0076152E">
        <w:t>will</w:t>
      </w:r>
      <w:r w:rsidR="0013032F" w:rsidRPr="0076152E">
        <w:t xml:space="preserve"> </w:t>
      </w:r>
      <w:r w:rsidRPr="0076152E">
        <w:t>work</w:t>
      </w:r>
      <w:r w:rsidR="0013032F" w:rsidRPr="0076152E">
        <w:t xml:space="preserve"> </w:t>
      </w:r>
      <w:r w:rsidRPr="0076152E">
        <w:t>together</w:t>
      </w:r>
      <w:r w:rsidR="0013032F" w:rsidRPr="0076152E">
        <w:t xml:space="preserve"> </w:t>
      </w:r>
      <w:r w:rsidRPr="0076152E">
        <w:t>in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heart</w:t>
      </w:r>
      <w:r w:rsidR="0013032F" w:rsidRPr="0076152E">
        <w:t xml:space="preserve"> </w:t>
      </w:r>
      <w:r w:rsidRPr="0076152E">
        <w:t>of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city,</w:t>
      </w:r>
      <w:r w:rsidR="0013032F" w:rsidRPr="0076152E">
        <w:t xml:space="preserve"> </w:t>
      </w:r>
      <w:r w:rsidRPr="0076152E">
        <w:t>giving</w:t>
      </w:r>
      <w:r w:rsidR="0013032F" w:rsidRPr="0076152E">
        <w:t xml:space="preserve"> </w:t>
      </w:r>
      <w:r w:rsidRPr="0076152E">
        <w:t>locals</w:t>
      </w:r>
      <w:r w:rsidR="0013032F" w:rsidRPr="0076152E">
        <w:t xml:space="preserve"> </w:t>
      </w:r>
      <w:r w:rsidRPr="0076152E">
        <w:t>a</w:t>
      </w:r>
      <w:r w:rsidR="0013032F" w:rsidRPr="0076152E">
        <w:t xml:space="preserve"> </w:t>
      </w:r>
      <w:r w:rsidRPr="0076152E">
        <w:t>one-stop-shop</w:t>
      </w:r>
      <w:r w:rsidR="0013032F" w:rsidRPr="0076152E">
        <w:t xml:space="preserve"> </w:t>
      </w:r>
      <w:r w:rsidRPr="0076152E">
        <w:t>for</w:t>
      </w:r>
      <w:r w:rsidR="0013032F" w:rsidRPr="0076152E">
        <w:t xml:space="preserve"> </w:t>
      </w:r>
      <w:r w:rsidRPr="0076152E">
        <w:t>government</w:t>
      </w:r>
      <w:r w:rsidR="0013032F" w:rsidRPr="0076152E">
        <w:t xml:space="preserve"> </w:t>
      </w:r>
      <w:r w:rsidRPr="0076152E">
        <w:t>services.</w:t>
      </w:r>
    </w:p>
    <w:p w14:paraId="4D5B712E" w14:textId="63A56C5A" w:rsidR="00757772" w:rsidRPr="0076152E" w:rsidRDefault="00305D3C" w:rsidP="0076152E">
      <w:pPr>
        <w:pStyle w:val="Bullet"/>
      </w:pPr>
      <w:r w:rsidRPr="0076152E">
        <w:t>Worked</w:t>
      </w:r>
      <w:r w:rsidR="0013032F" w:rsidRPr="0076152E">
        <w:t xml:space="preserve"> </w:t>
      </w:r>
      <w:r w:rsidRPr="0076152E">
        <w:t>with</w:t>
      </w:r>
      <w:r w:rsidR="0013032F" w:rsidRPr="0076152E">
        <w:t xml:space="preserve"> </w:t>
      </w:r>
      <w:r w:rsidRPr="0076152E">
        <w:t>Central</w:t>
      </w:r>
      <w:r w:rsidR="0013032F" w:rsidRPr="0076152E">
        <w:t xml:space="preserve"> </w:t>
      </w:r>
      <w:r w:rsidRPr="0076152E">
        <w:t>Goldfields</w:t>
      </w:r>
      <w:r w:rsidR="0013032F" w:rsidRPr="0076152E">
        <w:t xml:space="preserve"> </w:t>
      </w:r>
      <w:r w:rsidRPr="0076152E">
        <w:t>Shire</w:t>
      </w:r>
      <w:r w:rsidR="0013032F" w:rsidRPr="0076152E">
        <w:t xml:space="preserve"> </w:t>
      </w:r>
      <w:r w:rsidRPr="0076152E">
        <w:t>Council</w:t>
      </w:r>
      <w:r w:rsidR="0013032F" w:rsidRPr="0076152E">
        <w:t xml:space="preserve"> </w:t>
      </w:r>
      <w:r w:rsidRPr="0076152E">
        <w:t>to</w:t>
      </w:r>
      <w:r w:rsidR="0013032F" w:rsidRPr="0076152E">
        <w:t xml:space="preserve"> </w:t>
      </w:r>
      <w:r w:rsidRPr="0076152E">
        <w:t>transform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Maryborough</w:t>
      </w:r>
      <w:r w:rsidR="0013032F" w:rsidRPr="0076152E">
        <w:t xml:space="preserve"> </w:t>
      </w:r>
      <w:r w:rsidRPr="0076152E">
        <w:t>Railway</w:t>
      </w:r>
      <w:r w:rsidR="0013032F" w:rsidRPr="0076152E">
        <w:t xml:space="preserve"> </w:t>
      </w:r>
      <w:r w:rsidRPr="0076152E">
        <w:t>Station.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project</w:t>
      </w:r>
      <w:r w:rsidR="0013032F" w:rsidRPr="0076152E">
        <w:t xml:space="preserve"> </w:t>
      </w:r>
      <w:r w:rsidRPr="0076152E">
        <w:t>received</w:t>
      </w:r>
      <w:r w:rsidR="0013032F" w:rsidRPr="0076152E">
        <w:t xml:space="preserve"> </w:t>
      </w:r>
      <w:r w:rsidRPr="0076152E">
        <w:t>$1,800,000</w:t>
      </w:r>
      <w:r w:rsidR="0013032F" w:rsidRPr="0076152E">
        <w:t xml:space="preserve"> </w:t>
      </w:r>
      <w:r w:rsidRPr="0076152E">
        <w:t>from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Regional</w:t>
      </w:r>
      <w:r w:rsidR="0013032F" w:rsidRPr="0076152E">
        <w:t xml:space="preserve"> </w:t>
      </w:r>
      <w:r w:rsidRPr="0076152E">
        <w:t>Infrastructure</w:t>
      </w:r>
      <w:r w:rsidR="0013032F" w:rsidRPr="0076152E">
        <w:t xml:space="preserve"> </w:t>
      </w:r>
      <w:r w:rsidRPr="0076152E">
        <w:t>Fund</w:t>
      </w:r>
      <w:r w:rsidR="0013032F" w:rsidRPr="0076152E">
        <w:t xml:space="preserve"> </w:t>
      </w:r>
      <w:r w:rsidRPr="0076152E">
        <w:t>for</w:t>
      </w:r>
      <w:r w:rsidR="0013032F" w:rsidRPr="0076152E">
        <w:t xml:space="preserve"> </w:t>
      </w:r>
      <w:r w:rsidRPr="0076152E">
        <w:t>a</w:t>
      </w:r>
      <w:r w:rsidR="0013032F" w:rsidRPr="0076152E">
        <w:t xml:space="preserve"> </w:t>
      </w:r>
      <w:r w:rsidRPr="0076152E">
        <w:t>visitor</w:t>
      </w:r>
      <w:r w:rsidR="0013032F" w:rsidRPr="0076152E">
        <w:t xml:space="preserve"> </w:t>
      </w:r>
      <w:r w:rsidRPr="0076152E">
        <w:t>and</w:t>
      </w:r>
      <w:r w:rsidR="0013032F" w:rsidRPr="0076152E">
        <w:t xml:space="preserve"> </w:t>
      </w:r>
      <w:r w:rsidRPr="0076152E">
        <w:t>activity</w:t>
      </w:r>
      <w:r w:rsidR="0013032F" w:rsidRPr="0076152E">
        <w:t xml:space="preserve"> </w:t>
      </w:r>
      <w:r w:rsidRPr="0076152E">
        <w:t>hub</w:t>
      </w:r>
      <w:r w:rsidR="0013032F" w:rsidRPr="0076152E">
        <w:t xml:space="preserve"> </w:t>
      </w:r>
      <w:r w:rsidRPr="0076152E">
        <w:t>alongside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active</w:t>
      </w:r>
      <w:r w:rsidR="0013032F" w:rsidRPr="0076152E">
        <w:t xml:space="preserve"> </w:t>
      </w:r>
      <w:proofErr w:type="spellStart"/>
      <w:r w:rsidRPr="0076152E">
        <w:t>Vline</w:t>
      </w:r>
      <w:proofErr w:type="spellEnd"/>
      <w:r w:rsidR="0013032F" w:rsidRPr="0076152E">
        <w:t xml:space="preserve"> </w:t>
      </w:r>
      <w:r w:rsidRPr="0076152E">
        <w:t>service.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revitalised</w:t>
      </w:r>
      <w:r w:rsidR="0013032F" w:rsidRPr="0076152E">
        <w:t xml:space="preserve"> </w:t>
      </w:r>
      <w:r w:rsidRPr="0076152E">
        <w:t>heritage-listed</w:t>
      </w:r>
      <w:r w:rsidR="0013032F" w:rsidRPr="0076152E">
        <w:t xml:space="preserve"> </w:t>
      </w:r>
      <w:r w:rsidRPr="0076152E">
        <w:t>railway</w:t>
      </w:r>
      <w:r w:rsidR="0013032F" w:rsidRPr="0076152E">
        <w:t xml:space="preserve"> </w:t>
      </w:r>
      <w:r w:rsidRPr="0076152E">
        <w:t>station</w:t>
      </w:r>
      <w:r w:rsidR="0013032F" w:rsidRPr="0076152E">
        <w:t xml:space="preserve"> </w:t>
      </w:r>
      <w:r w:rsidRPr="0076152E">
        <w:t>has</w:t>
      </w:r>
      <w:r w:rsidR="0013032F" w:rsidRPr="0076152E">
        <w:t xml:space="preserve"> </w:t>
      </w:r>
      <w:r w:rsidRPr="0076152E">
        <w:t>activated</w:t>
      </w:r>
      <w:r w:rsidR="0013032F" w:rsidRPr="0076152E">
        <w:t xml:space="preserve"> </w:t>
      </w:r>
      <w:r w:rsidRPr="0076152E">
        <w:t>a</w:t>
      </w:r>
      <w:r w:rsidR="0013032F" w:rsidRPr="0076152E">
        <w:t xml:space="preserve"> </w:t>
      </w:r>
      <w:r w:rsidRPr="0076152E">
        <w:t>number</w:t>
      </w:r>
      <w:r w:rsidR="0013032F" w:rsidRPr="0076152E">
        <w:t xml:space="preserve"> </w:t>
      </w:r>
      <w:r w:rsidRPr="0076152E">
        <w:t>of</w:t>
      </w:r>
      <w:r w:rsidR="0013032F" w:rsidRPr="0076152E">
        <w:t xml:space="preserve"> </w:t>
      </w:r>
      <w:r w:rsidRPr="0076152E">
        <w:t>uses</w:t>
      </w:r>
      <w:r w:rsidR="0013032F" w:rsidRPr="0076152E">
        <w:t xml:space="preserve"> </w:t>
      </w:r>
      <w:r w:rsidRPr="0076152E">
        <w:t>including</w:t>
      </w:r>
      <w:r w:rsidR="0013032F" w:rsidRPr="0076152E">
        <w:t xml:space="preserve"> </w:t>
      </w:r>
      <w:r w:rsidRPr="0076152E">
        <w:t>a</w:t>
      </w:r>
      <w:r w:rsidR="0013032F" w:rsidRPr="0076152E">
        <w:t xml:space="preserve"> </w:t>
      </w:r>
      <w:r w:rsidRPr="0076152E">
        <w:t>new</w:t>
      </w:r>
      <w:r w:rsidR="0013032F" w:rsidRPr="0076152E">
        <w:t xml:space="preserve"> </w:t>
      </w:r>
      <w:r w:rsidRPr="0076152E">
        <w:t>visitor</w:t>
      </w:r>
      <w:r w:rsidR="0013032F" w:rsidRPr="0076152E">
        <w:t xml:space="preserve"> </w:t>
      </w:r>
      <w:r w:rsidRPr="0076152E">
        <w:t>information</w:t>
      </w:r>
      <w:r w:rsidR="0013032F" w:rsidRPr="0076152E">
        <w:t xml:space="preserve"> </w:t>
      </w:r>
      <w:r w:rsidRPr="0076152E">
        <w:t>centre;</w:t>
      </w:r>
      <w:r w:rsidR="0013032F" w:rsidRPr="0076152E">
        <w:t xml:space="preserve"> </w:t>
      </w:r>
      <w:r w:rsidRPr="0076152E">
        <w:t>a</w:t>
      </w:r>
      <w:r w:rsidR="0013032F" w:rsidRPr="0076152E">
        <w:t xml:space="preserve"> </w:t>
      </w:r>
      <w:r w:rsidRPr="0076152E">
        <w:t>community</w:t>
      </w:r>
      <w:r w:rsidR="0013032F" w:rsidRPr="0076152E">
        <w:t xml:space="preserve"> </w:t>
      </w:r>
      <w:r w:rsidRPr="0076152E">
        <w:t>creative</w:t>
      </w:r>
      <w:r w:rsidR="0013032F" w:rsidRPr="0076152E">
        <w:t xml:space="preserve"> </w:t>
      </w:r>
      <w:r w:rsidRPr="0076152E">
        <w:t>studio</w:t>
      </w:r>
      <w:r w:rsidR="0013032F" w:rsidRPr="0076152E">
        <w:t xml:space="preserve"> </w:t>
      </w:r>
      <w:r w:rsidRPr="0076152E">
        <w:t>and</w:t>
      </w:r>
      <w:r w:rsidR="0013032F" w:rsidRPr="0076152E">
        <w:t xml:space="preserve"> </w:t>
      </w:r>
      <w:r w:rsidRPr="0076152E">
        <w:t>sculpture</w:t>
      </w:r>
      <w:r w:rsidR="0013032F" w:rsidRPr="0076152E">
        <w:t xml:space="preserve"> </w:t>
      </w:r>
      <w:r w:rsidRPr="0076152E">
        <w:t>garden;</w:t>
      </w:r>
      <w:r w:rsidR="0013032F" w:rsidRPr="0076152E">
        <w:t xml:space="preserve"> </w:t>
      </w:r>
      <w:r w:rsidRPr="0076152E">
        <w:t>and</w:t>
      </w:r>
      <w:r w:rsidR="0013032F" w:rsidRPr="0076152E">
        <w:t xml:space="preserve"> </w:t>
      </w:r>
      <w:r w:rsidRPr="0076152E">
        <w:t>an</w:t>
      </w:r>
      <w:r w:rsidR="0013032F" w:rsidRPr="0076152E">
        <w:t xml:space="preserve"> </w:t>
      </w:r>
      <w:r w:rsidRPr="0076152E">
        <w:t>expanded</w:t>
      </w:r>
      <w:r w:rsidR="0013032F" w:rsidRPr="0076152E">
        <w:t xml:space="preserve"> </w:t>
      </w:r>
      <w:r w:rsidRPr="0076152E">
        <w:t>co-working</w:t>
      </w:r>
      <w:r w:rsidR="0013032F" w:rsidRPr="0076152E">
        <w:t xml:space="preserve"> </w:t>
      </w:r>
      <w:r w:rsidRPr="0076152E">
        <w:t>space</w:t>
      </w:r>
      <w:r w:rsidR="0013032F" w:rsidRPr="0076152E">
        <w:t xml:space="preserve"> </w:t>
      </w:r>
      <w:r w:rsidRPr="0076152E">
        <w:t>and</w:t>
      </w:r>
      <w:r w:rsidR="0013032F" w:rsidRPr="0076152E">
        <w:t xml:space="preserve"> </w:t>
      </w:r>
      <w:r w:rsidRPr="0076152E">
        <w:t>cafe.</w:t>
      </w:r>
      <w:r w:rsidR="0013032F" w:rsidRPr="0076152E">
        <w:t xml:space="preserve"> </w:t>
      </w:r>
      <w:r w:rsidRPr="0076152E">
        <w:t>Parking</w:t>
      </w:r>
      <w:r w:rsidR="0013032F" w:rsidRPr="0076152E">
        <w:t xml:space="preserve"> </w:t>
      </w:r>
      <w:r w:rsidRPr="0076152E">
        <w:t>at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station</w:t>
      </w:r>
      <w:r w:rsidR="0013032F" w:rsidRPr="0076152E">
        <w:t xml:space="preserve"> </w:t>
      </w:r>
      <w:r w:rsidRPr="0076152E">
        <w:t>has</w:t>
      </w:r>
      <w:r w:rsidR="0013032F" w:rsidRPr="0076152E">
        <w:t xml:space="preserve"> </w:t>
      </w:r>
      <w:r w:rsidRPr="0076152E">
        <w:t>been</w:t>
      </w:r>
      <w:r w:rsidR="0013032F" w:rsidRPr="0076152E">
        <w:t xml:space="preserve"> </w:t>
      </w:r>
      <w:r w:rsidRPr="0076152E">
        <w:t>updated</w:t>
      </w:r>
      <w:r w:rsidR="0013032F" w:rsidRPr="0076152E">
        <w:t xml:space="preserve"> </w:t>
      </w:r>
      <w:r w:rsidRPr="0076152E">
        <w:t>to</w:t>
      </w:r>
      <w:r w:rsidR="0013032F" w:rsidRPr="0076152E">
        <w:t xml:space="preserve"> </w:t>
      </w:r>
      <w:r w:rsidRPr="0076152E">
        <w:t>include</w:t>
      </w:r>
      <w:r w:rsidR="0013032F" w:rsidRPr="0076152E">
        <w:t xml:space="preserve"> </w:t>
      </w:r>
      <w:r w:rsidRPr="0076152E">
        <w:t>spaces</w:t>
      </w:r>
      <w:r w:rsidR="0013032F" w:rsidRPr="0076152E">
        <w:t xml:space="preserve"> </w:t>
      </w:r>
      <w:r w:rsidRPr="0076152E">
        <w:t>for</w:t>
      </w:r>
      <w:r w:rsidR="0013032F" w:rsidRPr="0076152E">
        <w:t xml:space="preserve"> </w:t>
      </w:r>
      <w:r w:rsidRPr="0076152E">
        <w:t>recreation</w:t>
      </w:r>
      <w:r w:rsidR="0013032F" w:rsidRPr="0076152E">
        <w:t xml:space="preserve"> </w:t>
      </w:r>
      <w:r w:rsidRPr="0076152E">
        <w:t>vehicles</w:t>
      </w:r>
      <w:r w:rsidR="0013032F" w:rsidRPr="0076152E">
        <w:t xml:space="preserve"> </w:t>
      </w:r>
      <w:r w:rsidRPr="0076152E">
        <w:t>and</w:t>
      </w:r>
      <w:r w:rsidR="0013032F" w:rsidRPr="0076152E">
        <w:t xml:space="preserve"> </w:t>
      </w:r>
      <w:r w:rsidRPr="0076152E">
        <w:t>bicycles.</w:t>
      </w:r>
    </w:p>
    <w:p w14:paraId="4811D9F0" w14:textId="6914CFAB" w:rsidR="00757772" w:rsidRPr="0076152E" w:rsidRDefault="00305D3C" w:rsidP="0076152E">
      <w:pPr>
        <w:pStyle w:val="Bullet"/>
      </w:pPr>
      <w:r w:rsidRPr="0076152E">
        <w:t>Supported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City</w:t>
      </w:r>
      <w:r w:rsidR="0013032F" w:rsidRPr="0076152E">
        <w:t xml:space="preserve"> </w:t>
      </w:r>
      <w:r w:rsidRPr="0076152E">
        <w:t>of</w:t>
      </w:r>
      <w:r w:rsidR="0013032F" w:rsidRPr="0076152E">
        <w:t xml:space="preserve"> </w:t>
      </w:r>
      <w:r w:rsidRPr="0076152E">
        <w:t>Greater</w:t>
      </w:r>
      <w:r w:rsidR="0013032F" w:rsidRPr="0076152E">
        <w:t xml:space="preserve"> </w:t>
      </w:r>
      <w:r w:rsidRPr="0076152E">
        <w:t>Bendigo</w:t>
      </w:r>
      <w:r w:rsidR="0013032F" w:rsidRPr="0076152E">
        <w:t xml:space="preserve"> </w:t>
      </w:r>
      <w:r w:rsidRPr="0076152E">
        <w:t>(</w:t>
      </w:r>
      <w:proofErr w:type="spellStart"/>
      <w:r w:rsidRPr="0076152E">
        <w:t>CoGB</w:t>
      </w:r>
      <w:proofErr w:type="spellEnd"/>
      <w:r w:rsidRPr="0076152E">
        <w:t>)</w:t>
      </w:r>
      <w:r w:rsidR="0013032F" w:rsidRPr="0076152E">
        <w:t xml:space="preserve"> </w:t>
      </w:r>
      <w:r w:rsidRPr="0076152E">
        <w:t>to</w:t>
      </w:r>
      <w:r w:rsidR="0013032F" w:rsidRPr="0076152E">
        <w:t xml:space="preserve"> </w:t>
      </w:r>
      <w:r w:rsidRPr="0076152E">
        <w:t>prepare</w:t>
      </w:r>
      <w:r w:rsidR="0013032F" w:rsidRPr="0076152E">
        <w:t xml:space="preserve"> </w:t>
      </w:r>
      <w:r w:rsidRPr="0076152E">
        <w:t>and</w:t>
      </w:r>
      <w:r w:rsidR="0013032F" w:rsidRPr="0076152E">
        <w:t xml:space="preserve"> </w:t>
      </w:r>
      <w:r w:rsidRPr="0076152E">
        <w:t>plan</w:t>
      </w:r>
      <w:r w:rsidR="0013032F" w:rsidRPr="0076152E">
        <w:t xml:space="preserve"> </w:t>
      </w:r>
      <w:r w:rsidRPr="0076152E">
        <w:t>for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Bendigo</w:t>
      </w:r>
      <w:r w:rsidR="0013032F" w:rsidRPr="0076152E">
        <w:t xml:space="preserve"> </w:t>
      </w:r>
      <w:r w:rsidRPr="0076152E">
        <w:t>Regional</w:t>
      </w:r>
      <w:r w:rsidR="0013032F" w:rsidRPr="0076152E">
        <w:t xml:space="preserve"> </w:t>
      </w:r>
      <w:r w:rsidRPr="0076152E">
        <w:t>Employment</w:t>
      </w:r>
      <w:r w:rsidR="0013032F" w:rsidRPr="0076152E">
        <w:t xml:space="preserve"> </w:t>
      </w:r>
      <w:r w:rsidRPr="0076152E">
        <w:t>Precinct.</w:t>
      </w:r>
      <w:r w:rsidR="0013032F" w:rsidRPr="0076152E">
        <w:t xml:space="preserve"> </w:t>
      </w:r>
      <w:proofErr w:type="spellStart"/>
      <w:r w:rsidRPr="0076152E">
        <w:t>CoGB</w:t>
      </w:r>
      <w:proofErr w:type="spellEnd"/>
      <w:r w:rsidR="0013032F" w:rsidRPr="0076152E">
        <w:t xml:space="preserve"> </w:t>
      </w:r>
      <w:r w:rsidRPr="0076152E">
        <w:t>has</w:t>
      </w:r>
      <w:r w:rsidR="0013032F" w:rsidRPr="0076152E">
        <w:t xml:space="preserve"> </w:t>
      </w:r>
      <w:r w:rsidRPr="0076152E">
        <w:t>purchased</w:t>
      </w:r>
      <w:r w:rsidR="0013032F" w:rsidRPr="0076152E">
        <w:t xml:space="preserve"> </w:t>
      </w:r>
      <w:r w:rsidRPr="0076152E">
        <w:t>155</w:t>
      </w:r>
      <w:r w:rsidR="0013032F" w:rsidRPr="0076152E">
        <w:t xml:space="preserve"> </w:t>
      </w:r>
      <w:r w:rsidRPr="0076152E">
        <w:t>hectares</w:t>
      </w:r>
      <w:r w:rsidR="0013032F" w:rsidRPr="0076152E">
        <w:t xml:space="preserve"> </w:t>
      </w:r>
      <w:r w:rsidRPr="0076152E">
        <w:t>of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294-hectare</w:t>
      </w:r>
      <w:r w:rsidR="0013032F" w:rsidRPr="0076152E">
        <w:t xml:space="preserve"> </w:t>
      </w:r>
      <w:r w:rsidRPr="0076152E">
        <w:t>site</w:t>
      </w:r>
      <w:r w:rsidR="0013032F" w:rsidRPr="0076152E">
        <w:t xml:space="preserve"> </w:t>
      </w:r>
      <w:r w:rsidRPr="0076152E">
        <w:t>on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outskirts</w:t>
      </w:r>
      <w:r w:rsidR="0013032F" w:rsidRPr="0076152E">
        <w:t xml:space="preserve"> </w:t>
      </w:r>
      <w:r w:rsidRPr="0076152E">
        <w:t>of</w:t>
      </w:r>
      <w:r w:rsidR="0013032F" w:rsidRPr="0076152E">
        <w:t xml:space="preserve"> </w:t>
      </w:r>
      <w:r w:rsidRPr="0076152E">
        <w:t>Marong</w:t>
      </w:r>
      <w:r w:rsidR="0013032F" w:rsidRPr="0076152E">
        <w:t xml:space="preserve"> </w:t>
      </w:r>
      <w:r w:rsidRPr="0076152E">
        <w:t>to</w:t>
      </w:r>
      <w:r w:rsidR="0013032F" w:rsidRPr="0076152E">
        <w:t xml:space="preserve"> </w:t>
      </w:r>
      <w:r w:rsidRPr="0076152E">
        <w:t>develop</w:t>
      </w:r>
      <w:r w:rsidR="0013032F" w:rsidRPr="0076152E">
        <w:t xml:space="preserve"> </w:t>
      </w:r>
      <w:r w:rsidRPr="0076152E">
        <w:t>an</w:t>
      </w:r>
      <w:r w:rsidR="0013032F" w:rsidRPr="0076152E">
        <w:t xml:space="preserve"> </w:t>
      </w:r>
      <w:r w:rsidRPr="0076152E">
        <w:t>employment</w:t>
      </w:r>
      <w:r w:rsidR="0013032F" w:rsidRPr="0076152E">
        <w:t xml:space="preserve"> </w:t>
      </w:r>
      <w:r w:rsidRPr="0076152E">
        <w:t>precinct</w:t>
      </w:r>
      <w:r w:rsidR="0013032F" w:rsidRPr="0076152E">
        <w:t xml:space="preserve"> </w:t>
      </w:r>
      <w:r w:rsidRPr="0076152E">
        <w:t>and</w:t>
      </w:r>
      <w:r w:rsidR="0013032F" w:rsidRPr="0076152E">
        <w:t xml:space="preserve"> </w:t>
      </w:r>
      <w:r w:rsidRPr="0076152E">
        <w:t>provide</w:t>
      </w:r>
      <w:r w:rsidR="0013032F" w:rsidRPr="0076152E">
        <w:t xml:space="preserve"> </w:t>
      </w:r>
      <w:r w:rsidRPr="0076152E">
        <w:t>critical</w:t>
      </w:r>
      <w:r w:rsidR="0013032F" w:rsidRPr="0076152E">
        <w:t xml:space="preserve"> </w:t>
      </w:r>
      <w:r w:rsidRPr="0076152E">
        <w:t>industrial</w:t>
      </w:r>
      <w:r w:rsidR="0013032F" w:rsidRPr="0076152E">
        <w:t xml:space="preserve"> </w:t>
      </w:r>
      <w:r w:rsidRPr="0076152E">
        <w:t>land</w:t>
      </w:r>
      <w:r w:rsidR="0013032F" w:rsidRPr="0076152E">
        <w:t xml:space="preserve"> </w:t>
      </w:r>
      <w:r w:rsidRPr="0076152E">
        <w:t>for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growing</w:t>
      </w:r>
      <w:r w:rsidR="0013032F" w:rsidRPr="0076152E">
        <w:t xml:space="preserve"> </w:t>
      </w:r>
      <w:r w:rsidRPr="0076152E">
        <w:t>city.</w:t>
      </w:r>
      <w:r w:rsidR="0013032F" w:rsidRPr="0076152E">
        <w:t xml:space="preserve"> </w:t>
      </w:r>
      <w:r w:rsidRPr="0076152E">
        <w:t>An</w:t>
      </w:r>
      <w:r w:rsidR="0013032F" w:rsidRPr="0076152E">
        <w:t xml:space="preserve"> </w:t>
      </w:r>
      <w:r w:rsidRPr="0076152E">
        <w:t>RDV</w:t>
      </w:r>
      <w:r w:rsidR="0013032F" w:rsidRPr="0076152E">
        <w:t xml:space="preserve"> </w:t>
      </w:r>
      <w:r w:rsidRPr="0076152E">
        <w:t>grant</w:t>
      </w:r>
      <w:r w:rsidR="0013032F" w:rsidRPr="0076152E">
        <w:t xml:space="preserve"> </w:t>
      </w:r>
      <w:r w:rsidRPr="0076152E">
        <w:t>supported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delivery</w:t>
      </w:r>
      <w:r w:rsidR="0013032F" w:rsidRPr="0076152E">
        <w:t xml:space="preserve"> </w:t>
      </w:r>
      <w:r w:rsidRPr="0076152E">
        <w:t>of</w:t>
      </w:r>
      <w:r w:rsidR="0013032F" w:rsidRPr="0076152E">
        <w:t xml:space="preserve"> </w:t>
      </w:r>
      <w:r w:rsidRPr="0076152E">
        <w:t>technical</w:t>
      </w:r>
      <w:r w:rsidR="0013032F" w:rsidRPr="0076152E">
        <w:t xml:space="preserve"> </w:t>
      </w:r>
      <w:r w:rsidRPr="0076152E">
        <w:t>studies</w:t>
      </w:r>
      <w:r w:rsidR="0013032F" w:rsidRPr="0076152E">
        <w:t xml:space="preserve"> </w:t>
      </w:r>
      <w:r w:rsidRPr="0076152E">
        <w:t>to</w:t>
      </w:r>
      <w:r w:rsidR="0013032F" w:rsidRPr="0076152E">
        <w:t xml:space="preserve"> </w:t>
      </w:r>
      <w:r w:rsidRPr="0076152E">
        <w:t>inform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important</w:t>
      </w:r>
      <w:r w:rsidR="0013032F" w:rsidRPr="0076152E">
        <w:t xml:space="preserve"> </w:t>
      </w:r>
      <w:r w:rsidRPr="0076152E">
        <w:t>planning</w:t>
      </w:r>
      <w:r w:rsidR="0013032F" w:rsidRPr="0076152E">
        <w:t xml:space="preserve"> </w:t>
      </w:r>
      <w:r w:rsidRPr="0076152E">
        <w:t>phase</w:t>
      </w:r>
      <w:r w:rsidR="0013032F" w:rsidRPr="0076152E">
        <w:t xml:space="preserve"> </w:t>
      </w:r>
      <w:r w:rsidRPr="0076152E">
        <w:t>of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project.</w:t>
      </w:r>
    </w:p>
    <w:p w14:paraId="6FE29910" w14:textId="45415ED2" w:rsidR="00757772" w:rsidRPr="0076152E" w:rsidRDefault="00305D3C" w:rsidP="0076152E">
      <w:pPr>
        <w:pStyle w:val="Bulletlast"/>
      </w:pPr>
      <w:r w:rsidRPr="0076152E">
        <w:t>Supported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proofErr w:type="spellStart"/>
      <w:r w:rsidRPr="0076152E">
        <w:t>CoGB</w:t>
      </w:r>
      <w:proofErr w:type="spellEnd"/>
      <w:r w:rsidR="0013032F" w:rsidRPr="0076152E">
        <w:t xml:space="preserve"> </w:t>
      </w:r>
      <w:r w:rsidRPr="0076152E">
        <w:t>to</w:t>
      </w:r>
      <w:r w:rsidR="0013032F" w:rsidRPr="0076152E">
        <w:t xml:space="preserve"> </w:t>
      </w:r>
      <w:r w:rsidRPr="0076152E">
        <w:t>finalise</w:t>
      </w:r>
      <w:r w:rsidR="0013032F" w:rsidRPr="0076152E">
        <w:t xml:space="preserve"> </w:t>
      </w:r>
      <w:r w:rsidRPr="0076152E">
        <w:t>designs</w:t>
      </w:r>
      <w:r w:rsidR="0013032F" w:rsidRPr="0076152E">
        <w:t xml:space="preserve"> </w:t>
      </w:r>
      <w:r w:rsidRPr="0076152E">
        <w:t>and</w:t>
      </w:r>
      <w:r w:rsidR="0013032F" w:rsidRPr="0076152E">
        <w:t xml:space="preserve"> </w:t>
      </w:r>
      <w:r w:rsidRPr="0076152E">
        <w:t>progress</w:t>
      </w:r>
      <w:r w:rsidR="0013032F" w:rsidRPr="0076152E">
        <w:t xml:space="preserve"> </w:t>
      </w:r>
      <w:r w:rsidRPr="0076152E">
        <w:t>planning</w:t>
      </w:r>
      <w:r w:rsidR="0013032F" w:rsidRPr="0076152E">
        <w:t xml:space="preserve"> </w:t>
      </w:r>
      <w:r w:rsidRPr="0076152E">
        <w:t>for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Bendigo</w:t>
      </w:r>
      <w:r w:rsidR="0013032F" w:rsidRPr="0076152E">
        <w:t xml:space="preserve"> </w:t>
      </w:r>
      <w:r w:rsidRPr="0076152E">
        <w:t>Art</w:t>
      </w:r>
      <w:r w:rsidR="0013032F" w:rsidRPr="0076152E">
        <w:t xml:space="preserve"> </w:t>
      </w:r>
      <w:r w:rsidRPr="0076152E">
        <w:t>Gallery</w:t>
      </w:r>
      <w:r w:rsidR="0013032F" w:rsidRPr="0076152E">
        <w:t xml:space="preserve"> </w:t>
      </w:r>
      <w:r w:rsidRPr="0076152E">
        <w:t>Redevelopment.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project</w:t>
      </w:r>
      <w:r w:rsidR="0013032F" w:rsidRPr="0076152E">
        <w:t xml:space="preserve"> </w:t>
      </w:r>
      <w:r w:rsidRPr="0076152E">
        <w:t>will</w:t>
      </w:r>
      <w:r w:rsidR="0013032F" w:rsidRPr="0076152E">
        <w:t xml:space="preserve"> </w:t>
      </w:r>
      <w:r w:rsidRPr="0076152E">
        <w:t>see</w:t>
      </w:r>
      <w:r w:rsidR="0013032F" w:rsidRPr="0076152E">
        <w:t xml:space="preserve"> </w:t>
      </w:r>
      <w:r w:rsidRPr="0076152E">
        <w:t>a</w:t>
      </w:r>
      <w:r w:rsidR="0013032F" w:rsidRPr="0076152E">
        <w:t xml:space="preserve"> </w:t>
      </w:r>
      <w:r w:rsidRPr="0076152E">
        <w:t>comprehensive</w:t>
      </w:r>
      <w:r w:rsidR="0013032F" w:rsidRPr="0076152E">
        <w:t xml:space="preserve"> </w:t>
      </w:r>
      <w:r w:rsidRPr="0076152E">
        <w:t>redevelopment</w:t>
      </w:r>
      <w:r w:rsidR="0013032F" w:rsidRPr="0076152E">
        <w:t xml:space="preserve"> </w:t>
      </w:r>
      <w:r w:rsidRPr="0076152E">
        <w:t>of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iconic</w:t>
      </w:r>
      <w:r w:rsidR="0013032F" w:rsidRPr="0076152E">
        <w:t xml:space="preserve"> </w:t>
      </w:r>
      <w:r w:rsidRPr="0076152E">
        <w:t>art</w:t>
      </w:r>
      <w:r w:rsidR="0013032F" w:rsidRPr="0076152E">
        <w:t xml:space="preserve"> </w:t>
      </w:r>
      <w:r w:rsidRPr="0076152E">
        <w:t>gallery</w:t>
      </w:r>
      <w:r w:rsidR="0013032F" w:rsidRPr="0076152E">
        <w:t xml:space="preserve"> </w:t>
      </w:r>
      <w:r w:rsidRPr="0076152E">
        <w:t>that</w:t>
      </w:r>
      <w:r w:rsidR="0013032F" w:rsidRPr="0076152E">
        <w:t xml:space="preserve"> </w:t>
      </w:r>
      <w:r w:rsidRPr="0076152E">
        <w:t>will</w:t>
      </w:r>
      <w:r w:rsidR="0013032F" w:rsidRPr="0076152E">
        <w:t xml:space="preserve"> </w:t>
      </w:r>
      <w:r w:rsidRPr="0076152E">
        <w:t>deliver</w:t>
      </w:r>
      <w:r w:rsidR="0013032F" w:rsidRPr="0076152E">
        <w:t xml:space="preserve"> </w:t>
      </w:r>
      <w:r w:rsidRPr="0076152E">
        <w:t>a</w:t>
      </w:r>
      <w:r w:rsidR="0013032F" w:rsidRPr="0076152E">
        <w:t xml:space="preserve"> </w:t>
      </w:r>
      <w:r w:rsidRPr="0076152E">
        <w:t>new</w:t>
      </w:r>
      <w:r w:rsidR="0013032F" w:rsidRPr="0076152E">
        <w:t xml:space="preserve"> </w:t>
      </w:r>
      <w:r w:rsidRPr="0076152E">
        <w:t>entrance,</w:t>
      </w:r>
      <w:r w:rsidR="0013032F" w:rsidRPr="0076152E">
        <w:t xml:space="preserve"> </w:t>
      </w:r>
      <w:r w:rsidRPr="0076152E">
        <w:t>additional</w:t>
      </w:r>
      <w:r w:rsidR="0013032F" w:rsidRPr="0076152E">
        <w:t xml:space="preserve"> </w:t>
      </w:r>
      <w:r w:rsidRPr="0076152E">
        <w:t>exhibition</w:t>
      </w:r>
      <w:r w:rsidR="0013032F" w:rsidRPr="0076152E">
        <w:t xml:space="preserve"> </w:t>
      </w:r>
      <w:r w:rsidRPr="0076152E">
        <w:t>and</w:t>
      </w:r>
      <w:r w:rsidR="0013032F" w:rsidRPr="0076152E">
        <w:t xml:space="preserve"> </w:t>
      </w:r>
      <w:r w:rsidRPr="0076152E">
        <w:t>storage</w:t>
      </w:r>
      <w:r w:rsidR="0013032F" w:rsidRPr="0076152E">
        <w:t xml:space="preserve"> </w:t>
      </w:r>
      <w:r w:rsidRPr="0076152E">
        <w:t>space,</w:t>
      </w:r>
      <w:r w:rsidR="0013032F" w:rsidRPr="0076152E">
        <w:t xml:space="preserve"> </w:t>
      </w:r>
      <w:r w:rsidRPr="0076152E">
        <w:t>a</w:t>
      </w:r>
      <w:r w:rsidR="0013032F" w:rsidRPr="0076152E">
        <w:t xml:space="preserve"> </w:t>
      </w:r>
      <w:r w:rsidRPr="0076152E">
        <w:t>Dja</w:t>
      </w:r>
      <w:r w:rsidR="0013032F" w:rsidRPr="0076152E">
        <w:t xml:space="preserve"> </w:t>
      </w:r>
      <w:proofErr w:type="spellStart"/>
      <w:r w:rsidRPr="0076152E">
        <w:t>Dja</w:t>
      </w:r>
      <w:proofErr w:type="spellEnd"/>
      <w:r w:rsidR="0013032F" w:rsidRPr="0076152E">
        <w:t xml:space="preserve"> </w:t>
      </w:r>
      <w:r w:rsidRPr="0076152E">
        <w:t>Wurrung</w:t>
      </w:r>
      <w:r w:rsidR="0013032F" w:rsidRPr="0076152E">
        <w:t xml:space="preserve"> </w:t>
      </w:r>
      <w:r w:rsidRPr="0076152E">
        <w:t>keeping</w:t>
      </w:r>
      <w:r w:rsidR="0013032F" w:rsidRPr="0076152E">
        <w:t xml:space="preserve"> </w:t>
      </w:r>
      <w:r w:rsidRPr="0076152E">
        <w:t>place</w:t>
      </w:r>
      <w:r w:rsidR="0013032F" w:rsidRPr="0076152E">
        <w:t xml:space="preserve"> </w:t>
      </w:r>
      <w:r w:rsidRPr="0076152E">
        <w:t>and</w:t>
      </w:r>
      <w:r w:rsidR="0013032F" w:rsidRPr="0076152E">
        <w:t xml:space="preserve"> </w:t>
      </w:r>
      <w:r w:rsidRPr="0076152E">
        <w:t>improved</w:t>
      </w:r>
      <w:r w:rsidR="0013032F" w:rsidRPr="0076152E">
        <w:t xml:space="preserve"> </w:t>
      </w:r>
      <w:r w:rsidRPr="0076152E">
        <w:t>dining</w:t>
      </w:r>
      <w:r w:rsidR="0013032F" w:rsidRPr="0076152E">
        <w:t xml:space="preserve"> </w:t>
      </w:r>
      <w:r w:rsidRPr="0076152E">
        <w:t>and</w:t>
      </w:r>
      <w:r w:rsidR="0013032F" w:rsidRPr="0076152E">
        <w:t xml:space="preserve"> </w:t>
      </w:r>
      <w:r w:rsidRPr="0076152E">
        <w:t>retail</w:t>
      </w:r>
      <w:r w:rsidR="0013032F" w:rsidRPr="0076152E">
        <w:t xml:space="preserve"> </w:t>
      </w:r>
      <w:r w:rsidRPr="0076152E">
        <w:t>offerings.</w:t>
      </w:r>
      <w:r w:rsidR="0013032F" w:rsidRPr="0076152E">
        <w:t xml:space="preserve"> </w:t>
      </w:r>
      <w:r w:rsidRPr="0076152E">
        <w:t>RDV</w:t>
      </w:r>
      <w:r w:rsidR="0013032F" w:rsidRPr="0076152E">
        <w:t xml:space="preserve"> </w:t>
      </w:r>
      <w:r w:rsidRPr="0076152E">
        <w:t>support</w:t>
      </w:r>
      <w:r w:rsidR="0013032F" w:rsidRPr="0076152E">
        <w:t xml:space="preserve"> </w:t>
      </w:r>
      <w:r w:rsidRPr="0076152E">
        <w:t>enabled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development</w:t>
      </w:r>
      <w:r w:rsidR="0013032F" w:rsidRPr="0076152E">
        <w:t xml:space="preserve"> </w:t>
      </w:r>
      <w:r w:rsidRPr="0076152E">
        <w:t>of</w:t>
      </w:r>
      <w:r w:rsidR="0013032F" w:rsidRPr="0076152E">
        <w:t xml:space="preserve"> </w:t>
      </w:r>
      <w:r w:rsidRPr="0076152E">
        <w:t>comprehensive</w:t>
      </w:r>
      <w:r w:rsidR="0013032F" w:rsidRPr="0076152E">
        <w:t xml:space="preserve"> </w:t>
      </w:r>
      <w:r w:rsidRPr="0076152E">
        <w:t>designs</w:t>
      </w:r>
      <w:r w:rsidR="0013032F" w:rsidRPr="0076152E">
        <w:t xml:space="preserve"> </w:t>
      </w:r>
      <w:r w:rsidRPr="0076152E">
        <w:t>and</w:t>
      </w:r>
      <w:r w:rsidR="0013032F" w:rsidRPr="0076152E">
        <w:t xml:space="preserve"> </w:t>
      </w:r>
      <w:r w:rsidRPr="0076152E">
        <w:t>planning</w:t>
      </w:r>
      <w:r w:rsidR="0013032F" w:rsidRPr="0076152E">
        <w:t xml:space="preserve"> </w:t>
      </w:r>
      <w:r w:rsidRPr="0076152E">
        <w:t>activities.</w:t>
      </w:r>
      <w:r w:rsidR="0013032F" w:rsidRPr="0076152E">
        <w:t xml:space="preserve"> </w:t>
      </w:r>
    </w:p>
    <w:p w14:paraId="6316E296" w14:textId="54F625CE" w:rsidR="00757772" w:rsidRDefault="00305D3C" w:rsidP="0076152E">
      <w:pPr>
        <w:pStyle w:val="Heading2"/>
      </w:pPr>
      <w:bookmarkStart w:id="55" w:name="_Toc149566601"/>
      <w:r>
        <w:lastRenderedPageBreak/>
        <w:t>Key</w:t>
      </w:r>
      <w:r w:rsidR="0013032F">
        <w:t xml:space="preserve"> </w:t>
      </w:r>
      <w:r>
        <w:t>outcomes</w:t>
      </w:r>
      <w:bookmarkEnd w:id="55"/>
    </w:p>
    <w:p w14:paraId="7FFF845B" w14:textId="13079E76" w:rsidR="00757772" w:rsidRPr="0076152E" w:rsidRDefault="00305D3C" w:rsidP="0076152E">
      <w:pPr>
        <w:pStyle w:val="Normalbeforebullets"/>
        <w:rPr>
          <w:b/>
          <w:bCs/>
        </w:rPr>
      </w:pPr>
      <w:r w:rsidRPr="0076152E">
        <w:rPr>
          <w:b/>
          <w:bCs/>
        </w:rPr>
        <w:t>Central</w:t>
      </w:r>
      <w:r w:rsidR="0013032F" w:rsidRPr="0076152E">
        <w:rPr>
          <w:b/>
          <w:bCs/>
        </w:rPr>
        <w:t xml:space="preserve"> </w:t>
      </w:r>
      <w:r w:rsidRPr="0076152E">
        <w:rPr>
          <w:b/>
          <w:bCs/>
        </w:rPr>
        <w:t>Goldfields</w:t>
      </w:r>
      <w:r w:rsidR="0013032F" w:rsidRPr="0076152E">
        <w:rPr>
          <w:b/>
          <w:bCs/>
        </w:rPr>
        <w:t xml:space="preserve"> </w:t>
      </w:r>
      <w:r w:rsidRPr="0076152E">
        <w:rPr>
          <w:b/>
          <w:bCs/>
        </w:rPr>
        <w:t>Art</w:t>
      </w:r>
      <w:r w:rsidR="0013032F" w:rsidRPr="0076152E">
        <w:rPr>
          <w:b/>
          <w:bCs/>
        </w:rPr>
        <w:t xml:space="preserve"> </w:t>
      </w:r>
      <w:r w:rsidRPr="0076152E">
        <w:rPr>
          <w:b/>
          <w:bCs/>
        </w:rPr>
        <w:t>Gallery</w:t>
      </w:r>
    </w:p>
    <w:p w14:paraId="08859E88" w14:textId="3C498D30" w:rsidR="00757772" w:rsidRPr="0076152E" w:rsidRDefault="00305D3C" w:rsidP="0076152E">
      <w:pPr>
        <w:keepLines/>
      </w:pPr>
      <w:r w:rsidRPr="0076152E">
        <w:t>Delivered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revitalised</w:t>
      </w:r>
      <w:r w:rsidR="0013032F" w:rsidRPr="0076152E">
        <w:t xml:space="preserve"> </w:t>
      </w:r>
      <w:r w:rsidRPr="0076152E">
        <w:t>Central</w:t>
      </w:r>
      <w:r w:rsidR="0013032F" w:rsidRPr="0076152E">
        <w:t xml:space="preserve"> </w:t>
      </w:r>
      <w:r w:rsidRPr="0076152E">
        <w:t>Goldfields</w:t>
      </w:r>
      <w:r w:rsidR="0013032F" w:rsidRPr="0076152E">
        <w:t xml:space="preserve"> </w:t>
      </w:r>
      <w:r w:rsidRPr="0076152E">
        <w:t>Art</w:t>
      </w:r>
      <w:r w:rsidR="0013032F" w:rsidRPr="0076152E">
        <w:t xml:space="preserve"> </w:t>
      </w:r>
      <w:r w:rsidRPr="0076152E">
        <w:t>Gallery</w:t>
      </w:r>
      <w:r w:rsidR="0013032F" w:rsidRPr="0076152E">
        <w:t xml:space="preserve"> </w:t>
      </w:r>
      <w:r w:rsidRPr="0076152E">
        <w:t>to</w:t>
      </w:r>
      <w:r w:rsidR="0013032F" w:rsidRPr="0076152E">
        <w:t xml:space="preserve"> </w:t>
      </w:r>
      <w:r w:rsidRPr="0076152E">
        <w:t>increase</w:t>
      </w:r>
      <w:r w:rsidR="0013032F" w:rsidRPr="0076152E">
        <w:t xml:space="preserve"> </w:t>
      </w:r>
      <w:r w:rsidRPr="0076152E">
        <w:t>exhibitions,</w:t>
      </w:r>
      <w:r w:rsidR="0013032F" w:rsidRPr="0076152E">
        <w:t xml:space="preserve"> </w:t>
      </w:r>
      <w:r w:rsidRPr="0076152E">
        <w:t>expand</w:t>
      </w:r>
      <w:r w:rsidR="0013032F" w:rsidRPr="0076152E">
        <w:t xml:space="preserve"> </w:t>
      </w:r>
      <w:r w:rsidRPr="0076152E">
        <w:t>community</w:t>
      </w:r>
      <w:r w:rsidR="0013032F" w:rsidRPr="0076152E">
        <w:t xml:space="preserve"> </w:t>
      </w:r>
      <w:r w:rsidRPr="0076152E">
        <w:t>art</w:t>
      </w:r>
      <w:r w:rsidR="0013032F" w:rsidRPr="0076152E">
        <w:t xml:space="preserve"> </w:t>
      </w:r>
      <w:r w:rsidRPr="0076152E">
        <w:t>programs</w:t>
      </w:r>
      <w:r w:rsidR="0013032F" w:rsidRPr="0076152E">
        <w:t xml:space="preserve"> </w:t>
      </w:r>
      <w:r w:rsidRPr="0076152E">
        <w:t>and</w:t>
      </w:r>
      <w:r w:rsidR="0013032F" w:rsidRPr="0076152E">
        <w:t xml:space="preserve"> </w:t>
      </w:r>
      <w:r w:rsidRPr="0076152E">
        <w:t>draw</w:t>
      </w:r>
      <w:r w:rsidR="0013032F" w:rsidRPr="0076152E">
        <w:t xml:space="preserve"> </w:t>
      </w:r>
      <w:r w:rsidRPr="0076152E">
        <w:t>further</w:t>
      </w:r>
      <w:r w:rsidR="0013032F" w:rsidRPr="0076152E">
        <w:t xml:space="preserve"> </w:t>
      </w:r>
      <w:r w:rsidRPr="0076152E">
        <w:t>vis</w:t>
      </w:r>
      <w:r w:rsidRPr="0076152E">
        <w:t>itors</w:t>
      </w:r>
      <w:r w:rsidR="0013032F" w:rsidRPr="0076152E">
        <w:t xml:space="preserve"> </w:t>
      </w:r>
      <w:r w:rsidRPr="0076152E">
        <w:t>to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region.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project</w:t>
      </w:r>
      <w:r w:rsidR="0013032F" w:rsidRPr="0076152E">
        <w:t xml:space="preserve"> </w:t>
      </w:r>
      <w:r w:rsidRPr="0076152E">
        <w:t>was</w:t>
      </w:r>
      <w:r w:rsidR="0013032F" w:rsidRPr="0076152E">
        <w:t xml:space="preserve"> </w:t>
      </w:r>
      <w:r w:rsidRPr="0076152E">
        <w:t>funded</w:t>
      </w:r>
      <w:r w:rsidR="0013032F" w:rsidRPr="0076152E">
        <w:t xml:space="preserve"> </w:t>
      </w:r>
      <w:r w:rsidRPr="0076152E">
        <w:t>with</w:t>
      </w:r>
      <w:r w:rsidR="0013032F" w:rsidRPr="0076152E">
        <w:t xml:space="preserve"> </w:t>
      </w:r>
      <w:r w:rsidRPr="0076152E">
        <w:t>$1.7</w:t>
      </w:r>
      <w:r w:rsidR="0013032F" w:rsidRPr="0076152E">
        <w:t xml:space="preserve"> </w:t>
      </w:r>
      <w:r w:rsidRPr="0076152E">
        <w:t>million</w:t>
      </w:r>
      <w:r w:rsidR="0013032F" w:rsidRPr="0076152E">
        <w:t xml:space="preserve"> </w:t>
      </w:r>
      <w:r w:rsidRPr="0076152E">
        <w:t>from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Regional</w:t>
      </w:r>
      <w:r w:rsidR="0013032F" w:rsidRPr="0076152E">
        <w:t xml:space="preserve"> </w:t>
      </w:r>
      <w:r w:rsidRPr="0076152E">
        <w:t>Infrastructure</w:t>
      </w:r>
      <w:r w:rsidR="0013032F" w:rsidRPr="0076152E">
        <w:t xml:space="preserve"> </w:t>
      </w:r>
      <w:r w:rsidRPr="0076152E">
        <w:t>Fund</w:t>
      </w:r>
      <w:r w:rsidR="0013032F" w:rsidRPr="0076152E">
        <w:t xml:space="preserve"> </w:t>
      </w:r>
      <w:r w:rsidRPr="0076152E">
        <w:t>and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Regional</w:t>
      </w:r>
      <w:r w:rsidR="0013032F" w:rsidRPr="0076152E">
        <w:t xml:space="preserve"> </w:t>
      </w:r>
      <w:r w:rsidRPr="0076152E">
        <w:t>Tourism</w:t>
      </w:r>
      <w:r w:rsidR="0013032F" w:rsidRPr="0076152E">
        <w:t xml:space="preserve"> </w:t>
      </w:r>
      <w:r w:rsidRPr="0076152E">
        <w:t>Investment</w:t>
      </w:r>
      <w:r w:rsidR="0013032F" w:rsidRPr="0076152E">
        <w:t xml:space="preserve"> </w:t>
      </w:r>
      <w:r w:rsidRPr="0076152E">
        <w:t>Fund</w:t>
      </w:r>
      <w:r w:rsidR="0013032F" w:rsidRPr="0076152E">
        <w:t xml:space="preserve"> </w:t>
      </w:r>
      <w:r w:rsidRPr="0076152E">
        <w:t>to</w:t>
      </w:r>
      <w:r w:rsidR="0013032F" w:rsidRPr="0076152E">
        <w:t xml:space="preserve"> </w:t>
      </w:r>
      <w:r w:rsidRPr="0076152E">
        <w:t>transform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aging</w:t>
      </w:r>
      <w:r w:rsidR="0013032F" w:rsidRPr="0076152E">
        <w:t xml:space="preserve"> </w:t>
      </w:r>
      <w:r w:rsidRPr="0076152E">
        <w:t>building.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gallery</w:t>
      </w:r>
      <w:r w:rsidR="0013032F" w:rsidRPr="0076152E">
        <w:t xml:space="preserve"> </w:t>
      </w:r>
      <w:r w:rsidRPr="0076152E">
        <w:t>boasts</w:t>
      </w:r>
      <w:r w:rsidR="0013032F" w:rsidRPr="0076152E">
        <w:t xml:space="preserve"> </w:t>
      </w:r>
      <w:r w:rsidRPr="0076152E">
        <w:t>world</w:t>
      </w:r>
      <w:r w:rsidRPr="0076152E">
        <w:noBreakHyphen/>
        <w:t>class</w:t>
      </w:r>
      <w:r w:rsidR="0013032F" w:rsidRPr="0076152E">
        <w:t xml:space="preserve"> </w:t>
      </w:r>
      <w:r w:rsidRPr="0076152E">
        <w:t>architecture</w:t>
      </w:r>
      <w:r w:rsidR="0013032F" w:rsidRPr="0076152E">
        <w:t xml:space="preserve"> </w:t>
      </w:r>
      <w:r w:rsidRPr="0076152E">
        <w:t>by</w:t>
      </w:r>
      <w:r w:rsidR="0013032F" w:rsidRPr="0076152E">
        <w:t xml:space="preserve"> </w:t>
      </w:r>
      <w:r w:rsidRPr="0076152E">
        <w:t>merging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historic</w:t>
      </w:r>
      <w:r w:rsidR="0013032F" w:rsidRPr="0076152E">
        <w:t xml:space="preserve"> </w:t>
      </w:r>
      <w:r w:rsidRPr="0076152E">
        <w:t>elements</w:t>
      </w:r>
      <w:r w:rsidR="0013032F" w:rsidRPr="0076152E">
        <w:t xml:space="preserve"> </w:t>
      </w:r>
      <w:r w:rsidRPr="0076152E">
        <w:t>of</w:t>
      </w:r>
      <w:r w:rsidR="0013032F" w:rsidRPr="0076152E">
        <w:t xml:space="preserve"> </w:t>
      </w:r>
      <w:r w:rsidRPr="0076152E">
        <w:t>a</w:t>
      </w:r>
      <w:r w:rsidR="0013032F" w:rsidRPr="0076152E">
        <w:t xml:space="preserve"> </w:t>
      </w:r>
      <w:r w:rsidRPr="0076152E">
        <w:t>19th</w:t>
      </w:r>
      <w:r w:rsidR="0013032F" w:rsidRPr="0076152E">
        <w:t xml:space="preserve"> </w:t>
      </w:r>
      <w:r w:rsidRPr="0076152E">
        <w:t>century</w:t>
      </w:r>
      <w:r w:rsidR="0013032F" w:rsidRPr="0076152E">
        <w:t xml:space="preserve"> </w:t>
      </w:r>
      <w:r w:rsidRPr="0076152E">
        <w:t>fire</w:t>
      </w:r>
      <w:r w:rsidR="0013032F" w:rsidRPr="0076152E">
        <w:t xml:space="preserve"> </w:t>
      </w:r>
      <w:r w:rsidRPr="0076152E">
        <w:t>station</w:t>
      </w:r>
      <w:r w:rsidR="0013032F" w:rsidRPr="0076152E">
        <w:t xml:space="preserve"> </w:t>
      </w:r>
      <w:r w:rsidRPr="0076152E">
        <w:t>with</w:t>
      </w:r>
      <w:r w:rsidR="0013032F" w:rsidRPr="0076152E">
        <w:t xml:space="preserve"> </w:t>
      </w:r>
      <w:r w:rsidRPr="0076152E">
        <w:t>a</w:t>
      </w:r>
      <w:r w:rsidR="0013032F" w:rsidRPr="0076152E">
        <w:t xml:space="preserve"> </w:t>
      </w:r>
      <w:r w:rsidRPr="0076152E">
        <w:t>contemporary</w:t>
      </w:r>
      <w:r w:rsidR="0013032F" w:rsidRPr="0076152E">
        <w:t xml:space="preserve"> </w:t>
      </w:r>
      <w:r w:rsidRPr="0076152E">
        <w:t>designed</w:t>
      </w:r>
      <w:r w:rsidR="0013032F" w:rsidRPr="0076152E">
        <w:t xml:space="preserve"> </w:t>
      </w:r>
      <w:r w:rsidRPr="0076152E">
        <w:t>modern</w:t>
      </w:r>
      <w:r w:rsidR="0013032F" w:rsidRPr="0076152E">
        <w:t xml:space="preserve"> </w:t>
      </w:r>
      <w:r w:rsidRPr="0076152E">
        <w:t>public</w:t>
      </w:r>
      <w:r w:rsidR="0013032F" w:rsidRPr="0076152E">
        <w:t xml:space="preserve"> </w:t>
      </w:r>
      <w:r w:rsidRPr="0076152E">
        <w:t>art</w:t>
      </w:r>
      <w:r w:rsidR="0013032F" w:rsidRPr="0076152E">
        <w:t xml:space="preserve"> </w:t>
      </w:r>
      <w:r w:rsidRPr="0076152E">
        <w:t>gallery.</w:t>
      </w:r>
      <w:r w:rsidR="0013032F" w:rsidRPr="0076152E">
        <w:t xml:space="preserve"> </w:t>
      </w:r>
    </w:p>
    <w:p w14:paraId="091F8A79" w14:textId="5798FB4A" w:rsidR="00757772" w:rsidRPr="0076152E" w:rsidRDefault="00305D3C" w:rsidP="0076152E">
      <w:pPr>
        <w:pStyle w:val="Normalbeforebullets"/>
        <w:rPr>
          <w:b/>
          <w:bCs/>
        </w:rPr>
      </w:pPr>
      <w:r w:rsidRPr="0076152E">
        <w:rPr>
          <w:b/>
          <w:bCs/>
        </w:rPr>
        <w:t>Birchip</w:t>
      </w:r>
      <w:r w:rsidR="0013032F" w:rsidRPr="0076152E">
        <w:rPr>
          <w:b/>
          <w:bCs/>
        </w:rPr>
        <w:t xml:space="preserve"> </w:t>
      </w:r>
      <w:r w:rsidRPr="0076152E">
        <w:rPr>
          <w:b/>
          <w:bCs/>
        </w:rPr>
        <w:t>Cropping</w:t>
      </w:r>
      <w:r w:rsidR="0013032F" w:rsidRPr="0076152E">
        <w:rPr>
          <w:b/>
          <w:bCs/>
        </w:rPr>
        <w:t xml:space="preserve"> </w:t>
      </w:r>
      <w:r w:rsidRPr="0076152E">
        <w:rPr>
          <w:b/>
          <w:bCs/>
        </w:rPr>
        <w:t>Group</w:t>
      </w:r>
      <w:r w:rsidR="0013032F" w:rsidRPr="0076152E">
        <w:rPr>
          <w:b/>
          <w:bCs/>
        </w:rPr>
        <w:t xml:space="preserve"> </w:t>
      </w:r>
      <w:r w:rsidRPr="0076152E">
        <w:rPr>
          <w:b/>
          <w:bCs/>
        </w:rPr>
        <w:t>Nexus</w:t>
      </w:r>
      <w:r w:rsidR="0013032F" w:rsidRPr="0076152E">
        <w:rPr>
          <w:b/>
          <w:bCs/>
        </w:rPr>
        <w:t xml:space="preserve"> </w:t>
      </w:r>
      <w:r w:rsidRPr="0076152E">
        <w:rPr>
          <w:b/>
          <w:bCs/>
        </w:rPr>
        <w:t>Accommodation</w:t>
      </w:r>
      <w:r w:rsidR="0013032F" w:rsidRPr="0076152E">
        <w:rPr>
          <w:b/>
          <w:bCs/>
        </w:rPr>
        <w:t xml:space="preserve"> </w:t>
      </w:r>
      <w:r w:rsidRPr="0076152E">
        <w:rPr>
          <w:b/>
          <w:bCs/>
        </w:rPr>
        <w:t>Design</w:t>
      </w:r>
    </w:p>
    <w:p w14:paraId="1A0FE6E0" w14:textId="561AE782" w:rsidR="00757772" w:rsidRPr="0076152E" w:rsidRDefault="00305D3C" w:rsidP="0076152E">
      <w:r w:rsidRPr="0076152E">
        <w:t>A</w:t>
      </w:r>
      <w:r w:rsidR="0013032F" w:rsidRPr="0076152E">
        <w:t xml:space="preserve"> </w:t>
      </w:r>
      <w:r w:rsidRPr="0076152E">
        <w:t>place-based</w:t>
      </w:r>
      <w:r w:rsidR="0013032F" w:rsidRPr="0076152E">
        <w:t xml:space="preserve"> </w:t>
      </w:r>
      <w:r w:rsidRPr="0076152E">
        <w:t>solution</w:t>
      </w:r>
      <w:r w:rsidR="0013032F" w:rsidRPr="0076152E">
        <w:t xml:space="preserve"> </w:t>
      </w:r>
      <w:r w:rsidRPr="0076152E">
        <w:t>that</w:t>
      </w:r>
      <w:r w:rsidR="0013032F" w:rsidRPr="0076152E">
        <w:t xml:space="preserve"> </w:t>
      </w:r>
      <w:r w:rsidRPr="0076152E">
        <w:t>will</w:t>
      </w:r>
      <w:r w:rsidR="0013032F" w:rsidRPr="0076152E">
        <w:t xml:space="preserve"> </w:t>
      </w:r>
      <w:r w:rsidRPr="0076152E">
        <w:t>provide</w:t>
      </w:r>
      <w:r w:rsidR="0013032F" w:rsidRPr="0076152E">
        <w:t xml:space="preserve"> </w:t>
      </w:r>
      <w:r w:rsidRPr="0076152E">
        <w:t>residential</w:t>
      </w:r>
      <w:r w:rsidR="0013032F" w:rsidRPr="0076152E">
        <w:t xml:space="preserve"> </w:t>
      </w:r>
      <w:r w:rsidRPr="0076152E">
        <w:t>accommodation</w:t>
      </w:r>
      <w:r w:rsidR="0013032F" w:rsidRPr="0076152E">
        <w:t xml:space="preserve"> </w:t>
      </w:r>
      <w:r w:rsidRPr="0076152E">
        <w:t>and</w:t>
      </w:r>
      <w:r w:rsidR="0013032F" w:rsidRPr="0076152E">
        <w:t xml:space="preserve"> </w:t>
      </w:r>
      <w:r w:rsidRPr="0076152E">
        <w:t>conference</w:t>
      </w:r>
      <w:r w:rsidR="0013032F" w:rsidRPr="0076152E">
        <w:t xml:space="preserve"> </w:t>
      </w:r>
      <w:r w:rsidRPr="0076152E">
        <w:t>facilities</w:t>
      </w:r>
      <w:r w:rsidR="0013032F" w:rsidRPr="0076152E">
        <w:t xml:space="preserve"> </w:t>
      </w:r>
      <w:r w:rsidRPr="0076152E">
        <w:t>to</w:t>
      </w:r>
      <w:r w:rsidR="0013032F" w:rsidRPr="0076152E">
        <w:t xml:space="preserve"> </w:t>
      </w:r>
      <w:r w:rsidRPr="0076152E">
        <w:t>support</w:t>
      </w:r>
      <w:r w:rsidR="0013032F" w:rsidRPr="0076152E">
        <w:t xml:space="preserve"> </w:t>
      </w:r>
      <w:r w:rsidRPr="0076152E">
        <w:t>research,</w:t>
      </w:r>
      <w:r w:rsidR="0013032F" w:rsidRPr="0076152E">
        <w:t xml:space="preserve"> </w:t>
      </w:r>
      <w:r w:rsidRPr="0076152E">
        <w:t>onsite</w:t>
      </w:r>
      <w:r w:rsidR="0013032F" w:rsidRPr="0076152E">
        <w:t xml:space="preserve"> </w:t>
      </w:r>
      <w:r w:rsidRPr="0076152E">
        <w:t>trials,</w:t>
      </w:r>
      <w:r w:rsidR="0013032F" w:rsidRPr="0076152E">
        <w:t xml:space="preserve"> </w:t>
      </w:r>
      <w:r w:rsidRPr="0076152E">
        <w:t>agricultural</w:t>
      </w:r>
      <w:r w:rsidR="0013032F" w:rsidRPr="0076152E">
        <w:t xml:space="preserve"> </w:t>
      </w:r>
      <w:r w:rsidRPr="0076152E">
        <w:t>innovation</w:t>
      </w:r>
      <w:r w:rsidR="0013032F" w:rsidRPr="0076152E">
        <w:t xml:space="preserve"> </w:t>
      </w:r>
      <w:r w:rsidRPr="0076152E">
        <w:t>and</w:t>
      </w:r>
      <w:r w:rsidR="0013032F" w:rsidRPr="0076152E">
        <w:t xml:space="preserve"> </w:t>
      </w:r>
      <w:r w:rsidRPr="0076152E">
        <w:t>growth</w:t>
      </w:r>
      <w:r w:rsidR="0013032F" w:rsidRPr="0076152E">
        <w:t xml:space="preserve"> </w:t>
      </w:r>
      <w:r w:rsidRPr="0076152E">
        <w:t>of</w:t>
      </w:r>
      <w:r w:rsidR="0013032F" w:rsidRPr="0076152E">
        <w:t xml:space="preserve"> </w:t>
      </w:r>
      <w:r w:rsidRPr="0076152E">
        <w:t>our</w:t>
      </w:r>
      <w:r w:rsidR="0013032F" w:rsidRPr="0076152E">
        <w:t xml:space="preserve"> </w:t>
      </w:r>
      <w:r w:rsidRPr="0076152E">
        <w:t>broadacre</w:t>
      </w:r>
      <w:r w:rsidR="0013032F" w:rsidRPr="0076152E">
        <w:t xml:space="preserve"> </w:t>
      </w:r>
      <w:r w:rsidRPr="0076152E">
        <w:t>farmers.</w:t>
      </w:r>
      <w:r w:rsidR="0013032F" w:rsidRPr="0076152E">
        <w:t xml:space="preserve"> </w:t>
      </w:r>
      <w:r w:rsidRPr="0076152E">
        <w:t>RDV</w:t>
      </w:r>
      <w:r w:rsidR="0013032F" w:rsidRPr="0076152E">
        <w:t xml:space="preserve"> </w:t>
      </w:r>
      <w:r w:rsidRPr="0076152E">
        <w:t>funding</w:t>
      </w:r>
      <w:r w:rsidR="0013032F" w:rsidRPr="0076152E">
        <w:t xml:space="preserve"> </w:t>
      </w:r>
      <w:r w:rsidRPr="0076152E">
        <w:t>has</w:t>
      </w:r>
      <w:r w:rsidR="0013032F" w:rsidRPr="0076152E">
        <w:t xml:space="preserve"> </w:t>
      </w:r>
      <w:r w:rsidRPr="0076152E">
        <w:t>enabled</w:t>
      </w:r>
      <w:r w:rsidR="0013032F" w:rsidRPr="0076152E">
        <w:t xml:space="preserve"> </w:t>
      </w:r>
      <w:r w:rsidRPr="0076152E">
        <w:t>a</w:t>
      </w:r>
      <w:r w:rsidR="0013032F" w:rsidRPr="0076152E">
        <w:t xml:space="preserve"> </w:t>
      </w:r>
      <w:r w:rsidRPr="0076152E">
        <w:t>full</w:t>
      </w:r>
      <w:r w:rsidR="0013032F" w:rsidRPr="0076152E">
        <w:t xml:space="preserve"> </w:t>
      </w:r>
      <w:r w:rsidRPr="0076152E">
        <w:t>design</w:t>
      </w:r>
      <w:r w:rsidR="0013032F" w:rsidRPr="0076152E">
        <w:t xml:space="preserve"> </w:t>
      </w:r>
      <w:r w:rsidRPr="0076152E">
        <w:t>brief,</w:t>
      </w:r>
      <w:r w:rsidR="0013032F" w:rsidRPr="0076152E">
        <w:t xml:space="preserve"> </w:t>
      </w:r>
      <w:r w:rsidRPr="0076152E">
        <w:t>construction</w:t>
      </w:r>
      <w:r w:rsidR="0013032F" w:rsidRPr="0076152E">
        <w:t xml:space="preserve"> </w:t>
      </w:r>
      <w:r w:rsidRPr="0076152E">
        <w:t>budget</w:t>
      </w:r>
      <w:r w:rsidR="0013032F" w:rsidRPr="0076152E">
        <w:t xml:space="preserve"> </w:t>
      </w:r>
      <w:r w:rsidRPr="0076152E">
        <w:t>and</w:t>
      </w:r>
      <w:r w:rsidR="0013032F" w:rsidRPr="0076152E">
        <w:t xml:space="preserve"> </w:t>
      </w:r>
      <w:r w:rsidRPr="0076152E">
        <w:t>service</w:t>
      </w:r>
      <w:r w:rsidR="0013032F" w:rsidRPr="0076152E">
        <w:t xml:space="preserve"> </w:t>
      </w:r>
      <w:r w:rsidRPr="0076152E">
        <w:t>proposal</w:t>
      </w:r>
      <w:r w:rsidR="0013032F" w:rsidRPr="0076152E">
        <w:t xml:space="preserve"> </w:t>
      </w:r>
      <w:r w:rsidRPr="0076152E">
        <w:t>to</w:t>
      </w:r>
      <w:r w:rsidR="0013032F" w:rsidRPr="0076152E">
        <w:t xml:space="preserve"> </w:t>
      </w:r>
      <w:r w:rsidRPr="0076152E">
        <w:t>be</w:t>
      </w:r>
      <w:r w:rsidR="0013032F" w:rsidRPr="0076152E">
        <w:t xml:space="preserve"> </w:t>
      </w:r>
      <w:r w:rsidRPr="0076152E">
        <w:t>delivered</w:t>
      </w:r>
      <w:r w:rsidR="0013032F" w:rsidRPr="0076152E">
        <w:t xml:space="preserve"> </w:t>
      </w:r>
      <w:r w:rsidRPr="0076152E">
        <w:t>‘shovel</w:t>
      </w:r>
      <w:r w:rsidR="0013032F" w:rsidRPr="0076152E">
        <w:t xml:space="preserve"> </w:t>
      </w:r>
      <w:r w:rsidRPr="0076152E">
        <w:t>ready’</w:t>
      </w:r>
      <w:r w:rsidR="0013032F" w:rsidRPr="0076152E">
        <w:t xml:space="preserve"> </w:t>
      </w:r>
      <w:r w:rsidRPr="0076152E">
        <w:t>for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next</w:t>
      </w:r>
      <w:r w:rsidR="0013032F" w:rsidRPr="0076152E">
        <w:t xml:space="preserve"> </w:t>
      </w:r>
      <w:r w:rsidRPr="0076152E">
        <w:t>stage.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project</w:t>
      </w:r>
      <w:r w:rsidR="0013032F" w:rsidRPr="0076152E">
        <w:t xml:space="preserve"> </w:t>
      </w:r>
      <w:r w:rsidRPr="0076152E">
        <w:t>is</w:t>
      </w:r>
      <w:r w:rsidR="0013032F" w:rsidRPr="0076152E">
        <w:t xml:space="preserve"> </w:t>
      </w:r>
      <w:r w:rsidRPr="0076152E">
        <w:t>co-</w:t>
      </w:r>
      <w:proofErr w:type="spellStart"/>
      <w:r w:rsidRPr="0076152E">
        <w:t>funded</w:t>
      </w:r>
      <w:proofErr w:type="spellEnd"/>
      <w:r w:rsidR="0013032F" w:rsidRPr="0076152E">
        <w:t xml:space="preserve"> </w:t>
      </w:r>
      <w:r w:rsidRPr="0076152E">
        <w:t>and</w:t>
      </w:r>
      <w:r w:rsidR="0013032F" w:rsidRPr="0076152E">
        <w:t xml:space="preserve"> </w:t>
      </w:r>
      <w:r w:rsidRPr="0076152E">
        <w:t>supported</w:t>
      </w:r>
      <w:r w:rsidR="0013032F" w:rsidRPr="0076152E">
        <w:t xml:space="preserve"> </w:t>
      </w:r>
      <w:r w:rsidRPr="0076152E">
        <w:t>by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Birchip</w:t>
      </w:r>
      <w:r w:rsidR="0013032F" w:rsidRPr="0076152E">
        <w:t xml:space="preserve"> </w:t>
      </w:r>
      <w:r w:rsidRPr="0076152E">
        <w:t>Cropping</w:t>
      </w:r>
      <w:r w:rsidR="0013032F" w:rsidRPr="0076152E">
        <w:t xml:space="preserve"> </w:t>
      </w:r>
      <w:r w:rsidRPr="0076152E">
        <w:t>Group</w:t>
      </w:r>
      <w:r w:rsidR="0013032F" w:rsidRPr="0076152E">
        <w:t xml:space="preserve"> </w:t>
      </w:r>
      <w:r w:rsidRPr="0076152E">
        <w:t>Inc.</w:t>
      </w:r>
      <w:r w:rsidR="0013032F" w:rsidRPr="0076152E">
        <w:t xml:space="preserve"> </w:t>
      </w:r>
      <w:r w:rsidRPr="0076152E">
        <w:t>–</w:t>
      </w:r>
      <w:r w:rsidR="0013032F" w:rsidRPr="0076152E">
        <w:t xml:space="preserve"> </w:t>
      </w:r>
      <w:r w:rsidRPr="0076152E">
        <w:t>a</w:t>
      </w:r>
      <w:r w:rsidR="0013032F" w:rsidRPr="0076152E">
        <w:t xml:space="preserve"> </w:t>
      </w:r>
      <w:r w:rsidRPr="0076152E">
        <w:t>not-for-profit</w:t>
      </w:r>
      <w:r w:rsidR="0013032F" w:rsidRPr="0076152E">
        <w:t xml:space="preserve"> </w:t>
      </w:r>
      <w:r w:rsidRPr="0076152E">
        <w:t>agricultural</w:t>
      </w:r>
      <w:r w:rsidR="0013032F" w:rsidRPr="0076152E">
        <w:t xml:space="preserve"> </w:t>
      </w:r>
      <w:r w:rsidRPr="0076152E">
        <w:t>research</w:t>
      </w:r>
      <w:r w:rsidR="0013032F" w:rsidRPr="0076152E">
        <w:t xml:space="preserve"> </w:t>
      </w:r>
      <w:r w:rsidRPr="0076152E">
        <w:t>and</w:t>
      </w:r>
      <w:r w:rsidR="0013032F" w:rsidRPr="0076152E">
        <w:t xml:space="preserve"> </w:t>
      </w:r>
      <w:r w:rsidRPr="0076152E">
        <w:t>extension</w:t>
      </w:r>
      <w:r w:rsidR="0013032F" w:rsidRPr="0076152E">
        <w:t xml:space="preserve"> </w:t>
      </w:r>
      <w:r w:rsidRPr="0076152E">
        <w:t>organisation</w:t>
      </w:r>
      <w:r w:rsidR="0013032F" w:rsidRPr="0076152E">
        <w:t xml:space="preserve"> </w:t>
      </w:r>
      <w:r w:rsidRPr="0076152E">
        <w:t>led</w:t>
      </w:r>
      <w:r w:rsidR="0013032F" w:rsidRPr="0076152E">
        <w:t xml:space="preserve"> </w:t>
      </w:r>
      <w:r w:rsidRPr="0076152E">
        <w:t>by</w:t>
      </w:r>
      <w:r w:rsidR="0013032F" w:rsidRPr="0076152E">
        <w:t xml:space="preserve"> </w:t>
      </w:r>
      <w:r w:rsidRPr="0076152E">
        <w:t>farmers</w:t>
      </w:r>
      <w:r w:rsidR="0013032F" w:rsidRPr="0076152E">
        <w:t xml:space="preserve"> </w:t>
      </w:r>
      <w:r w:rsidRPr="0076152E">
        <w:t>from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Wimmera</w:t>
      </w:r>
      <w:r w:rsidR="0013032F" w:rsidRPr="0076152E">
        <w:t xml:space="preserve"> </w:t>
      </w:r>
      <w:r w:rsidRPr="0076152E">
        <w:t>and</w:t>
      </w:r>
      <w:r w:rsidR="0013032F" w:rsidRPr="0076152E">
        <w:t xml:space="preserve"> </w:t>
      </w:r>
      <w:r w:rsidRPr="0076152E">
        <w:t>Mallee</w:t>
      </w:r>
      <w:r w:rsidR="0013032F" w:rsidRPr="0076152E">
        <w:t xml:space="preserve"> </w:t>
      </w:r>
      <w:r w:rsidRPr="0076152E">
        <w:t>regions</w:t>
      </w:r>
      <w:r w:rsidR="0013032F" w:rsidRPr="0076152E">
        <w:t xml:space="preserve"> </w:t>
      </w:r>
      <w:r w:rsidRPr="0076152E">
        <w:t>of</w:t>
      </w:r>
      <w:r w:rsidR="0013032F" w:rsidRPr="0076152E">
        <w:t xml:space="preserve"> </w:t>
      </w:r>
      <w:r w:rsidRPr="0076152E">
        <w:t>Victoria.</w:t>
      </w:r>
    </w:p>
    <w:p w14:paraId="6F18EB93" w14:textId="79A348E1" w:rsidR="00757772" w:rsidRPr="0076152E" w:rsidRDefault="00305D3C" w:rsidP="0076152E">
      <w:pPr>
        <w:pStyle w:val="Normalbeforebullets"/>
        <w:rPr>
          <w:b/>
          <w:bCs/>
        </w:rPr>
      </w:pPr>
      <w:r w:rsidRPr="0076152E">
        <w:rPr>
          <w:b/>
          <w:bCs/>
        </w:rPr>
        <w:t>Murrayville</w:t>
      </w:r>
      <w:r w:rsidR="0013032F" w:rsidRPr="0076152E">
        <w:rPr>
          <w:b/>
          <w:bCs/>
        </w:rPr>
        <w:t xml:space="preserve"> </w:t>
      </w:r>
      <w:r w:rsidRPr="0076152E">
        <w:rPr>
          <w:b/>
          <w:bCs/>
        </w:rPr>
        <w:t>permanent</w:t>
      </w:r>
      <w:r w:rsidR="0013032F" w:rsidRPr="0076152E">
        <w:rPr>
          <w:b/>
          <w:bCs/>
        </w:rPr>
        <w:t xml:space="preserve"> </w:t>
      </w:r>
      <w:r w:rsidRPr="0076152E">
        <w:rPr>
          <w:b/>
          <w:bCs/>
        </w:rPr>
        <w:t>fuel</w:t>
      </w:r>
      <w:r w:rsidR="0013032F" w:rsidRPr="0076152E">
        <w:rPr>
          <w:b/>
          <w:bCs/>
        </w:rPr>
        <w:t xml:space="preserve"> </w:t>
      </w:r>
      <w:r w:rsidRPr="0076152E">
        <w:rPr>
          <w:b/>
          <w:bCs/>
        </w:rPr>
        <w:t>solution</w:t>
      </w:r>
      <w:r w:rsidR="0013032F" w:rsidRPr="0076152E">
        <w:rPr>
          <w:b/>
          <w:bCs/>
        </w:rPr>
        <w:t xml:space="preserve"> </w:t>
      </w:r>
    </w:p>
    <w:p w14:paraId="2A125C31" w14:textId="1D15FCEF" w:rsidR="00757772" w:rsidRPr="0076152E" w:rsidRDefault="00305D3C" w:rsidP="0076152E">
      <w:r w:rsidRPr="0076152E">
        <w:t>Supported</w:t>
      </w:r>
      <w:r w:rsidR="0013032F" w:rsidRPr="0076152E">
        <w:t xml:space="preserve"> </w:t>
      </w:r>
      <w:r w:rsidRPr="0076152E">
        <w:t>Mildura</w:t>
      </w:r>
      <w:r w:rsidR="0013032F" w:rsidRPr="0076152E">
        <w:t xml:space="preserve"> </w:t>
      </w:r>
      <w:r w:rsidRPr="0076152E">
        <w:t>Regional</w:t>
      </w:r>
      <w:r w:rsidR="0013032F" w:rsidRPr="0076152E">
        <w:t xml:space="preserve"> </w:t>
      </w:r>
      <w:r w:rsidRPr="0076152E">
        <w:t>Development</w:t>
      </w:r>
      <w:r w:rsidR="0013032F" w:rsidRPr="0076152E">
        <w:t xml:space="preserve"> </w:t>
      </w:r>
      <w:r w:rsidRPr="0076152E">
        <w:t>to</w:t>
      </w:r>
      <w:r w:rsidR="0013032F" w:rsidRPr="0076152E">
        <w:t xml:space="preserve"> </w:t>
      </w:r>
      <w:r w:rsidRPr="0076152E">
        <w:t>provide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Murrayville</w:t>
      </w:r>
      <w:r w:rsidR="0013032F" w:rsidRPr="0076152E">
        <w:t xml:space="preserve"> </w:t>
      </w:r>
      <w:r w:rsidRPr="0076152E">
        <w:t>community</w:t>
      </w:r>
      <w:r w:rsidR="0013032F" w:rsidRPr="0076152E">
        <w:t xml:space="preserve"> </w:t>
      </w:r>
      <w:r w:rsidRPr="0076152E">
        <w:t>with</w:t>
      </w:r>
      <w:r w:rsidR="0013032F" w:rsidRPr="0076152E">
        <w:t xml:space="preserve"> </w:t>
      </w:r>
      <w:r w:rsidRPr="0076152E">
        <w:t>an</w:t>
      </w:r>
      <w:r w:rsidR="0013032F" w:rsidRPr="0076152E">
        <w:t xml:space="preserve"> </w:t>
      </w:r>
      <w:r w:rsidRPr="0076152E">
        <w:t>accessible</w:t>
      </w:r>
      <w:r w:rsidR="0013032F" w:rsidRPr="0076152E">
        <w:t xml:space="preserve"> </w:t>
      </w:r>
      <w:r w:rsidRPr="0076152E">
        <w:t>fuel</w:t>
      </w:r>
      <w:r w:rsidR="0013032F" w:rsidRPr="0076152E">
        <w:t xml:space="preserve"> </w:t>
      </w:r>
      <w:r w:rsidRPr="0076152E">
        <w:t>supply</w:t>
      </w:r>
      <w:r w:rsidR="0013032F" w:rsidRPr="0076152E">
        <w:t xml:space="preserve"> </w:t>
      </w:r>
      <w:r w:rsidRPr="0076152E">
        <w:t>for</w:t>
      </w:r>
      <w:r w:rsidR="0013032F" w:rsidRPr="0076152E">
        <w:t xml:space="preserve"> </w:t>
      </w:r>
      <w:r w:rsidRPr="0076152E">
        <w:t>residents.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project</w:t>
      </w:r>
      <w:r w:rsidR="0013032F" w:rsidRPr="0076152E">
        <w:t xml:space="preserve"> </w:t>
      </w:r>
      <w:r w:rsidRPr="0076152E">
        <w:t>involves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construction</w:t>
      </w:r>
      <w:r w:rsidR="0013032F" w:rsidRPr="0076152E">
        <w:t xml:space="preserve"> </w:t>
      </w:r>
      <w:r w:rsidRPr="0076152E">
        <w:t>of</w:t>
      </w:r>
      <w:r w:rsidR="0013032F" w:rsidRPr="0076152E">
        <w:t xml:space="preserve"> </w:t>
      </w:r>
      <w:r w:rsidRPr="0076152E">
        <w:t>an</w:t>
      </w:r>
      <w:r w:rsidR="0013032F" w:rsidRPr="0076152E">
        <w:t xml:space="preserve"> </w:t>
      </w:r>
      <w:r w:rsidRPr="0076152E">
        <w:t>unmanned</w:t>
      </w:r>
      <w:r w:rsidR="0013032F" w:rsidRPr="0076152E">
        <w:t xml:space="preserve"> </w:t>
      </w:r>
      <w:r w:rsidRPr="0076152E">
        <w:t>fuel</w:t>
      </w:r>
      <w:r w:rsidR="0013032F" w:rsidRPr="0076152E">
        <w:t xml:space="preserve"> </w:t>
      </w:r>
      <w:r w:rsidRPr="0076152E">
        <w:t>station,</w:t>
      </w:r>
      <w:r w:rsidR="0013032F" w:rsidRPr="0076152E">
        <w:t xml:space="preserve"> </w:t>
      </w:r>
      <w:r w:rsidRPr="0076152E">
        <w:t>consisting</w:t>
      </w:r>
      <w:r w:rsidR="0013032F" w:rsidRPr="0076152E">
        <w:t xml:space="preserve"> </w:t>
      </w:r>
      <w:r w:rsidRPr="0076152E">
        <w:t>of</w:t>
      </w:r>
      <w:r w:rsidR="0013032F" w:rsidRPr="0076152E">
        <w:t xml:space="preserve"> </w:t>
      </w:r>
      <w:r w:rsidRPr="0076152E">
        <w:t>an</w:t>
      </w:r>
      <w:r w:rsidR="0013032F" w:rsidRPr="0076152E">
        <w:t xml:space="preserve"> </w:t>
      </w:r>
      <w:r w:rsidRPr="0076152E">
        <w:t>all-weather</w:t>
      </w:r>
      <w:r w:rsidR="0013032F" w:rsidRPr="0076152E">
        <w:t xml:space="preserve"> </w:t>
      </w:r>
      <w:r w:rsidRPr="0076152E">
        <w:t>platform</w:t>
      </w:r>
      <w:r w:rsidR="0013032F" w:rsidRPr="0076152E">
        <w:t xml:space="preserve"> </w:t>
      </w:r>
      <w:r w:rsidRPr="0076152E">
        <w:t>with</w:t>
      </w:r>
      <w:r w:rsidR="0013032F" w:rsidRPr="0076152E">
        <w:t xml:space="preserve"> </w:t>
      </w:r>
      <w:r w:rsidRPr="0076152E">
        <w:t>large</w:t>
      </w:r>
      <w:r w:rsidR="0013032F" w:rsidRPr="0076152E">
        <w:t xml:space="preserve"> </w:t>
      </w:r>
      <w:r w:rsidRPr="0076152E">
        <w:t>tanks,</w:t>
      </w:r>
      <w:r w:rsidR="0013032F" w:rsidRPr="0076152E">
        <w:t xml:space="preserve"> </w:t>
      </w:r>
      <w:r w:rsidRPr="0076152E">
        <w:t>payment</w:t>
      </w:r>
      <w:r w:rsidR="0013032F" w:rsidRPr="0076152E">
        <w:t xml:space="preserve"> </w:t>
      </w:r>
      <w:r w:rsidRPr="0076152E">
        <w:t>terminals</w:t>
      </w:r>
      <w:r w:rsidR="0013032F" w:rsidRPr="0076152E">
        <w:t xml:space="preserve"> </w:t>
      </w:r>
      <w:r w:rsidRPr="0076152E">
        <w:t>and</w:t>
      </w:r>
      <w:r w:rsidR="0013032F" w:rsidRPr="0076152E">
        <w:t xml:space="preserve"> </w:t>
      </w:r>
      <w:r w:rsidRPr="0076152E">
        <w:t>a</w:t>
      </w:r>
      <w:r w:rsidR="0013032F" w:rsidRPr="0076152E">
        <w:t xml:space="preserve"> </w:t>
      </w:r>
      <w:r w:rsidRPr="0076152E">
        <w:t>formal</w:t>
      </w:r>
      <w:r w:rsidR="0013032F" w:rsidRPr="0076152E">
        <w:t xml:space="preserve"> </w:t>
      </w:r>
      <w:r w:rsidRPr="0076152E">
        <w:t>vehicle</w:t>
      </w:r>
      <w:r w:rsidR="0013032F" w:rsidRPr="0076152E">
        <w:t xml:space="preserve"> </w:t>
      </w:r>
      <w:r w:rsidRPr="0076152E">
        <w:t>access</w:t>
      </w:r>
      <w:r w:rsidR="0013032F" w:rsidRPr="0076152E">
        <w:t xml:space="preserve"> </w:t>
      </w:r>
      <w:r w:rsidRPr="0076152E">
        <w:t>road.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fuel</w:t>
      </w:r>
      <w:r w:rsidR="0013032F" w:rsidRPr="0076152E">
        <w:t xml:space="preserve"> </w:t>
      </w:r>
      <w:r w:rsidRPr="0076152E">
        <w:t>station</w:t>
      </w:r>
      <w:r w:rsidR="0013032F" w:rsidRPr="0076152E">
        <w:t xml:space="preserve"> </w:t>
      </w:r>
      <w:r w:rsidRPr="0076152E">
        <w:t>will</w:t>
      </w:r>
      <w:r w:rsidR="0013032F" w:rsidRPr="0076152E">
        <w:t xml:space="preserve"> </w:t>
      </w:r>
      <w:r w:rsidRPr="0076152E">
        <w:t>be</w:t>
      </w:r>
      <w:r w:rsidR="0013032F" w:rsidRPr="0076152E">
        <w:t xml:space="preserve"> </w:t>
      </w:r>
      <w:r w:rsidRPr="0076152E">
        <w:t>open</w:t>
      </w:r>
      <w:r w:rsidR="0013032F" w:rsidRPr="0076152E">
        <w:t xml:space="preserve"> </w:t>
      </w:r>
      <w:r w:rsidRPr="0076152E">
        <w:t>to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public</w:t>
      </w:r>
      <w:r w:rsidR="0013032F" w:rsidRPr="0076152E">
        <w:t xml:space="preserve"> </w:t>
      </w:r>
      <w:r w:rsidRPr="0076152E">
        <w:t>in</w:t>
      </w:r>
      <w:r w:rsidR="0013032F" w:rsidRPr="0076152E">
        <w:t xml:space="preserve"> </w:t>
      </w:r>
      <w:r w:rsidRPr="0076152E">
        <w:t>October</w:t>
      </w:r>
      <w:r w:rsidR="0013032F" w:rsidRPr="0076152E">
        <w:t xml:space="preserve"> </w:t>
      </w:r>
      <w:r w:rsidRPr="0076152E">
        <w:t>2023.</w:t>
      </w:r>
    </w:p>
    <w:p w14:paraId="1D678BF6" w14:textId="5A0A74B3" w:rsidR="00757772" w:rsidRPr="0076152E" w:rsidRDefault="00305D3C" w:rsidP="0076152E">
      <w:pPr>
        <w:pStyle w:val="Normalbeforebullets"/>
        <w:rPr>
          <w:b/>
          <w:bCs/>
        </w:rPr>
      </w:pPr>
      <w:r w:rsidRPr="0076152E">
        <w:rPr>
          <w:b/>
          <w:bCs/>
        </w:rPr>
        <w:t>Mountain</w:t>
      </w:r>
      <w:r w:rsidR="0013032F" w:rsidRPr="0076152E">
        <w:rPr>
          <w:b/>
          <w:bCs/>
        </w:rPr>
        <w:t xml:space="preserve"> </w:t>
      </w:r>
      <w:r w:rsidRPr="0076152E">
        <w:rPr>
          <w:b/>
          <w:bCs/>
        </w:rPr>
        <w:t>Distilling</w:t>
      </w:r>
      <w:r w:rsidR="0013032F" w:rsidRPr="0076152E">
        <w:rPr>
          <w:b/>
          <w:bCs/>
        </w:rPr>
        <w:t xml:space="preserve"> </w:t>
      </w:r>
      <w:r w:rsidRPr="0076152E">
        <w:rPr>
          <w:b/>
          <w:bCs/>
        </w:rPr>
        <w:t>Company</w:t>
      </w:r>
      <w:r w:rsidR="0013032F" w:rsidRPr="0076152E">
        <w:rPr>
          <w:b/>
          <w:bCs/>
        </w:rPr>
        <w:t xml:space="preserve"> </w:t>
      </w:r>
      <w:r w:rsidRPr="0076152E">
        <w:rPr>
          <w:b/>
          <w:bCs/>
        </w:rPr>
        <w:t>expansion</w:t>
      </w:r>
    </w:p>
    <w:p w14:paraId="28710CC6" w14:textId="44BFACAB" w:rsidR="00757772" w:rsidRPr="0076152E" w:rsidRDefault="00305D3C" w:rsidP="0076152E">
      <w:r w:rsidRPr="0076152E">
        <w:t>Supported</w:t>
      </w:r>
      <w:r w:rsidR="0013032F" w:rsidRPr="0076152E">
        <w:t xml:space="preserve"> </w:t>
      </w:r>
      <w:r w:rsidRPr="0076152E">
        <w:t>Mountain</w:t>
      </w:r>
      <w:r w:rsidR="0013032F" w:rsidRPr="0076152E">
        <w:t xml:space="preserve"> </w:t>
      </w:r>
      <w:r w:rsidRPr="0076152E">
        <w:t>Distilling</w:t>
      </w:r>
      <w:r w:rsidR="0013032F" w:rsidRPr="0076152E">
        <w:t xml:space="preserve"> </w:t>
      </w:r>
      <w:r w:rsidRPr="0076152E">
        <w:t>Company</w:t>
      </w:r>
      <w:r w:rsidR="0013032F" w:rsidRPr="0076152E">
        <w:t xml:space="preserve"> </w:t>
      </w:r>
      <w:r w:rsidRPr="0076152E">
        <w:t>in</w:t>
      </w:r>
      <w:r w:rsidR="0013032F" w:rsidRPr="0076152E">
        <w:t xml:space="preserve"> </w:t>
      </w:r>
      <w:r w:rsidRPr="0076152E">
        <w:t>their</w:t>
      </w:r>
      <w:r w:rsidR="0013032F" w:rsidRPr="0076152E">
        <w:t xml:space="preserve"> </w:t>
      </w:r>
      <w:r w:rsidRPr="0076152E">
        <w:t>$1.2</w:t>
      </w:r>
      <w:r w:rsidR="0013032F" w:rsidRPr="0076152E">
        <w:t xml:space="preserve"> </w:t>
      </w:r>
      <w:r w:rsidRPr="0076152E">
        <w:t>million</w:t>
      </w:r>
      <w:r w:rsidR="0013032F" w:rsidRPr="0076152E">
        <w:t xml:space="preserve"> </w:t>
      </w:r>
      <w:r w:rsidRPr="0076152E">
        <w:t>gin</w:t>
      </w:r>
      <w:r w:rsidR="0013032F" w:rsidRPr="0076152E">
        <w:t xml:space="preserve"> </w:t>
      </w:r>
      <w:r w:rsidRPr="0076152E">
        <w:t>and</w:t>
      </w:r>
      <w:r w:rsidR="0013032F" w:rsidRPr="0076152E">
        <w:t xml:space="preserve"> </w:t>
      </w:r>
      <w:r w:rsidRPr="0076152E">
        <w:t>whiskey</w:t>
      </w:r>
      <w:r w:rsidR="0013032F" w:rsidRPr="0076152E">
        <w:t xml:space="preserve"> </w:t>
      </w:r>
      <w:r w:rsidRPr="0076152E">
        <w:t>distillery</w:t>
      </w:r>
      <w:r w:rsidR="0013032F" w:rsidRPr="0076152E">
        <w:t xml:space="preserve"> </w:t>
      </w:r>
      <w:r w:rsidRPr="0076152E">
        <w:t>expansion</w:t>
      </w:r>
      <w:r w:rsidR="0013032F" w:rsidRPr="0076152E">
        <w:t xml:space="preserve"> </w:t>
      </w:r>
      <w:r w:rsidRPr="0076152E">
        <w:t>in</w:t>
      </w:r>
      <w:r w:rsidR="0013032F" w:rsidRPr="0076152E">
        <w:t xml:space="preserve"> </w:t>
      </w:r>
      <w:r w:rsidRPr="0076152E">
        <w:t>New</w:t>
      </w:r>
      <w:r w:rsidR="0013032F" w:rsidRPr="0076152E">
        <w:t xml:space="preserve"> </w:t>
      </w:r>
      <w:r w:rsidRPr="0076152E">
        <w:t>Gisborne.</w:t>
      </w:r>
      <w:r w:rsidR="0013032F" w:rsidRPr="0076152E">
        <w:t xml:space="preserve"> </w:t>
      </w:r>
      <w:r w:rsidRPr="0076152E">
        <w:t>A</w:t>
      </w:r>
      <w:r w:rsidR="0013032F" w:rsidRPr="0076152E">
        <w:t xml:space="preserve"> </w:t>
      </w:r>
      <w:r w:rsidRPr="0076152E">
        <w:t>new</w:t>
      </w:r>
      <w:r w:rsidR="0013032F" w:rsidRPr="0076152E">
        <w:t xml:space="preserve"> </w:t>
      </w:r>
      <w:r w:rsidRPr="0076152E">
        <w:t>brewhouse</w:t>
      </w:r>
      <w:r w:rsidR="0013032F" w:rsidRPr="0076152E">
        <w:t xml:space="preserve"> </w:t>
      </w:r>
      <w:r w:rsidRPr="0076152E">
        <w:t>system</w:t>
      </w:r>
      <w:r w:rsidR="0013032F" w:rsidRPr="0076152E">
        <w:t xml:space="preserve"> </w:t>
      </w:r>
      <w:r w:rsidRPr="0076152E">
        <w:t>will</w:t>
      </w:r>
      <w:r w:rsidR="0013032F" w:rsidRPr="0076152E">
        <w:t xml:space="preserve"> </w:t>
      </w:r>
      <w:r w:rsidRPr="0076152E">
        <w:t>produce</w:t>
      </w:r>
      <w:r w:rsidR="0013032F" w:rsidRPr="0076152E">
        <w:t xml:space="preserve"> </w:t>
      </w:r>
      <w:r w:rsidRPr="0076152E">
        <w:t>more</w:t>
      </w:r>
      <w:r w:rsidR="0013032F" w:rsidRPr="0076152E">
        <w:t xml:space="preserve"> </w:t>
      </w:r>
      <w:r w:rsidRPr="0076152E">
        <w:t>products</w:t>
      </w:r>
      <w:r w:rsidR="0013032F" w:rsidRPr="0076152E">
        <w:t xml:space="preserve"> </w:t>
      </w:r>
      <w:r w:rsidRPr="0076152E">
        <w:t>more</w:t>
      </w:r>
      <w:r w:rsidR="0013032F" w:rsidRPr="0076152E">
        <w:t xml:space="preserve"> </w:t>
      </w:r>
      <w:r w:rsidRPr="0076152E">
        <w:t>efficiently.</w:t>
      </w:r>
      <w:r w:rsidR="0013032F" w:rsidRPr="0076152E">
        <w:t xml:space="preserve"> </w:t>
      </w:r>
      <w:r w:rsidRPr="0076152E">
        <w:t>Bottling,</w:t>
      </w:r>
      <w:r w:rsidR="0013032F" w:rsidRPr="0076152E">
        <w:t xml:space="preserve"> </w:t>
      </w:r>
      <w:r w:rsidRPr="0076152E">
        <w:t>labelling</w:t>
      </w:r>
      <w:r w:rsidR="0013032F" w:rsidRPr="0076152E">
        <w:t xml:space="preserve"> </w:t>
      </w:r>
      <w:r w:rsidRPr="0076152E">
        <w:t>and</w:t>
      </w:r>
      <w:r w:rsidR="0013032F" w:rsidRPr="0076152E">
        <w:t xml:space="preserve"> </w:t>
      </w:r>
      <w:r w:rsidRPr="0076152E">
        <w:t>packaging</w:t>
      </w:r>
      <w:r w:rsidR="0013032F" w:rsidRPr="0076152E">
        <w:t xml:space="preserve"> </w:t>
      </w:r>
      <w:r w:rsidRPr="0076152E">
        <w:t>equipment</w:t>
      </w:r>
      <w:r w:rsidR="0013032F" w:rsidRPr="0076152E">
        <w:t xml:space="preserve"> </w:t>
      </w:r>
      <w:r w:rsidRPr="0076152E">
        <w:t>will</w:t>
      </w:r>
      <w:r w:rsidR="0013032F" w:rsidRPr="0076152E">
        <w:t xml:space="preserve"> </w:t>
      </w:r>
      <w:r w:rsidRPr="0076152E">
        <w:t>also</w:t>
      </w:r>
      <w:r w:rsidR="0013032F" w:rsidRPr="0076152E">
        <w:t xml:space="preserve"> </w:t>
      </w:r>
      <w:r w:rsidRPr="0076152E">
        <w:t>bring</w:t>
      </w:r>
      <w:r w:rsidR="0013032F" w:rsidRPr="0076152E">
        <w:t xml:space="preserve"> </w:t>
      </w:r>
      <w:r w:rsidRPr="0076152E">
        <w:t>all</w:t>
      </w:r>
      <w:r w:rsidR="0013032F" w:rsidRPr="0076152E">
        <w:t xml:space="preserve"> </w:t>
      </w:r>
      <w:r w:rsidRPr="0076152E">
        <w:t>stages</w:t>
      </w:r>
      <w:r w:rsidR="0013032F" w:rsidRPr="0076152E">
        <w:t xml:space="preserve"> </w:t>
      </w:r>
      <w:r w:rsidRPr="0076152E">
        <w:t>of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production</w:t>
      </w:r>
      <w:r w:rsidR="0013032F" w:rsidRPr="0076152E">
        <w:t xml:space="preserve"> </w:t>
      </w:r>
      <w:r w:rsidRPr="0076152E">
        <w:t>inhouse</w:t>
      </w:r>
      <w:r w:rsidR="0013032F" w:rsidRPr="0076152E">
        <w:t xml:space="preserve"> </w:t>
      </w:r>
      <w:r w:rsidRPr="0076152E">
        <w:t>for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first</w:t>
      </w:r>
      <w:r w:rsidR="0013032F" w:rsidRPr="0076152E">
        <w:t xml:space="preserve"> </w:t>
      </w:r>
      <w:r w:rsidRPr="0076152E">
        <w:t>time.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project</w:t>
      </w:r>
      <w:r w:rsidR="0013032F" w:rsidRPr="0076152E">
        <w:t xml:space="preserve"> </w:t>
      </w:r>
      <w:r w:rsidRPr="0076152E">
        <w:t>will</w:t>
      </w:r>
      <w:r w:rsidR="0013032F" w:rsidRPr="0076152E">
        <w:t xml:space="preserve"> </w:t>
      </w:r>
      <w:r w:rsidRPr="0076152E">
        <w:t>create</w:t>
      </w:r>
      <w:r w:rsidR="0013032F" w:rsidRPr="0076152E">
        <w:t xml:space="preserve"> </w:t>
      </w:r>
      <w:r w:rsidRPr="0076152E">
        <w:t>17</w:t>
      </w:r>
      <w:r w:rsidR="0013032F" w:rsidRPr="0076152E">
        <w:t xml:space="preserve"> </w:t>
      </w:r>
      <w:r w:rsidRPr="0076152E">
        <w:t>new</w:t>
      </w:r>
      <w:r w:rsidR="0013032F" w:rsidRPr="0076152E">
        <w:t xml:space="preserve"> </w:t>
      </w:r>
      <w:r w:rsidRPr="0076152E">
        <w:t>jobs.</w:t>
      </w:r>
    </w:p>
    <w:p w14:paraId="1403C872" w14:textId="2B3588DB" w:rsidR="00757772" w:rsidRPr="0076152E" w:rsidRDefault="00305D3C" w:rsidP="0076152E">
      <w:pPr>
        <w:pStyle w:val="Normalbeforebullets"/>
        <w:rPr>
          <w:b/>
          <w:bCs/>
        </w:rPr>
      </w:pPr>
      <w:r w:rsidRPr="0076152E">
        <w:rPr>
          <w:b/>
          <w:bCs/>
        </w:rPr>
        <w:t>Revitalising</w:t>
      </w:r>
      <w:r w:rsidR="0013032F" w:rsidRPr="0076152E">
        <w:rPr>
          <w:b/>
          <w:bCs/>
        </w:rPr>
        <w:t xml:space="preserve"> </w:t>
      </w:r>
      <w:r w:rsidRPr="0076152E">
        <w:rPr>
          <w:b/>
          <w:bCs/>
        </w:rPr>
        <w:t>Mildura’s</w:t>
      </w:r>
      <w:r w:rsidR="0013032F" w:rsidRPr="0076152E">
        <w:rPr>
          <w:b/>
          <w:bCs/>
        </w:rPr>
        <w:t xml:space="preserve"> </w:t>
      </w:r>
      <w:r w:rsidRPr="0076152E">
        <w:rPr>
          <w:b/>
          <w:bCs/>
        </w:rPr>
        <w:t>CBD</w:t>
      </w:r>
    </w:p>
    <w:p w14:paraId="702D7FF3" w14:textId="22AF7754" w:rsidR="00757772" w:rsidRPr="0076152E" w:rsidRDefault="00305D3C" w:rsidP="0076152E">
      <w:r w:rsidRPr="0076152E">
        <w:t>Provided</w:t>
      </w:r>
      <w:r w:rsidR="0013032F" w:rsidRPr="0076152E">
        <w:t xml:space="preserve"> </w:t>
      </w:r>
      <w:r w:rsidRPr="0076152E">
        <w:t>$300,000</w:t>
      </w:r>
      <w:r w:rsidR="0013032F" w:rsidRPr="0076152E">
        <w:t xml:space="preserve"> </w:t>
      </w:r>
      <w:r w:rsidRPr="0076152E">
        <w:t>towards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Mildura</w:t>
      </w:r>
      <w:r w:rsidR="0013032F" w:rsidRPr="0076152E">
        <w:t xml:space="preserve"> </w:t>
      </w:r>
      <w:r w:rsidRPr="0076152E">
        <w:t>CBD</w:t>
      </w:r>
      <w:r w:rsidR="0013032F" w:rsidRPr="0076152E">
        <w:t xml:space="preserve"> </w:t>
      </w:r>
      <w:r w:rsidRPr="0076152E">
        <w:t>Urban</w:t>
      </w:r>
      <w:r w:rsidR="0013032F" w:rsidRPr="0076152E">
        <w:t xml:space="preserve"> </w:t>
      </w:r>
      <w:r w:rsidRPr="0076152E">
        <w:t>Regener8</w:t>
      </w:r>
      <w:r w:rsidR="0013032F" w:rsidRPr="0076152E">
        <w:t xml:space="preserve"> </w:t>
      </w:r>
      <w:r w:rsidRPr="0076152E">
        <w:t>project</w:t>
      </w:r>
      <w:r w:rsidR="0013032F" w:rsidRPr="0076152E">
        <w:t xml:space="preserve"> </w:t>
      </w:r>
      <w:r w:rsidRPr="0076152E">
        <w:t>to</w:t>
      </w:r>
      <w:r w:rsidR="0013032F" w:rsidRPr="0076152E">
        <w:t xml:space="preserve"> </w:t>
      </w:r>
      <w:r w:rsidRPr="0076152E">
        <w:t>revitalise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city’s</w:t>
      </w:r>
      <w:r w:rsidR="0013032F" w:rsidRPr="0076152E">
        <w:t xml:space="preserve"> </w:t>
      </w:r>
      <w:r w:rsidRPr="0076152E">
        <w:t>streetscape</w:t>
      </w:r>
      <w:r w:rsidR="0013032F" w:rsidRPr="0076152E">
        <w:t xml:space="preserve"> </w:t>
      </w:r>
      <w:r w:rsidRPr="0076152E">
        <w:t>with</w:t>
      </w:r>
      <w:r w:rsidR="0013032F" w:rsidRPr="0076152E">
        <w:t xml:space="preserve"> </w:t>
      </w:r>
      <w:r w:rsidRPr="0076152E">
        <w:t>more</w:t>
      </w:r>
      <w:r w:rsidR="0013032F" w:rsidRPr="0076152E">
        <w:t xml:space="preserve"> </w:t>
      </w:r>
      <w:r w:rsidRPr="0076152E">
        <w:t>shade,</w:t>
      </w:r>
      <w:r w:rsidR="0013032F" w:rsidRPr="0076152E">
        <w:t xml:space="preserve"> </w:t>
      </w:r>
      <w:r w:rsidRPr="0076152E">
        <w:t>accessibility</w:t>
      </w:r>
      <w:r w:rsidR="0013032F" w:rsidRPr="0076152E">
        <w:t xml:space="preserve"> </w:t>
      </w:r>
      <w:r w:rsidRPr="0076152E">
        <w:t>and</w:t>
      </w:r>
      <w:r w:rsidR="0013032F" w:rsidRPr="0076152E">
        <w:t xml:space="preserve"> </w:t>
      </w:r>
      <w:r w:rsidRPr="0076152E">
        <w:t>spaces</w:t>
      </w:r>
      <w:r w:rsidR="0013032F" w:rsidRPr="0076152E">
        <w:t xml:space="preserve"> </w:t>
      </w:r>
      <w:r w:rsidRPr="0076152E">
        <w:t>for</w:t>
      </w:r>
      <w:r w:rsidR="0013032F" w:rsidRPr="0076152E">
        <w:t xml:space="preserve"> </w:t>
      </w:r>
      <w:r w:rsidRPr="0076152E">
        <w:t>outdoor</w:t>
      </w:r>
      <w:r w:rsidR="0013032F" w:rsidRPr="0076152E">
        <w:t xml:space="preserve"> </w:t>
      </w:r>
      <w:r w:rsidRPr="0076152E">
        <w:t>dining.</w:t>
      </w:r>
      <w:r w:rsidR="0013032F" w:rsidRPr="0076152E">
        <w:t xml:space="preserve"> </w:t>
      </w:r>
      <w:r w:rsidRPr="0076152E">
        <w:t>Footpaths</w:t>
      </w:r>
      <w:r w:rsidR="0013032F" w:rsidRPr="0076152E">
        <w:t xml:space="preserve"> </w:t>
      </w:r>
      <w:r w:rsidRPr="0076152E">
        <w:t>and</w:t>
      </w:r>
      <w:r w:rsidR="0013032F" w:rsidRPr="0076152E">
        <w:t xml:space="preserve"> </w:t>
      </w:r>
      <w:r w:rsidRPr="0076152E">
        <w:t>walkways</w:t>
      </w:r>
      <w:r w:rsidR="0013032F" w:rsidRPr="0076152E">
        <w:t xml:space="preserve"> </w:t>
      </w:r>
      <w:r w:rsidRPr="0076152E">
        <w:t>will</w:t>
      </w:r>
      <w:r w:rsidR="0013032F" w:rsidRPr="0076152E">
        <w:t xml:space="preserve"> </w:t>
      </w:r>
      <w:r w:rsidRPr="0076152E">
        <w:t>be</w:t>
      </w:r>
      <w:r w:rsidR="0013032F" w:rsidRPr="0076152E">
        <w:t xml:space="preserve"> </w:t>
      </w:r>
      <w:r w:rsidRPr="0076152E">
        <w:t>created</w:t>
      </w:r>
      <w:r w:rsidR="0013032F" w:rsidRPr="0076152E">
        <w:t xml:space="preserve"> </w:t>
      </w:r>
      <w:r w:rsidRPr="0076152E">
        <w:t>to</w:t>
      </w:r>
      <w:r w:rsidR="0013032F" w:rsidRPr="0076152E">
        <w:t xml:space="preserve"> </w:t>
      </w:r>
      <w:r w:rsidRPr="0076152E">
        <w:t>link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CBD’s</w:t>
      </w:r>
      <w:r w:rsidR="0013032F" w:rsidRPr="0076152E">
        <w:t xml:space="preserve"> </w:t>
      </w:r>
      <w:r w:rsidRPr="0076152E">
        <w:t>tree-lined</w:t>
      </w:r>
      <w:r w:rsidR="0013032F" w:rsidRPr="0076152E">
        <w:t xml:space="preserve"> </w:t>
      </w:r>
      <w:r w:rsidRPr="0076152E">
        <w:t>streets</w:t>
      </w:r>
      <w:r w:rsidR="0013032F" w:rsidRPr="0076152E">
        <w:t xml:space="preserve"> </w:t>
      </w:r>
      <w:r w:rsidRPr="0076152E">
        <w:t>to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riverfront,</w:t>
      </w:r>
      <w:r w:rsidR="0013032F" w:rsidRPr="0076152E">
        <w:t xml:space="preserve"> </w:t>
      </w:r>
      <w:r w:rsidRPr="0076152E">
        <w:t>connecting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2</w:t>
      </w:r>
      <w:r w:rsidR="0013032F" w:rsidRPr="0076152E">
        <w:t xml:space="preserve"> </w:t>
      </w:r>
      <w:r w:rsidRPr="0076152E">
        <w:t>landmarks</w:t>
      </w:r>
      <w:r w:rsidR="0013032F" w:rsidRPr="0076152E">
        <w:t xml:space="preserve"> </w:t>
      </w:r>
      <w:r w:rsidRPr="0076152E">
        <w:t>for</w:t>
      </w:r>
      <w:r w:rsidR="0013032F" w:rsidRPr="0076152E">
        <w:t xml:space="preserve"> </w:t>
      </w:r>
      <w:r w:rsidRPr="0076152E">
        <w:t>locals</w:t>
      </w:r>
      <w:r w:rsidR="0013032F" w:rsidRPr="0076152E">
        <w:t xml:space="preserve"> </w:t>
      </w:r>
      <w:r w:rsidRPr="0076152E">
        <w:t>and</w:t>
      </w:r>
      <w:r w:rsidR="0013032F" w:rsidRPr="0076152E">
        <w:t xml:space="preserve"> </w:t>
      </w:r>
      <w:r w:rsidRPr="0076152E">
        <w:t>visitors</w:t>
      </w:r>
      <w:r w:rsidR="0013032F" w:rsidRPr="0076152E">
        <w:t xml:space="preserve"> </w:t>
      </w:r>
      <w:r w:rsidRPr="0076152E">
        <w:t>while</w:t>
      </w:r>
      <w:r w:rsidR="0013032F" w:rsidRPr="0076152E">
        <w:t xml:space="preserve"> </w:t>
      </w:r>
      <w:r w:rsidRPr="0076152E">
        <w:t>enhancing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visual</w:t>
      </w:r>
      <w:r w:rsidR="0013032F" w:rsidRPr="0076152E">
        <w:t xml:space="preserve"> </w:t>
      </w:r>
      <w:r w:rsidRPr="0076152E">
        <w:t>appeal</w:t>
      </w:r>
      <w:r w:rsidR="0013032F" w:rsidRPr="0076152E">
        <w:t xml:space="preserve"> </w:t>
      </w:r>
      <w:r w:rsidRPr="0076152E">
        <w:t>of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iconic</w:t>
      </w:r>
      <w:r w:rsidR="0013032F" w:rsidRPr="0076152E">
        <w:t xml:space="preserve"> </w:t>
      </w:r>
      <w:r w:rsidRPr="0076152E">
        <w:t>town.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improved</w:t>
      </w:r>
      <w:r w:rsidR="0013032F" w:rsidRPr="0076152E">
        <w:t xml:space="preserve"> </w:t>
      </w:r>
      <w:r w:rsidRPr="0076152E">
        <w:t>streetscapes</w:t>
      </w:r>
      <w:r w:rsidR="0013032F" w:rsidRPr="0076152E">
        <w:t xml:space="preserve"> </w:t>
      </w:r>
      <w:r w:rsidRPr="0076152E">
        <w:t>will</w:t>
      </w:r>
      <w:r w:rsidR="0013032F" w:rsidRPr="0076152E">
        <w:t xml:space="preserve"> </w:t>
      </w:r>
      <w:r w:rsidRPr="0076152E">
        <w:t>support</w:t>
      </w:r>
      <w:r w:rsidR="0013032F" w:rsidRPr="0076152E">
        <w:t xml:space="preserve"> </w:t>
      </w:r>
      <w:r w:rsidRPr="0076152E">
        <w:t>additional</w:t>
      </w:r>
      <w:r w:rsidR="0013032F" w:rsidRPr="0076152E">
        <w:t xml:space="preserve"> </w:t>
      </w:r>
      <w:r w:rsidRPr="0076152E">
        <w:t>outdoor</w:t>
      </w:r>
      <w:r w:rsidR="0013032F" w:rsidRPr="0076152E">
        <w:t xml:space="preserve"> </w:t>
      </w:r>
      <w:r w:rsidRPr="0076152E">
        <w:t>dining</w:t>
      </w:r>
      <w:r w:rsidR="0013032F" w:rsidRPr="0076152E">
        <w:t xml:space="preserve"> </w:t>
      </w:r>
      <w:r w:rsidRPr="0076152E">
        <w:t>in</w:t>
      </w:r>
      <w:r w:rsidR="0013032F" w:rsidRPr="0076152E">
        <w:t xml:space="preserve"> </w:t>
      </w:r>
      <w:r w:rsidRPr="0076152E">
        <w:t>Mildura</w:t>
      </w:r>
      <w:r w:rsidR="0013032F" w:rsidRPr="0076152E">
        <w:t xml:space="preserve"> </w:t>
      </w:r>
      <w:r w:rsidRPr="0076152E">
        <w:t>and</w:t>
      </w:r>
      <w:r w:rsidR="0013032F" w:rsidRPr="0076152E">
        <w:t xml:space="preserve"> </w:t>
      </w:r>
      <w:r w:rsidRPr="0076152E">
        <w:t>help</w:t>
      </w:r>
      <w:r w:rsidR="0013032F" w:rsidRPr="0076152E">
        <w:t xml:space="preserve"> </w:t>
      </w:r>
      <w:r w:rsidRPr="0076152E">
        <w:t>stimulate</w:t>
      </w:r>
      <w:r w:rsidR="0013032F" w:rsidRPr="0076152E">
        <w:t xml:space="preserve"> </w:t>
      </w:r>
      <w:r w:rsidRPr="0076152E">
        <w:t>spending</w:t>
      </w:r>
      <w:r w:rsidR="0013032F" w:rsidRPr="0076152E">
        <w:t xml:space="preserve"> </w:t>
      </w:r>
      <w:r w:rsidRPr="0076152E">
        <w:t>and</w:t>
      </w:r>
      <w:r w:rsidR="0013032F" w:rsidRPr="0076152E">
        <w:t xml:space="preserve"> </w:t>
      </w:r>
      <w:r w:rsidRPr="0076152E">
        <w:t>investment</w:t>
      </w:r>
      <w:r w:rsidR="0013032F" w:rsidRPr="0076152E">
        <w:t xml:space="preserve"> </w:t>
      </w:r>
      <w:r w:rsidRPr="0076152E">
        <w:t>opportunities</w:t>
      </w:r>
      <w:r w:rsidR="0013032F" w:rsidRPr="0076152E">
        <w:t xml:space="preserve"> </w:t>
      </w:r>
      <w:r w:rsidRPr="0076152E">
        <w:t>to</w:t>
      </w:r>
      <w:r w:rsidR="0013032F" w:rsidRPr="0076152E">
        <w:t xml:space="preserve"> </w:t>
      </w:r>
      <w:r w:rsidRPr="0076152E">
        <w:t>sup</w:t>
      </w:r>
      <w:r w:rsidRPr="0076152E">
        <w:t>port</w:t>
      </w:r>
      <w:r w:rsidR="0013032F" w:rsidRPr="0076152E">
        <w:t xml:space="preserve"> </w:t>
      </w:r>
      <w:r w:rsidRPr="0076152E">
        <w:t>local</w:t>
      </w:r>
      <w:r w:rsidR="0013032F" w:rsidRPr="0076152E">
        <w:t xml:space="preserve"> </w:t>
      </w:r>
      <w:r w:rsidRPr="0076152E">
        <w:t>restaurants</w:t>
      </w:r>
      <w:r w:rsidR="0013032F" w:rsidRPr="0076152E">
        <w:t xml:space="preserve"> </w:t>
      </w:r>
      <w:r w:rsidRPr="0076152E">
        <w:t>and</w:t>
      </w:r>
      <w:r w:rsidR="0013032F" w:rsidRPr="0076152E">
        <w:t xml:space="preserve"> </w:t>
      </w:r>
      <w:r w:rsidRPr="0076152E">
        <w:t>cafes</w:t>
      </w:r>
      <w:r w:rsidR="0013032F" w:rsidRPr="0076152E">
        <w:t xml:space="preserve"> </w:t>
      </w:r>
      <w:r w:rsidRPr="0076152E">
        <w:t>to</w:t>
      </w:r>
      <w:r w:rsidR="0013032F" w:rsidRPr="0076152E">
        <w:t xml:space="preserve"> </w:t>
      </w:r>
      <w:r w:rsidRPr="0076152E">
        <w:t>attract</w:t>
      </w:r>
      <w:r w:rsidR="0013032F" w:rsidRPr="0076152E">
        <w:t xml:space="preserve"> </w:t>
      </w:r>
      <w:r w:rsidRPr="0076152E">
        <w:t>more</w:t>
      </w:r>
      <w:r w:rsidR="0013032F" w:rsidRPr="0076152E">
        <w:t xml:space="preserve"> </w:t>
      </w:r>
      <w:r w:rsidRPr="0076152E">
        <w:t>patrons.</w:t>
      </w:r>
    </w:p>
    <w:p w14:paraId="1C927282" w14:textId="333D671A" w:rsidR="00757772" w:rsidRPr="0076152E" w:rsidRDefault="00305D3C" w:rsidP="0076152E">
      <w:pPr>
        <w:pStyle w:val="Normalbeforebullets"/>
        <w:rPr>
          <w:b/>
          <w:bCs/>
        </w:rPr>
      </w:pPr>
      <w:r w:rsidRPr="0076152E">
        <w:rPr>
          <w:b/>
          <w:bCs/>
        </w:rPr>
        <w:lastRenderedPageBreak/>
        <w:t>A</w:t>
      </w:r>
      <w:r w:rsidR="0013032F" w:rsidRPr="0076152E">
        <w:rPr>
          <w:b/>
          <w:bCs/>
        </w:rPr>
        <w:t xml:space="preserve"> </w:t>
      </w:r>
      <w:r w:rsidRPr="0076152E">
        <w:rPr>
          <w:b/>
          <w:bCs/>
        </w:rPr>
        <w:t>new</w:t>
      </w:r>
      <w:r w:rsidR="0013032F" w:rsidRPr="0076152E">
        <w:rPr>
          <w:b/>
          <w:bCs/>
        </w:rPr>
        <w:t xml:space="preserve"> </w:t>
      </w:r>
      <w:r w:rsidRPr="0076152E">
        <w:rPr>
          <w:b/>
          <w:bCs/>
        </w:rPr>
        <w:t>planetarium</w:t>
      </w:r>
      <w:r w:rsidR="0013032F" w:rsidRPr="0076152E">
        <w:rPr>
          <w:b/>
          <w:bCs/>
        </w:rPr>
        <w:t xml:space="preserve"> </w:t>
      </w:r>
      <w:r w:rsidRPr="0076152E">
        <w:rPr>
          <w:b/>
          <w:bCs/>
        </w:rPr>
        <w:t>for</w:t>
      </w:r>
      <w:r w:rsidR="0013032F" w:rsidRPr="0076152E">
        <w:rPr>
          <w:b/>
          <w:bCs/>
        </w:rPr>
        <w:t xml:space="preserve"> </w:t>
      </w:r>
      <w:r w:rsidRPr="0076152E">
        <w:rPr>
          <w:b/>
          <w:bCs/>
        </w:rPr>
        <w:t>Bendigo</w:t>
      </w:r>
    </w:p>
    <w:p w14:paraId="393FA7FD" w14:textId="45E1D0D5" w:rsidR="00757772" w:rsidRPr="0076152E" w:rsidRDefault="00305D3C" w:rsidP="0076152E">
      <w:pPr>
        <w:keepLines/>
      </w:pPr>
      <w:r w:rsidRPr="0076152E">
        <w:t>Completed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new</w:t>
      </w:r>
      <w:r w:rsidR="0013032F" w:rsidRPr="0076152E">
        <w:t xml:space="preserve"> </w:t>
      </w:r>
      <w:r w:rsidRPr="0076152E">
        <w:t>Bendigo</w:t>
      </w:r>
      <w:r w:rsidR="0013032F" w:rsidRPr="0076152E">
        <w:t xml:space="preserve"> </w:t>
      </w:r>
      <w:r w:rsidRPr="0076152E">
        <w:t>Planetarium</w:t>
      </w:r>
      <w:r w:rsidR="0013032F" w:rsidRPr="0076152E">
        <w:t xml:space="preserve"> </w:t>
      </w:r>
      <w:r w:rsidRPr="0076152E">
        <w:t>at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Discovery</w:t>
      </w:r>
      <w:r w:rsidR="0013032F" w:rsidRPr="0076152E">
        <w:t xml:space="preserve"> </w:t>
      </w:r>
      <w:r w:rsidRPr="0076152E">
        <w:t>Science</w:t>
      </w:r>
      <w:r w:rsidR="0013032F" w:rsidRPr="0076152E">
        <w:t xml:space="preserve"> </w:t>
      </w:r>
      <w:r w:rsidRPr="0076152E">
        <w:t>and</w:t>
      </w:r>
      <w:r w:rsidR="0013032F" w:rsidRPr="0076152E">
        <w:t xml:space="preserve"> </w:t>
      </w:r>
      <w:r w:rsidRPr="0076152E">
        <w:t>Technology</w:t>
      </w:r>
      <w:r w:rsidR="0013032F" w:rsidRPr="0076152E">
        <w:t xml:space="preserve"> </w:t>
      </w:r>
      <w:r w:rsidRPr="0076152E">
        <w:t>Centre</w:t>
      </w:r>
      <w:r w:rsidR="0013032F" w:rsidRPr="0076152E">
        <w:t xml:space="preserve"> </w:t>
      </w:r>
      <w:r w:rsidRPr="0076152E">
        <w:t>in</w:t>
      </w:r>
      <w:r w:rsidR="0013032F" w:rsidRPr="0076152E">
        <w:t xml:space="preserve"> </w:t>
      </w:r>
      <w:r w:rsidRPr="0076152E">
        <w:t>May</w:t>
      </w:r>
      <w:r w:rsidR="0013032F" w:rsidRPr="0076152E">
        <w:t xml:space="preserve"> </w:t>
      </w:r>
      <w:r w:rsidRPr="0076152E">
        <w:t>2023.</w:t>
      </w:r>
      <w:r w:rsidR="0013032F" w:rsidRPr="0076152E">
        <w:t xml:space="preserve"> </w:t>
      </w:r>
      <w:r w:rsidRPr="0076152E">
        <w:t>Double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size</w:t>
      </w:r>
      <w:r w:rsidR="0013032F" w:rsidRPr="0076152E">
        <w:t xml:space="preserve"> </w:t>
      </w:r>
      <w:r w:rsidRPr="0076152E">
        <w:t>of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original</w:t>
      </w:r>
      <w:r w:rsidR="0013032F" w:rsidRPr="0076152E">
        <w:t xml:space="preserve"> </w:t>
      </w:r>
      <w:r w:rsidRPr="0076152E">
        <w:t>site,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project</w:t>
      </w:r>
      <w:r w:rsidR="0013032F" w:rsidRPr="0076152E">
        <w:t xml:space="preserve"> </w:t>
      </w:r>
      <w:r w:rsidRPr="0076152E">
        <w:t>was</w:t>
      </w:r>
      <w:r w:rsidR="0013032F" w:rsidRPr="0076152E">
        <w:t xml:space="preserve"> </w:t>
      </w:r>
      <w:r w:rsidRPr="0076152E">
        <w:t>backed</w:t>
      </w:r>
      <w:r w:rsidR="0013032F" w:rsidRPr="0076152E">
        <w:t xml:space="preserve"> </w:t>
      </w:r>
      <w:r w:rsidRPr="0076152E">
        <w:t>by</w:t>
      </w:r>
      <w:r w:rsidR="0013032F" w:rsidRPr="0076152E">
        <w:t xml:space="preserve"> </w:t>
      </w:r>
      <w:r w:rsidRPr="0076152E">
        <w:t>$250,000</w:t>
      </w:r>
      <w:r w:rsidR="0013032F" w:rsidRPr="0076152E">
        <w:t xml:space="preserve"> </w:t>
      </w:r>
      <w:r w:rsidRPr="0076152E">
        <w:t>from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Regional</w:t>
      </w:r>
      <w:r w:rsidR="0013032F" w:rsidRPr="0076152E">
        <w:t xml:space="preserve"> </w:t>
      </w:r>
      <w:r w:rsidRPr="0076152E">
        <w:t>Tourism</w:t>
      </w:r>
      <w:r w:rsidR="0013032F" w:rsidRPr="0076152E">
        <w:t xml:space="preserve"> </w:t>
      </w:r>
      <w:r w:rsidRPr="0076152E">
        <w:t>Investment</w:t>
      </w:r>
      <w:r w:rsidR="0013032F" w:rsidRPr="0076152E">
        <w:t xml:space="preserve"> </w:t>
      </w:r>
      <w:r w:rsidRPr="0076152E">
        <w:t>Fund</w:t>
      </w:r>
      <w:r w:rsidR="0013032F" w:rsidRPr="0076152E">
        <w:t xml:space="preserve"> </w:t>
      </w:r>
      <w:r w:rsidRPr="0076152E">
        <w:t>to</w:t>
      </w:r>
      <w:r w:rsidR="0013032F" w:rsidRPr="0076152E">
        <w:t xml:space="preserve"> </w:t>
      </w:r>
      <w:r w:rsidRPr="0076152E">
        <w:t>attract</w:t>
      </w:r>
      <w:r w:rsidR="0013032F" w:rsidRPr="0076152E">
        <w:t xml:space="preserve"> </w:t>
      </w:r>
      <w:r w:rsidRPr="0076152E">
        <w:t>even</w:t>
      </w:r>
      <w:r w:rsidR="0013032F" w:rsidRPr="0076152E">
        <w:t xml:space="preserve"> </w:t>
      </w:r>
      <w:r w:rsidRPr="0076152E">
        <w:t>more</w:t>
      </w:r>
      <w:r w:rsidR="0013032F" w:rsidRPr="0076152E">
        <w:t xml:space="preserve"> </w:t>
      </w:r>
      <w:r w:rsidRPr="0076152E">
        <w:t>visitors</w:t>
      </w:r>
      <w:r w:rsidR="0013032F" w:rsidRPr="0076152E">
        <w:t xml:space="preserve"> </w:t>
      </w:r>
      <w:r w:rsidRPr="0076152E">
        <w:t>to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region.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redesigned</w:t>
      </w:r>
      <w:r w:rsidR="0013032F" w:rsidRPr="0076152E">
        <w:t xml:space="preserve"> </w:t>
      </w:r>
      <w:r w:rsidRPr="0076152E">
        <w:t>planetarium</w:t>
      </w:r>
      <w:r w:rsidR="0013032F" w:rsidRPr="0076152E">
        <w:t xml:space="preserve"> </w:t>
      </w:r>
      <w:r w:rsidRPr="0076152E">
        <w:t>is</w:t>
      </w:r>
      <w:r w:rsidR="0013032F" w:rsidRPr="0076152E">
        <w:t xml:space="preserve"> </w:t>
      </w:r>
      <w:r w:rsidRPr="0076152E">
        <w:t>centred</w:t>
      </w:r>
      <w:r w:rsidR="0013032F" w:rsidRPr="0076152E">
        <w:t xml:space="preserve"> </w:t>
      </w:r>
      <w:r w:rsidRPr="0076152E">
        <w:t>around</w:t>
      </w:r>
      <w:r w:rsidR="0013032F" w:rsidRPr="0076152E">
        <w:t xml:space="preserve"> </w:t>
      </w:r>
      <w:r w:rsidRPr="0076152E">
        <w:t>a</w:t>
      </w:r>
      <w:r w:rsidR="0013032F" w:rsidRPr="0076152E">
        <w:t xml:space="preserve"> </w:t>
      </w:r>
      <w:r w:rsidRPr="0076152E">
        <w:t>state-of-the-art</w:t>
      </w:r>
      <w:r w:rsidR="0013032F" w:rsidRPr="0076152E">
        <w:t xml:space="preserve"> </w:t>
      </w:r>
      <w:r w:rsidRPr="0076152E">
        <w:t>dome</w:t>
      </w:r>
      <w:r w:rsidR="0013032F" w:rsidRPr="0076152E">
        <w:t xml:space="preserve"> </w:t>
      </w:r>
      <w:r w:rsidRPr="0076152E">
        <w:t>theatre</w:t>
      </w:r>
      <w:r w:rsidR="0013032F" w:rsidRPr="0076152E">
        <w:t xml:space="preserve"> </w:t>
      </w:r>
      <w:r w:rsidRPr="0076152E">
        <w:t>that</w:t>
      </w:r>
      <w:r w:rsidR="0013032F" w:rsidRPr="0076152E">
        <w:t xml:space="preserve"> </w:t>
      </w:r>
      <w:r w:rsidRPr="0076152E">
        <w:t>displays</w:t>
      </w:r>
      <w:r w:rsidR="0013032F" w:rsidRPr="0076152E">
        <w:t xml:space="preserve"> </w:t>
      </w:r>
      <w:r w:rsidRPr="0076152E">
        <w:t>high-resolution</w:t>
      </w:r>
      <w:r w:rsidR="0013032F" w:rsidRPr="0076152E">
        <w:t xml:space="preserve"> </w:t>
      </w:r>
      <w:r w:rsidRPr="0076152E">
        <w:t>images</w:t>
      </w:r>
      <w:r w:rsidR="0013032F" w:rsidRPr="0076152E">
        <w:t xml:space="preserve"> </w:t>
      </w:r>
      <w:r w:rsidRPr="0076152E">
        <w:t>of</w:t>
      </w:r>
      <w:r w:rsidR="0013032F" w:rsidRPr="0076152E">
        <w:t xml:space="preserve"> </w:t>
      </w:r>
      <w:r w:rsidRPr="0076152E">
        <w:t>planets</w:t>
      </w:r>
      <w:r w:rsidR="0013032F" w:rsidRPr="0076152E">
        <w:t xml:space="preserve"> </w:t>
      </w:r>
      <w:r w:rsidRPr="0076152E">
        <w:t>and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cosmos</w:t>
      </w:r>
      <w:r w:rsidR="0013032F" w:rsidRPr="0076152E">
        <w:t xml:space="preserve"> </w:t>
      </w:r>
      <w:r w:rsidRPr="0076152E">
        <w:t>to</w:t>
      </w:r>
      <w:r w:rsidR="0013032F" w:rsidRPr="0076152E">
        <w:t xml:space="preserve"> </w:t>
      </w:r>
      <w:r w:rsidRPr="0076152E">
        <w:t>teach</w:t>
      </w:r>
      <w:r w:rsidR="0013032F" w:rsidRPr="0076152E">
        <w:t xml:space="preserve"> </w:t>
      </w:r>
      <w:r w:rsidRPr="0076152E">
        <w:t>audiences</w:t>
      </w:r>
      <w:r w:rsidR="0013032F" w:rsidRPr="0076152E">
        <w:t xml:space="preserve"> </w:t>
      </w:r>
      <w:r w:rsidRPr="0076152E">
        <w:t>about</w:t>
      </w:r>
      <w:r w:rsidR="0013032F" w:rsidRPr="0076152E">
        <w:t xml:space="preserve"> </w:t>
      </w:r>
      <w:r w:rsidRPr="0076152E">
        <w:t>space.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new</w:t>
      </w:r>
      <w:r w:rsidR="0013032F" w:rsidRPr="0076152E">
        <w:t xml:space="preserve"> </w:t>
      </w:r>
      <w:r w:rsidRPr="0076152E">
        <w:t>planetarium</w:t>
      </w:r>
      <w:r w:rsidR="0013032F" w:rsidRPr="0076152E">
        <w:t xml:space="preserve"> </w:t>
      </w:r>
      <w:r w:rsidRPr="0076152E">
        <w:t>is</w:t>
      </w:r>
      <w:r w:rsidR="0013032F" w:rsidRPr="0076152E">
        <w:t xml:space="preserve"> </w:t>
      </w:r>
      <w:r w:rsidRPr="0076152E">
        <w:t>expected</w:t>
      </w:r>
      <w:r w:rsidR="0013032F" w:rsidRPr="0076152E">
        <w:t xml:space="preserve"> </w:t>
      </w:r>
      <w:r w:rsidRPr="0076152E">
        <w:t>to</w:t>
      </w:r>
      <w:r w:rsidR="0013032F" w:rsidRPr="0076152E">
        <w:t xml:space="preserve"> </w:t>
      </w:r>
      <w:r w:rsidRPr="0076152E">
        <w:t>attract</w:t>
      </w:r>
      <w:r w:rsidR="0013032F" w:rsidRPr="0076152E">
        <w:t xml:space="preserve"> </w:t>
      </w:r>
      <w:r w:rsidRPr="0076152E">
        <w:t>more</w:t>
      </w:r>
      <w:r w:rsidR="0013032F" w:rsidRPr="0076152E">
        <w:t xml:space="preserve"> </w:t>
      </w:r>
      <w:r w:rsidRPr="0076152E">
        <w:t>than</w:t>
      </w:r>
      <w:r w:rsidR="0013032F" w:rsidRPr="0076152E">
        <w:t xml:space="preserve"> </w:t>
      </w:r>
      <w:r w:rsidRPr="0076152E">
        <w:t>14,000</w:t>
      </w:r>
      <w:r w:rsidR="0013032F" w:rsidRPr="0076152E">
        <w:t xml:space="preserve"> </w:t>
      </w:r>
      <w:r w:rsidRPr="0076152E">
        <w:t>new</w:t>
      </w:r>
      <w:r w:rsidR="0013032F" w:rsidRPr="0076152E">
        <w:t xml:space="preserve"> </w:t>
      </w:r>
      <w:r w:rsidRPr="0076152E">
        <w:t>visitors</w:t>
      </w:r>
      <w:r w:rsidR="0013032F" w:rsidRPr="0076152E">
        <w:t xml:space="preserve"> </w:t>
      </w:r>
      <w:r w:rsidRPr="0076152E">
        <w:t>to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region</w:t>
      </w:r>
      <w:r w:rsidR="0013032F" w:rsidRPr="0076152E">
        <w:t xml:space="preserve"> </w:t>
      </w:r>
      <w:r w:rsidRPr="0076152E">
        <w:t>annually.</w:t>
      </w:r>
    </w:p>
    <w:p w14:paraId="5A1C68AE" w14:textId="077EACE2" w:rsidR="00757772" w:rsidRPr="0076152E" w:rsidRDefault="00305D3C" w:rsidP="0076152E">
      <w:pPr>
        <w:pStyle w:val="Normalbeforebullets"/>
        <w:rPr>
          <w:b/>
          <w:bCs/>
        </w:rPr>
      </w:pPr>
      <w:r w:rsidRPr="0076152E">
        <w:rPr>
          <w:b/>
          <w:bCs/>
        </w:rPr>
        <w:t>Lost</w:t>
      </w:r>
      <w:r w:rsidR="0013032F" w:rsidRPr="0076152E">
        <w:rPr>
          <w:b/>
          <w:bCs/>
        </w:rPr>
        <w:t xml:space="preserve"> </w:t>
      </w:r>
      <w:r w:rsidRPr="0076152E">
        <w:rPr>
          <w:b/>
          <w:bCs/>
        </w:rPr>
        <w:t>Watering</w:t>
      </w:r>
      <w:r w:rsidR="0013032F" w:rsidRPr="0076152E">
        <w:rPr>
          <w:b/>
          <w:bCs/>
        </w:rPr>
        <w:t xml:space="preserve"> </w:t>
      </w:r>
      <w:r w:rsidRPr="0076152E">
        <w:rPr>
          <w:b/>
          <w:bCs/>
        </w:rPr>
        <w:t>Hole</w:t>
      </w:r>
      <w:r w:rsidR="0013032F" w:rsidRPr="0076152E">
        <w:rPr>
          <w:b/>
          <w:bCs/>
        </w:rPr>
        <w:t xml:space="preserve"> </w:t>
      </w:r>
      <w:r w:rsidRPr="0076152E">
        <w:rPr>
          <w:b/>
          <w:bCs/>
        </w:rPr>
        <w:t>Brewery</w:t>
      </w:r>
    </w:p>
    <w:p w14:paraId="0EE8B7E7" w14:textId="6BA92CD9" w:rsidR="00757772" w:rsidRPr="0076152E" w:rsidRDefault="00305D3C" w:rsidP="0076152E">
      <w:r w:rsidRPr="0076152E">
        <w:t>Supported</w:t>
      </w:r>
      <w:r w:rsidR="0013032F" w:rsidRPr="0076152E">
        <w:t xml:space="preserve"> </w:t>
      </w:r>
      <w:r w:rsidRPr="0076152E">
        <w:t>Lancefield’s</w:t>
      </w:r>
      <w:r w:rsidR="0013032F" w:rsidRPr="0076152E">
        <w:t xml:space="preserve"> </w:t>
      </w:r>
      <w:r w:rsidRPr="0076152E">
        <w:t>Lost</w:t>
      </w:r>
      <w:r w:rsidR="0013032F" w:rsidRPr="0076152E">
        <w:t xml:space="preserve"> </w:t>
      </w:r>
      <w:r w:rsidRPr="0076152E">
        <w:t>Watering</w:t>
      </w:r>
      <w:r w:rsidR="0013032F" w:rsidRPr="0076152E">
        <w:t xml:space="preserve"> </w:t>
      </w:r>
      <w:r w:rsidRPr="0076152E">
        <w:t>Hole</w:t>
      </w:r>
      <w:r w:rsidR="0013032F" w:rsidRPr="0076152E">
        <w:t xml:space="preserve"> </w:t>
      </w:r>
      <w:r w:rsidRPr="0076152E">
        <w:t>Brewery</w:t>
      </w:r>
      <w:r w:rsidR="0013032F" w:rsidRPr="0076152E">
        <w:t xml:space="preserve"> </w:t>
      </w:r>
      <w:r w:rsidRPr="0076152E">
        <w:t>with</w:t>
      </w:r>
      <w:r w:rsidR="0013032F" w:rsidRPr="0076152E">
        <w:t xml:space="preserve"> </w:t>
      </w:r>
      <w:r w:rsidRPr="0076152E">
        <w:t>$200,000</w:t>
      </w:r>
      <w:r w:rsidR="0013032F" w:rsidRPr="0076152E">
        <w:t xml:space="preserve"> </w:t>
      </w:r>
      <w:r w:rsidRPr="0076152E">
        <w:t>from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Regional</w:t>
      </w:r>
      <w:r w:rsidR="0013032F" w:rsidRPr="0076152E">
        <w:t xml:space="preserve"> </w:t>
      </w:r>
      <w:r w:rsidRPr="0076152E">
        <w:t>Jobs</w:t>
      </w:r>
      <w:r w:rsidR="0013032F" w:rsidRPr="0076152E">
        <w:t xml:space="preserve"> </w:t>
      </w:r>
      <w:r w:rsidRPr="0076152E">
        <w:t>Fund.</w:t>
      </w:r>
      <w:r w:rsidR="0013032F" w:rsidRPr="0076152E">
        <w:t xml:space="preserve"> </w:t>
      </w:r>
      <w:r w:rsidRPr="0076152E">
        <w:t>Since</w:t>
      </w:r>
      <w:r w:rsidR="0013032F" w:rsidRPr="0076152E">
        <w:t xml:space="preserve"> </w:t>
      </w:r>
      <w:r w:rsidRPr="0076152E">
        <w:t>opening</w:t>
      </w:r>
      <w:r w:rsidR="0013032F" w:rsidRPr="0076152E">
        <w:t xml:space="preserve"> </w:t>
      </w:r>
      <w:r w:rsidRPr="0076152E">
        <w:t>in</w:t>
      </w:r>
      <w:r w:rsidR="0013032F" w:rsidRPr="0076152E">
        <w:t xml:space="preserve"> </w:t>
      </w:r>
      <w:r w:rsidRPr="0076152E">
        <w:t>December</w:t>
      </w:r>
      <w:r w:rsidR="0013032F" w:rsidRPr="0076152E">
        <w:t xml:space="preserve"> </w:t>
      </w:r>
      <w:r w:rsidRPr="0076152E">
        <w:t>2022,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independent</w:t>
      </w:r>
      <w:r w:rsidR="0013032F" w:rsidRPr="0076152E">
        <w:t xml:space="preserve"> </w:t>
      </w:r>
      <w:r w:rsidRPr="0076152E">
        <w:t>brewery</w:t>
      </w:r>
      <w:r w:rsidR="0013032F" w:rsidRPr="0076152E">
        <w:t xml:space="preserve"> </w:t>
      </w:r>
      <w:r w:rsidRPr="0076152E">
        <w:t>has</w:t>
      </w:r>
      <w:r w:rsidR="0013032F" w:rsidRPr="0076152E">
        <w:t xml:space="preserve"> </w:t>
      </w:r>
      <w:r w:rsidRPr="0076152E">
        <w:t>produced</w:t>
      </w:r>
      <w:r w:rsidR="0013032F" w:rsidRPr="0076152E">
        <w:t xml:space="preserve"> </w:t>
      </w:r>
      <w:r w:rsidRPr="0076152E">
        <w:t>2,000</w:t>
      </w:r>
      <w:r w:rsidR="0013032F" w:rsidRPr="0076152E">
        <w:t xml:space="preserve"> </w:t>
      </w:r>
      <w:r w:rsidRPr="0076152E">
        <w:t>litres</w:t>
      </w:r>
      <w:r w:rsidR="0013032F" w:rsidRPr="0076152E">
        <w:t xml:space="preserve"> </w:t>
      </w:r>
      <w:r w:rsidRPr="0076152E">
        <w:t>of</w:t>
      </w:r>
      <w:r w:rsidR="0013032F" w:rsidRPr="0076152E">
        <w:t xml:space="preserve"> </w:t>
      </w:r>
      <w:r w:rsidRPr="0076152E">
        <w:t>beer</w:t>
      </w:r>
      <w:r w:rsidR="0013032F" w:rsidRPr="0076152E">
        <w:t xml:space="preserve"> </w:t>
      </w:r>
      <w:r w:rsidRPr="0076152E">
        <w:t>per</w:t>
      </w:r>
      <w:r w:rsidR="0013032F" w:rsidRPr="0076152E">
        <w:t xml:space="preserve"> </w:t>
      </w:r>
      <w:r w:rsidRPr="0076152E">
        <w:t>week</w:t>
      </w:r>
      <w:r w:rsidR="0013032F" w:rsidRPr="0076152E">
        <w:t xml:space="preserve"> </w:t>
      </w:r>
      <w:r w:rsidRPr="0076152E">
        <w:t>and</w:t>
      </w:r>
      <w:r w:rsidR="0013032F" w:rsidRPr="0076152E">
        <w:t xml:space="preserve"> </w:t>
      </w:r>
      <w:r w:rsidRPr="0076152E">
        <w:t>has</w:t>
      </w:r>
      <w:r w:rsidR="0013032F" w:rsidRPr="0076152E">
        <w:t xml:space="preserve"> </w:t>
      </w:r>
      <w:r w:rsidRPr="0076152E">
        <w:t>served</w:t>
      </w:r>
      <w:r w:rsidR="0013032F" w:rsidRPr="0076152E">
        <w:t xml:space="preserve"> </w:t>
      </w:r>
      <w:r w:rsidRPr="0076152E">
        <w:t>a</w:t>
      </w:r>
      <w:r w:rsidR="0013032F" w:rsidRPr="0076152E">
        <w:t xml:space="preserve"> </w:t>
      </w:r>
      <w:r w:rsidRPr="0076152E">
        <w:t>total</w:t>
      </w:r>
      <w:r w:rsidR="0013032F" w:rsidRPr="0076152E">
        <w:t xml:space="preserve"> </w:t>
      </w:r>
      <w:r w:rsidRPr="0076152E">
        <w:t>of</w:t>
      </w:r>
      <w:r w:rsidR="0013032F" w:rsidRPr="0076152E">
        <w:t xml:space="preserve"> </w:t>
      </w:r>
      <w:r w:rsidRPr="0076152E">
        <w:t>14,000</w:t>
      </w:r>
      <w:r w:rsidR="0013032F" w:rsidRPr="0076152E">
        <w:t xml:space="preserve"> </w:t>
      </w:r>
      <w:r w:rsidRPr="0076152E">
        <w:t>meals</w:t>
      </w:r>
      <w:r w:rsidR="0013032F" w:rsidRPr="0076152E">
        <w:t xml:space="preserve"> </w:t>
      </w:r>
      <w:r w:rsidRPr="0076152E">
        <w:t>at</w:t>
      </w:r>
      <w:r w:rsidR="0013032F" w:rsidRPr="0076152E">
        <w:t xml:space="preserve"> </w:t>
      </w:r>
      <w:r w:rsidRPr="0076152E">
        <w:t>its</w:t>
      </w:r>
      <w:r w:rsidR="0013032F" w:rsidRPr="0076152E">
        <w:t xml:space="preserve"> </w:t>
      </w:r>
      <w:r w:rsidRPr="0076152E">
        <w:t>restaurant,</w:t>
      </w:r>
      <w:r w:rsidR="0013032F" w:rsidRPr="0076152E">
        <w:t xml:space="preserve"> </w:t>
      </w:r>
      <w:r w:rsidRPr="0076152E">
        <w:t>proving</w:t>
      </w:r>
      <w:r w:rsidR="0013032F" w:rsidRPr="0076152E">
        <w:t xml:space="preserve"> </w:t>
      </w:r>
      <w:r w:rsidRPr="0076152E">
        <w:t>a</w:t>
      </w:r>
      <w:r w:rsidR="0013032F" w:rsidRPr="0076152E">
        <w:t xml:space="preserve"> </w:t>
      </w:r>
      <w:r w:rsidRPr="0076152E">
        <w:t>key</w:t>
      </w:r>
      <w:r w:rsidR="0013032F" w:rsidRPr="0076152E">
        <w:t xml:space="preserve"> </w:t>
      </w:r>
      <w:r w:rsidRPr="0076152E">
        <w:t>tourist</w:t>
      </w:r>
      <w:r w:rsidR="0013032F" w:rsidRPr="0076152E">
        <w:t xml:space="preserve"> </w:t>
      </w:r>
      <w:r w:rsidRPr="0076152E">
        <w:t>destination</w:t>
      </w:r>
      <w:r w:rsidR="0013032F" w:rsidRPr="0076152E">
        <w:t xml:space="preserve"> </w:t>
      </w:r>
      <w:r w:rsidRPr="0076152E">
        <w:t>for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region.</w:t>
      </w:r>
    </w:p>
    <w:p w14:paraId="10E3C07C" w14:textId="50CCDA05" w:rsidR="00757772" w:rsidRPr="0076152E" w:rsidRDefault="00305D3C" w:rsidP="0076152E">
      <w:pPr>
        <w:pStyle w:val="Normalbeforebullets"/>
        <w:rPr>
          <w:b/>
          <w:bCs/>
        </w:rPr>
      </w:pPr>
      <w:r w:rsidRPr="0076152E">
        <w:rPr>
          <w:b/>
          <w:bCs/>
        </w:rPr>
        <w:t>Promoting</w:t>
      </w:r>
      <w:r w:rsidR="0013032F" w:rsidRPr="0076152E">
        <w:rPr>
          <w:b/>
          <w:bCs/>
        </w:rPr>
        <w:t xml:space="preserve"> </w:t>
      </w:r>
      <w:r w:rsidRPr="0076152E">
        <w:rPr>
          <w:b/>
          <w:bCs/>
        </w:rPr>
        <w:t>health</w:t>
      </w:r>
      <w:r w:rsidR="0013032F" w:rsidRPr="0076152E">
        <w:rPr>
          <w:b/>
          <w:bCs/>
        </w:rPr>
        <w:t xml:space="preserve"> </w:t>
      </w:r>
      <w:r w:rsidRPr="0076152E">
        <w:rPr>
          <w:b/>
          <w:bCs/>
        </w:rPr>
        <w:t>and</w:t>
      </w:r>
      <w:r w:rsidR="0013032F" w:rsidRPr="0076152E">
        <w:rPr>
          <w:b/>
          <w:bCs/>
        </w:rPr>
        <w:t xml:space="preserve"> </w:t>
      </w:r>
      <w:r w:rsidRPr="0076152E">
        <w:rPr>
          <w:b/>
          <w:bCs/>
        </w:rPr>
        <w:t>wellbeing</w:t>
      </w:r>
      <w:r w:rsidR="0013032F" w:rsidRPr="0076152E">
        <w:rPr>
          <w:b/>
          <w:bCs/>
        </w:rPr>
        <w:t xml:space="preserve"> </w:t>
      </w:r>
      <w:r w:rsidRPr="0076152E">
        <w:rPr>
          <w:b/>
          <w:bCs/>
        </w:rPr>
        <w:t>in</w:t>
      </w:r>
      <w:r w:rsidR="0013032F" w:rsidRPr="0076152E">
        <w:rPr>
          <w:b/>
          <w:bCs/>
        </w:rPr>
        <w:t xml:space="preserve"> </w:t>
      </w:r>
      <w:r w:rsidRPr="0076152E">
        <w:rPr>
          <w:b/>
          <w:bCs/>
        </w:rPr>
        <w:t>Romsey</w:t>
      </w:r>
    </w:p>
    <w:p w14:paraId="0C5C04EE" w14:textId="07564258" w:rsidR="00757772" w:rsidRPr="0076152E" w:rsidRDefault="00305D3C" w:rsidP="0076152E">
      <w:r w:rsidRPr="0076152E">
        <w:t>Supported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community-led</w:t>
      </w:r>
      <w:r w:rsidR="0013032F" w:rsidRPr="0076152E">
        <w:t xml:space="preserve"> </w:t>
      </w:r>
      <w:r w:rsidRPr="0076152E">
        <w:t>Romsey</w:t>
      </w:r>
      <w:r w:rsidR="0013032F" w:rsidRPr="0076152E">
        <w:t xml:space="preserve"> </w:t>
      </w:r>
      <w:r w:rsidRPr="0076152E">
        <w:t>Ecotherapy</w:t>
      </w:r>
      <w:r w:rsidR="0013032F" w:rsidRPr="0076152E">
        <w:t xml:space="preserve"> </w:t>
      </w:r>
      <w:r w:rsidRPr="0076152E">
        <w:t>Park.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community-driven</w:t>
      </w:r>
      <w:r w:rsidR="0013032F" w:rsidRPr="0076152E">
        <w:t xml:space="preserve"> </w:t>
      </w:r>
      <w:r w:rsidRPr="0076152E">
        <w:t>project</w:t>
      </w:r>
      <w:r w:rsidR="0013032F" w:rsidRPr="0076152E">
        <w:t xml:space="preserve"> </w:t>
      </w:r>
      <w:r w:rsidRPr="0076152E">
        <w:t>created</w:t>
      </w:r>
      <w:r w:rsidR="0013032F" w:rsidRPr="0076152E">
        <w:t xml:space="preserve"> </w:t>
      </w:r>
      <w:r w:rsidRPr="0076152E">
        <w:t>up</w:t>
      </w:r>
      <w:r w:rsidR="0013032F" w:rsidRPr="0076152E">
        <w:t xml:space="preserve"> </w:t>
      </w:r>
      <w:r w:rsidRPr="0076152E">
        <w:t>to</w:t>
      </w:r>
      <w:r w:rsidR="0013032F" w:rsidRPr="0076152E">
        <w:t xml:space="preserve"> </w:t>
      </w:r>
      <w:r w:rsidRPr="0076152E">
        <w:t>12</w:t>
      </w:r>
      <w:r w:rsidR="0013032F" w:rsidRPr="0076152E">
        <w:t xml:space="preserve"> </w:t>
      </w:r>
      <w:r w:rsidRPr="0076152E">
        <w:t>jobs</w:t>
      </w:r>
      <w:r w:rsidR="0013032F" w:rsidRPr="0076152E">
        <w:t xml:space="preserve"> </w:t>
      </w:r>
      <w:r w:rsidRPr="0076152E">
        <w:t>during</w:t>
      </w:r>
      <w:r w:rsidR="0013032F" w:rsidRPr="0076152E">
        <w:t xml:space="preserve"> </w:t>
      </w:r>
      <w:r w:rsidRPr="0076152E">
        <w:t>construction</w:t>
      </w:r>
      <w:r w:rsidR="0013032F" w:rsidRPr="0076152E">
        <w:t xml:space="preserve"> </w:t>
      </w:r>
      <w:r w:rsidRPr="0076152E">
        <w:t>and</w:t>
      </w:r>
      <w:r w:rsidR="0013032F" w:rsidRPr="0076152E">
        <w:t xml:space="preserve"> </w:t>
      </w:r>
      <w:r w:rsidRPr="0076152E">
        <w:t>is</w:t>
      </w:r>
      <w:r w:rsidR="0013032F" w:rsidRPr="0076152E">
        <w:t xml:space="preserve"> </w:t>
      </w:r>
      <w:r w:rsidRPr="0076152E">
        <w:t>expected</w:t>
      </w:r>
      <w:r w:rsidR="0013032F" w:rsidRPr="0076152E">
        <w:t xml:space="preserve"> </w:t>
      </w:r>
      <w:r w:rsidRPr="0076152E">
        <w:t>to</w:t>
      </w:r>
      <w:r w:rsidR="0013032F" w:rsidRPr="0076152E">
        <w:t xml:space="preserve"> </w:t>
      </w:r>
      <w:r w:rsidRPr="0076152E">
        <w:t>create</w:t>
      </w:r>
      <w:r w:rsidR="0013032F" w:rsidRPr="0076152E">
        <w:t xml:space="preserve"> </w:t>
      </w:r>
      <w:r w:rsidRPr="0076152E">
        <w:t>flow-on</w:t>
      </w:r>
      <w:r w:rsidR="0013032F" w:rsidRPr="0076152E">
        <w:t xml:space="preserve"> </w:t>
      </w:r>
      <w:r w:rsidRPr="0076152E">
        <w:t>opportunities</w:t>
      </w:r>
      <w:r w:rsidR="0013032F" w:rsidRPr="0076152E">
        <w:t xml:space="preserve"> </w:t>
      </w:r>
      <w:r w:rsidRPr="0076152E">
        <w:t>for</w:t>
      </w:r>
      <w:r w:rsidR="0013032F" w:rsidRPr="0076152E">
        <w:t xml:space="preserve"> </w:t>
      </w:r>
      <w:r w:rsidRPr="0076152E">
        <w:t>local</w:t>
      </w:r>
      <w:r w:rsidR="0013032F" w:rsidRPr="0076152E">
        <w:t xml:space="preserve"> </w:t>
      </w:r>
      <w:r w:rsidRPr="0076152E">
        <w:t>businesses</w:t>
      </w:r>
      <w:r w:rsidR="0013032F" w:rsidRPr="0076152E">
        <w:t xml:space="preserve"> </w:t>
      </w:r>
      <w:r w:rsidRPr="0076152E">
        <w:t>through</w:t>
      </w:r>
      <w:r w:rsidR="0013032F" w:rsidRPr="0076152E">
        <w:t xml:space="preserve"> </w:t>
      </w:r>
      <w:r w:rsidRPr="0076152E">
        <w:t>increased</w:t>
      </w:r>
      <w:r w:rsidR="0013032F" w:rsidRPr="0076152E">
        <w:t xml:space="preserve"> </w:t>
      </w:r>
      <w:r w:rsidRPr="0076152E">
        <w:t>visitation</w:t>
      </w:r>
      <w:r w:rsidR="0013032F" w:rsidRPr="0076152E">
        <w:t xml:space="preserve"> </w:t>
      </w:r>
      <w:r w:rsidRPr="0076152E">
        <w:t>to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area.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project’s</w:t>
      </w:r>
      <w:r w:rsidR="0013032F" w:rsidRPr="0076152E">
        <w:t xml:space="preserve"> </w:t>
      </w:r>
      <w:r w:rsidRPr="0076152E">
        <w:t>construc</w:t>
      </w:r>
      <w:r w:rsidRPr="0076152E">
        <w:t>tion</w:t>
      </w:r>
      <w:r w:rsidR="0013032F" w:rsidRPr="0076152E">
        <w:t xml:space="preserve"> </w:t>
      </w:r>
      <w:r w:rsidRPr="0076152E">
        <w:t>was</w:t>
      </w:r>
      <w:r w:rsidR="0013032F" w:rsidRPr="0076152E">
        <w:t xml:space="preserve"> </w:t>
      </w:r>
      <w:r w:rsidRPr="0076152E">
        <w:t>supported</w:t>
      </w:r>
      <w:r w:rsidR="0013032F" w:rsidRPr="0076152E">
        <w:t xml:space="preserve"> </w:t>
      </w:r>
      <w:r w:rsidRPr="0076152E">
        <w:t>by</w:t>
      </w:r>
      <w:r w:rsidR="0013032F" w:rsidRPr="0076152E">
        <w:t xml:space="preserve"> </w:t>
      </w:r>
      <w:r w:rsidRPr="0076152E">
        <w:t>a</w:t>
      </w:r>
      <w:r w:rsidR="0013032F" w:rsidRPr="0076152E">
        <w:t xml:space="preserve"> </w:t>
      </w:r>
      <w:r w:rsidRPr="0076152E">
        <w:t>$615,000</w:t>
      </w:r>
      <w:r w:rsidR="0013032F" w:rsidRPr="0076152E">
        <w:t xml:space="preserve"> </w:t>
      </w:r>
      <w:r w:rsidRPr="0076152E">
        <w:t>grant</w:t>
      </w:r>
      <w:r w:rsidR="0013032F" w:rsidRPr="0076152E">
        <w:t xml:space="preserve"> </w:t>
      </w:r>
      <w:r w:rsidRPr="0076152E">
        <w:t>from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Regional</w:t>
      </w:r>
      <w:r w:rsidR="0013032F" w:rsidRPr="0076152E">
        <w:t xml:space="preserve"> </w:t>
      </w:r>
      <w:r w:rsidRPr="0076152E">
        <w:t>Infrastructure</w:t>
      </w:r>
      <w:r w:rsidR="0013032F" w:rsidRPr="0076152E">
        <w:t xml:space="preserve"> </w:t>
      </w:r>
      <w:r w:rsidRPr="0076152E">
        <w:t>Fund.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free</w:t>
      </w:r>
      <w:r w:rsidR="0013032F" w:rsidRPr="0076152E">
        <w:t xml:space="preserve"> </w:t>
      </w:r>
      <w:r w:rsidRPr="0076152E">
        <w:t>public</w:t>
      </w:r>
      <w:r w:rsidR="0013032F" w:rsidRPr="0076152E">
        <w:t xml:space="preserve"> </w:t>
      </w:r>
      <w:r w:rsidRPr="0076152E">
        <w:t>park</w:t>
      </w:r>
      <w:r w:rsidR="0013032F" w:rsidRPr="0076152E">
        <w:t xml:space="preserve"> </w:t>
      </w:r>
      <w:r w:rsidRPr="0076152E">
        <w:t>opened</w:t>
      </w:r>
      <w:r w:rsidR="0013032F" w:rsidRPr="0076152E">
        <w:t xml:space="preserve"> </w:t>
      </w:r>
      <w:r w:rsidRPr="0076152E">
        <w:t>in</w:t>
      </w:r>
      <w:r w:rsidR="0013032F" w:rsidRPr="0076152E">
        <w:t xml:space="preserve"> </w:t>
      </w:r>
      <w:r w:rsidRPr="0076152E">
        <w:t>October</w:t>
      </w:r>
      <w:r w:rsidR="0013032F" w:rsidRPr="0076152E">
        <w:t xml:space="preserve"> </w:t>
      </w:r>
      <w:r w:rsidRPr="0076152E">
        <w:t>2022</w:t>
      </w:r>
      <w:r w:rsidR="0013032F" w:rsidRPr="0076152E">
        <w:t xml:space="preserve"> </w:t>
      </w:r>
      <w:r w:rsidRPr="0076152E">
        <w:t>and</w:t>
      </w:r>
      <w:r w:rsidR="0013032F" w:rsidRPr="0076152E">
        <w:t xml:space="preserve"> </w:t>
      </w:r>
      <w:r w:rsidRPr="0076152E">
        <w:t>was</w:t>
      </w:r>
      <w:r w:rsidR="0013032F" w:rsidRPr="0076152E">
        <w:t xml:space="preserve"> </w:t>
      </w:r>
      <w:r w:rsidRPr="0076152E">
        <w:t>developed</w:t>
      </w:r>
      <w:r w:rsidR="0013032F" w:rsidRPr="0076152E">
        <w:t xml:space="preserve"> </w:t>
      </w:r>
      <w:r w:rsidRPr="0076152E">
        <w:t>in</w:t>
      </w:r>
      <w:r w:rsidR="0013032F" w:rsidRPr="0076152E">
        <w:t xml:space="preserve"> </w:t>
      </w:r>
      <w:r w:rsidRPr="0076152E">
        <w:t>a</w:t>
      </w:r>
      <w:r w:rsidR="0013032F" w:rsidRPr="0076152E">
        <w:t xml:space="preserve"> </w:t>
      </w:r>
      <w:r w:rsidRPr="0076152E">
        <w:t>former</w:t>
      </w:r>
      <w:r w:rsidR="0013032F" w:rsidRPr="0076152E">
        <w:t xml:space="preserve"> </w:t>
      </w:r>
      <w:r w:rsidRPr="0076152E">
        <w:t>schoolyard</w:t>
      </w:r>
      <w:r w:rsidR="0013032F" w:rsidRPr="0076152E">
        <w:t xml:space="preserve"> </w:t>
      </w:r>
      <w:r w:rsidRPr="0076152E">
        <w:t>with</w:t>
      </w:r>
      <w:r w:rsidR="0013032F" w:rsidRPr="0076152E">
        <w:t xml:space="preserve"> </w:t>
      </w:r>
      <w:r w:rsidRPr="0076152E">
        <w:t>artworks</w:t>
      </w:r>
      <w:r w:rsidR="0013032F" w:rsidRPr="0076152E">
        <w:t xml:space="preserve"> </w:t>
      </w:r>
      <w:r w:rsidRPr="0076152E">
        <w:t>and</w:t>
      </w:r>
      <w:r w:rsidR="0013032F" w:rsidRPr="0076152E">
        <w:t xml:space="preserve"> </w:t>
      </w:r>
      <w:r w:rsidRPr="0076152E">
        <w:t>other</w:t>
      </w:r>
      <w:r w:rsidR="0013032F" w:rsidRPr="0076152E">
        <w:t xml:space="preserve"> </w:t>
      </w:r>
      <w:r w:rsidRPr="0076152E">
        <w:t>elements</w:t>
      </w:r>
      <w:r w:rsidR="0013032F" w:rsidRPr="0076152E">
        <w:t xml:space="preserve"> </w:t>
      </w:r>
      <w:r w:rsidRPr="0076152E">
        <w:t>designed</w:t>
      </w:r>
      <w:r w:rsidR="0013032F" w:rsidRPr="0076152E">
        <w:t xml:space="preserve"> </w:t>
      </w:r>
      <w:r w:rsidRPr="0076152E">
        <w:t>to</w:t>
      </w:r>
      <w:r w:rsidR="0013032F" w:rsidRPr="0076152E">
        <w:t xml:space="preserve"> </w:t>
      </w:r>
      <w:r w:rsidRPr="0076152E">
        <w:t>engage</w:t>
      </w:r>
      <w:r w:rsidR="0013032F" w:rsidRPr="0076152E">
        <w:t xml:space="preserve"> </w:t>
      </w:r>
      <w:r w:rsidRPr="0076152E">
        <w:t>all</w:t>
      </w:r>
      <w:r w:rsidR="0013032F" w:rsidRPr="0076152E">
        <w:t xml:space="preserve"> </w:t>
      </w:r>
      <w:r w:rsidRPr="0076152E">
        <w:t>the</w:t>
      </w:r>
      <w:r w:rsidR="0013032F" w:rsidRPr="0076152E">
        <w:t xml:space="preserve"> </w:t>
      </w:r>
      <w:r w:rsidRPr="0076152E">
        <w:t>senses</w:t>
      </w:r>
      <w:r w:rsidR="0013032F" w:rsidRPr="0076152E">
        <w:t xml:space="preserve"> </w:t>
      </w:r>
      <w:r w:rsidRPr="0076152E">
        <w:t>to</w:t>
      </w:r>
      <w:r w:rsidR="0013032F" w:rsidRPr="0076152E">
        <w:t xml:space="preserve"> </w:t>
      </w:r>
      <w:r w:rsidRPr="0076152E">
        <w:t>promote</w:t>
      </w:r>
      <w:r w:rsidR="0013032F" w:rsidRPr="0076152E">
        <w:t xml:space="preserve"> </w:t>
      </w:r>
      <w:r w:rsidRPr="0076152E">
        <w:t>health</w:t>
      </w:r>
      <w:r w:rsidR="0013032F" w:rsidRPr="0076152E">
        <w:t xml:space="preserve"> </w:t>
      </w:r>
      <w:r w:rsidRPr="0076152E">
        <w:t>and</w:t>
      </w:r>
      <w:r w:rsidR="0013032F" w:rsidRPr="0076152E">
        <w:t xml:space="preserve"> </w:t>
      </w:r>
      <w:r w:rsidRPr="0076152E">
        <w:t>wellbeing.</w:t>
      </w:r>
    </w:p>
    <w:p w14:paraId="4135D48F" w14:textId="7B12AB6D" w:rsidR="00757772" w:rsidRDefault="00305D3C" w:rsidP="0076152E">
      <w:pPr>
        <w:pStyle w:val="Heading1"/>
      </w:pPr>
      <w:bookmarkStart w:id="56" w:name="_Toc149566602"/>
      <w:r>
        <w:lastRenderedPageBreak/>
        <w:t>Financials</w:t>
      </w:r>
      <w:r w:rsidR="0013032F">
        <w:t xml:space="preserve"> </w:t>
      </w:r>
      <w:r>
        <w:t>2022–23</w:t>
      </w:r>
      <w:bookmarkEnd w:id="56"/>
    </w:p>
    <w:p w14:paraId="49285155" w14:textId="4C673B29" w:rsidR="00757772" w:rsidRDefault="00305D3C" w:rsidP="0076152E">
      <w:pPr>
        <w:pStyle w:val="Heading2"/>
      </w:pPr>
      <w:bookmarkStart w:id="57" w:name="_Toc149566603"/>
      <w:r>
        <w:t>2022–23</w:t>
      </w:r>
      <w:r w:rsidR="0013032F">
        <w:t xml:space="preserve"> </w:t>
      </w:r>
      <w:r>
        <w:t>output</w:t>
      </w:r>
      <w:r w:rsidR="0013032F">
        <w:t xml:space="preserve"> </w:t>
      </w:r>
      <w:r>
        <w:t>targets</w:t>
      </w:r>
      <w:r w:rsidR="0013032F">
        <w:t xml:space="preserve"> </w:t>
      </w:r>
      <w:r>
        <w:t>and</w:t>
      </w:r>
      <w:r w:rsidR="0013032F">
        <w:t xml:space="preserve"> </w:t>
      </w:r>
      <w:r>
        <w:t>performance</w:t>
      </w:r>
      <w:r w:rsidR="0013032F">
        <w:t xml:space="preserve"> </w:t>
      </w:r>
      <w:r>
        <w:t>against</w:t>
      </w:r>
      <w:r w:rsidR="0013032F">
        <w:t xml:space="preserve"> </w:t>
      </w:r>
      <w:r>
        <w:t>Budget</w:t>
      </w:r>
      <w:r w:rsidR="0013032F">
        <w:t xml:space="preserve"> </w:t>
      </w:r>
      <w:r>
        <w:t>Paper</w:t>
      </w:r>
      <w:r w:rsidR="0013032F">
        <w:t xml:space="preserve"> </w:t>
      </w:r>
      <w:r>
        <w:t>3</w:t>
      </w:r>
      <w:r w:rsidR="0013032F">
        <w:t xml:space="preserve"> </w:t>
      </w:r>
      <w:r>
        <w:t>measures</w:t>
      </w:r>
      <w:bookmarkEnd w:id="57"/>
    </w:p>
    <w:tbl>
      <w:tblPr>
        <w:tblStyle w:val="TableGrid"/>
        <w:tblW w:w="9715" w:type="dxa"/>
        <w:tblLayout w:type="fixed"/>
        <w:tblLook w:val="0020" w:firstRow="1" w:lastRow="0" w:firstColumn="0" w:lastColumn="0" w:noHBand="0" w:noVBand="0"/>
      </w:tblPr>
      <w:tblGrid>
        <w:gridCol w:w="4106"/>
        <w:gridCol w:w="1304"/>
        <w:gridCol w:w="1304"/>
        <w:gridCol w:w="1303"/>
        <w:gridCol w:w="1698"/>
      </w:tblGrid>
      <w:tr w:rsidR="00757772" w:rsidRPr="0076152E" w14:paraId="7A481A66" w14:textId="77777777" w:rsidTr="0076152E">
        <w:trPr>
          <w:trHeight w:val="623"/>
        </w:trPr>
        <w:tc>
          <w:tcPr>
            <w:tcW w:w="4106" w:type="dxa"/>
          </w:tcPr>
          <w:p w14:paraId="2AC50C7C" w14:textId="3AF57347" w:rsidR="00757772" w:rsidRPr="0076152E" w:rsidRDefault="00305D3C" w:rsidP="0076152E">
            <w:pPr>
              <w:pStyle w:val="TableColumnHeading"/>
            </w:pPr>
            <w:bookmarkStart w:id="58" w:name="ColumnTitles"/>
            <w:bookmarkEnd w:id="58"/>
            <w:r w:rsidRPr="0076152E">
              <w:rPr>
                <w:rStyle w:val="SEMIBOLD"/>
                <w:rFonts w:ascii="Arial" w:hAnsi="Arial" w:cs="Arial"/>
                <w:b/>
                <w:bCs w:val="0"/>
              </w:rPr>
              <w:t>Performance</w:t>
            </w:r>
            <w:r w:rsidR="0013032F" w:rsidRPr="0076152E">
              <w:rPr>
                <w:rStyle w:val="SEMIBOLD"/>
                <w:rFonts w:ascii="Arial" w:hAnsi="Arial" w:cs="Arial"/>
                <w:b/>
                <w:bCs w:val="0"/>
              </w:rPr>
              <w:t xml:space="preserve"> </w:t>
            </w:r>
            <w:r w:rsidRPr="0076152E">
              <w:rPr>
                <w:rStyle w:val="SEMIBOLD"/>
                <w:rFonts w:ascii="Arial" w:hAnsi="Arial" w:cs="Arial"/>
                <w:b/>
                <w:bCs w:val="0"/>
              </w:rPr>
              <w:t>measures</w:t>
            </w:r>
          </w:p>
        </w:tc>
        <w:tc>
          <w:tcPr>
            <w:tcW w:w="1304" w:type="dxa"/>
          </w:tcPr>
          <w:p w14:paraId="647CCC62" w14:textId="75544288" w:rsidR="00757772" w:rsidRPr="0076152E" w:rsidRDefault="00305D3C" w:rsidP="0076152E">
            <w:pPr>
              <w:pStyle w:val="TableColumnHeading"/>
            </w:pPr>
            <w:r w:rsidRPr="0076152E">
              <w:t>Unit</w:t>
            </w:r>
            <w:r w:rsidR="0013032F" w:rsidRPr="0076152E">
              <w:t xml:space="preserve"> </w:t>
            </w:r>
            <w:r w:rsidRPr="0076152E">
              <w:t>of</w:t>
            </w:r>
            <w:r w:rsidR="0013032F" w:rsidRPr="0076152E">
              <w:t xml:space="preserve"> </w:t>
            </w:r>
            <w:r w:rsidRPr="0076152E">
              <w:t>measure</w:t>
            </w:r>
          </w:p>
        </w:tc>
        <w:tc>
          <w:tcPr>
            <w:tcW w:w="1304" w:type="dxa"/>
          </w:tcPr>
          <w:p w14:paraId="22B9B58D" w14:textId="3C895025" w:rsidR="00757772" w:rsidRPr="0076152E" w:rsidRDefault="00305D3C" w:rsidP="00D00168">
            <w:pPr>
              <w:pStyle w:val="TableColumnHeading"/>
              <w:jc w:val="right"/>
            </w:pPr>
            <w:r w:rsidRPr="0076152E">
              <w:t>2022–23</w:t>
            </w:r>
            <w:r w:rsidR="0013032F" w:rsidRPr="0076152E">
              <w:t xml:space="preserve"> </w:t>
            </w:r>
            <w:r w:rsidRPr="0076152E">
              <w:t>actual</w:t>
            </w:r>
          </w:p>
        </w:tc>
        <w:tc>
          <w:tcPr>
            <w:tcW w:w="1303" w:type="dxa"/>
          </w:tcPr>
          <w:p w14:paraId="4976B5EB" w14:textId="7AD47547" w:rsidR="00757772" w:rsidRPr="0076152E" w:rsidRDefault="00305D3C" w:rsidP="00D00168">
            <w:pPr>
              <w:pStyle w:val="TableColumnHeading"/>
              <w:jc w:val="right"/>
            </w:pPr>
            <w:r w:rsidRPr="0076152E">
              <w:t>2022–23</w:t>
            </w:r>
            <w:r w:rsidR="0013032F" w:rsidRPr="0076152E">
              <w:t xml:space="preserve"> </w:t>
            </w:r>
            <w:r w:rsidRPr="0076152E">
              <w:t>target</w:t>
            </w:r>
          </w:p>
        </w:tc>
        <w:tc>
          <w:tcPr>
            <w:tcW w:w="1698" w:type="dxa"/>
          </w:tcPr>
          <w:p w14:paraId="6A2DCE16" w14:textId="1BEE4BF7" w:rsidR="00757772" w:rsidRPr="0076152E" w:rsidRDefault="00305D3C" w:rsidP="00D00168">
            <w:pPr>
              <w:pStyle w:val="TableColumnHeading"/>
              <w:jc w:val="right"/>
            </w:pPr>
            <w:r w:rsidRPr="0076152E">
              <w:t>Performance</w:t>
            </w:r>
            <w:r w:rsidR="0013032F" w:rsidRPr="0076152E">
              <w:t xml:space="preserve"> </w:t>
            </w:r>
            <w:r w:rsidRPr="0076152E">
              <w:t>variation</w:t>
            </w:r>
            <w:r w:rsidR="0013032F" w:rsidRPr="0076152E">
              <w:t xml:space="preserve"> </w:t>
            </w:r>
            <w:r w:rsidRPr="0076152E">
              <w:t>(%)</w:t>
            </w:r>
          </w:p>
        </w:tc>
      </w:tr>
      <w:tr w:rsidR="0076152E" w:rsidRPr="0076152E" w14:paraId="61749DCD" w14:textId="77777777" w:rsidTr="0076152E">
        <w:trPr>
          <w:trHeight w:val="396"/>
        </w:trPr>
        <w:tc>
          <w:tcPr>
            <w:tcW w:w="4106" w:type="dxa"/>
          </w:tcPr>
          <w:p w14:paraId="3B29B749" w14:textId="77777777" w:rsidR="00757772" w:rsidRPr="0076152E" w:rsidRDefault="00305D3C" w:rsidP="0076152E">
            <w:pPr>
              <w:pStyle w:val="TableCopy"/>
              <w:rPr>
                <w:b/>
                <w:bCs/>
              </w:rPr>
            </w:pPr>
            <w:r w:rsidRPr="0076152E">
              <w:rPr>
                <w:b/>
                <w:bCs/>
              </w:rPr>
              <w:t>Quantity</w:t>
            </w:r>
          </w:p>
        </w:tc>
        <w:tc>
          <w:tcPr>
            <w:tcW w:w="1304" w:type="dxa"/>
          </w:tcPr>
          <w:p w14:paraId="4A694BA7" w14:textId="77777777" w:rsidR="00757772" w:rsidRPr="0076152E" w:rsidRDefault="00757772" w:rsidP="0076152E">
            <w:pPr>
              <w:pStyle w:val="TableCopy"/>
            </w:pPr>
          </w:p>
        </w:tc>
        <w:tc>
          <w:tcPr>
            <w:tcW w:w="1304" w:type="dxa"/>
          </w:tcPr>
          <w:p w14:paraId="4488213B" w14:textId="77777777" w:rsidR="00757772" w:rsidRPr="0076152E" w:rsidRDefault="00757772" w:rsidP="00D00168">
            <w:pPr>
              <w:pStyle w:val="TableCopy"/>
              <w:jc w:val="right"/>
            </w:pPr>
          </w:p>
        </w:tc>
        <w:tc>
          <w:tcPr>
            <w:tcW w:w="1303" w:type="dxa"/>
          </w:tcPr>
          <w:p w14:paraId="356FACED" w14:textId="77777777" w:rsidR="00757772" w:rsidRPr="0076152E" w:rsidRDefault="00757772" w:rsidP="00D00168">
            <w:pPr>
              <w:pStyle w:val="TableCopy"/>
              <w:jc w:val="right"/>
            </w:pPr>
          </w:p>
        </w:tc>
        <w:tc>
          <w:tcPr>
            <w:tcW w:w="1698" w:type="dxa"/>
          </w:tcPr>
          <w:p w14:paraId="1849C76F" w14:textId="77777777" w:rsidR="00757772" w:rsidRPr="0076152E" w:rsidRDefault="00757772" w:rsidP="00D00168">
            <w:pPr>
              <w:pStyle w:val="TableCopy"/>
              <w:jc w:val="right"/>
            </w:pPr>
          </w:p>
        </w:tc>
      </w:tr>
      <w:tr w:rsidR="0076152E" w:rsidRPr="0076152E" w14:paraId="1E2325F6" w14:textId="77777777" w:rsidTr="0076152E">
        <w:trPr>
          <w:trHeight w:val="396"/>
        </w:trPr>
        <w:tc>
          <w:tcPr>
            <w:tcW w:w="4106" w:type="dxa"/>
          </w:tcPr>
          <w:p w14:paraId="51D6AF51" w14:textId="44FE673F" w:rsidR="00757772" w:rsidRPr="0076152E" w:rsidRDefault="00305D3C" w:rsidP="0076152E">
            <w:pPr>
              <w:pStyle w:val="TableCopy"/>
            </w:pPr>
            <w:r w:rsidRPr="0076152E">
              <w:t>Actual</w:t>
            </w:r>
            <w:r w:rsidR="0013032F" w:rsidRPr="0076152E">
              <w:t xml:space="preserve"> </w:t>
            </w:r>
            <w:r w:rsidRPr="0076152E">
              <w:t>export</w:t>
            </w:r>
            <w:r w:rsidR="0013032F" w:rsidRPr="0076152E">
              <w:t xml:space="preserve"> </w:t>
            </w:r>
            <w:r w:rsidRPr="0076152E">
              <w:t>sales</w:t>
            </w:r>
            <w:r w:rsidR="0013032F" w:rsidRPr="0076152E">
              <w:t xml:space="preserve"> </w:t>
            </w:r>
            <w:r w:rsidRPr="0076152E">
              <w:t>generated</w:t>
            </w:r>
            <w:r w:rsidR="0013032F" w:rsidRPr="0076152E">
              <w:t xml:space="preserve"> </w:t>
            </w:r>
            <w:r w:rsidRPr="0076152E">
              <w:t>for</w:t>
            </w:r>
            <w:r w:rsidR="0013032F" w:rsidRPr="0076152E">
              <w:t xml:space="preserve"> </w:t>
            </w:r>
            <w:r w:rsidRPr="0076152E">
              <w:t>regional</w:t>
            </w:r>
            <w:r w:rsidR="0013032F" w:rsidRPr="0076152E">
              <w:t xml:space="preserve"> </w:t>
            </w:r>
            <w:r w:rsidRPr="0076152E">
              <w:t>businesses</w:t>
            </w:r>
            <w:r w:rsidR="0013032F" w:rsidRPr="0076152E">
              <w:t xml:space="preserve"> </w:t>
            </w:r>
            <w:r w:rsidRPr="0076152E">
              <w:t>as</w:t>
            </w:r>
            <w:r w:rsidR="0013032F" w:rsidRPr="0076152E">
              <w:t xml:space="preserve"> </w:t>
            </w:r>
            <w:r w:rsidRPr="0076152E">
              <w:t>a</w:t>
            </w:r>
            <w:r w:rsidR="0013032F" w:rsidRPr="0076152E">
              <w:t xml:space="preserve"> </w:t>
            </w:r>
            <w:r w:rsidRPr="0076152E">
              <w:t>result</w:t>
            </w:r>
            <w:r w:rsidR="0013032F" w:rsidRPr="0076152E">
              <w:t xml:space="preserve"> </w:t>
            </w:r>
            <w:r w:rsidRPr="0076152E">
              <w:t>of</w:t>
            </w:r>
            <w:r w:rsidR="0013032F" w:rsidRPr="0076152E">
              <w:t xml:space="preserve"> </w:t>
            </w:r>
            <w:r w:rsidRPr="0076152E">
              <w:t>participation</w:t>
            </w:r>
            <w:r w:rsidR="0013032F" w:rsidRPr="0076152E">
              <w:t xml:space="preserve"> </w:t>
            </w:r>
            <w:r w:rsidRPr="0076152E">
              <w:t>in</w:t>
            </w:r>
            <w:r w:rsidR="0013032F" w:rsidRPr="0076152E">
              <w:t xml:space="preserve"> </w:t>
            </w:r>
            <w:r w:rsidRPr="0076152E">
              <w:t>government</w:t>
            </w:r>
            <w:r w:rsidR="0013032F" w:rsidRPr="0076152E">
              <w:t xml:space="preserve"> </w:t>
            </w:r>
            <w:r w:rsidRPr="0076152E">
              <w:t>programs</w:t>
            </w:r>
          </w:p>
        </w:tc>
        <w:tc>
          <w:tcPr>
            <w:tcW w:w="1304" w:type="dxa"/>
          </w:tcPr>
          <w:p w14:paraId="34109B35" w14:textId="18F327A4" w:rsidR="00757772" w:rsidRPr="0076152E" w:rsidRDefault="00305D3C" w:rsidP="0076152E">
            <w:pPr>
              <w:pStyle w:val="TableCopy"/>
            </w:pPr>
            <w:r w:rsidRPr="0076152E">
              <w:t>$</w:t>
            </w:r>
            <w:r w:rsidR="0013032F" w:rsidRPr="0076152E">
              <w:t xml:space="preserve"> </w:t>
            </w:r>
            <w:r w:rsidRPr="0076152E">
              <w:t>million</w:t>
            </w:r>
          </w:p>
        </w:tc>
        <w:tc>
          <w:tcPr>
            <w:tcW w:w="1304" w:type="dxa"/>
          </w:tcPr>
          <w:p w14:paraId="7C1EFF7D" w14:textId="77777777" w:rsidR="00757772" w:rsidRPr="0076152E" w:rsidRDefault="00305D3C" w:rsidP="00D00168">
            <w:pPr>
              <w:pStyle w:val="TableCopy"/>
              <w:jc w:val="right"/>
            </w:pPr>
            <w:r w:rsidRPr="0076152E">
              <w:t>57.7</w:t>
            </w:r>
          </w:p>
        </w:tc>
        <w:tc>
          <w:tcPr>
            <w:tcW w:w="1303" w:type="dxa"/>
          </w:tcPr>
          <w:p w14:paraId="4C3C6A4D" w14:textId="77777777" w:rsidR="00757772" w:rsidRPr="0076152E" w:rsidRDefault="00305D3C" w:rsidP="00D00168">
            <w:pPr>
              <w:pStyle w:val="TableCopy"/>
              <w:jc w:val="right"/>
            </w:pPr>
            <w:r w:rsidRPr="0076152E">
              <w:t>45</w:t>
            </w:r>
          </w:p>
        </w:tc>
        <w:tc>
          <w:tcPr>
            <w:tcW w:w="1698" w:type="dxa"/>
          </w:tcPr>
          <w:p w14:paraId="44C6EA9B" w14:textId="77777777" w:rsidR="00757772" w:rsidRPr="0076152E" w:rsidRDefault="00305D3C" w:rsidP="00D00168">
            <w:pPr>
              <w:pStyle w:val="TableCopy"/>
              <w:jc w:val="right"/>
            </w:pPr>
            <w:r w:rsidRPr="0076152E">
              <w:t>+28.2</w:t>
            </w:r>
          </w:p>
        </w:tc>
      </w:tr>
      <w:tr w:rsidR="0076152E" w:rsidRPr="0076152E" w14:paraId="5B17728C" w14:textId="77777777" w:rsidTr="0076152E">
        <w:trPr>
          <w:trHeight w:val="396"/>
        </w:trPr>
        <w:tc>
          <w:tcPr>
            <w:tcW w:w="4106" w:type="dxa"/>
          </w:tcPr>
          <w:p w14:paraId="45740630" w14:textId="52B471BB" w:rsidR="00757772" w:rsidRPr="0076152E" w:rsidRDefault="00305D3C" w:rsidP="0076152E">
            <w:pPr>
              <w:pStyle w:val="TableCopy"/>
            </w:pPr>
            <w:r w:rsidRPr="0076152E">
              <w:t>Economic</w:t>
            </w:r>
            <w:r w:rsidR="0013032F" w:rsidRPr="0076152E">
              <w:t xml:space="preserve"> </w:t>
            </w:r>
            <w:r w:rsidRPr="0076152E">
              <w:t>development</w:t>
            </w:r>
            <w:r w:rsidR="0013032F" w:rsidRPr="0076152E">
              <w:t xml:space="preserve"> </w:t>
            </w:r>
            <w:r w:rsidRPr="0076152E">
              <w:t>and</w:t>
            </w:r>
            <w:r w:rsidR="0013032F" w:rsidRPr="0076152E">
              <w:t xml:space="preserve"> </w:t>
            </w:r>
            <w:r w:rsidRPr="0076152E">
              <w:t>service</w:t>
            </w:r>
            <w:r w:rsidR="0013032F" w:rsidRPr="0076152E">
              <w:t xml:space="preserve"> </w:t>
            </w:r>
            <w:r w:rsidRPr="0076152E">
              <w:t>delivery</w:t>
            </w:r>
            <w:r w:rsidR="0013032F" w:rsidRPr="0076152E">
              <w:t xml:space="preserve"> </w:t>
            </w:r>
            <w:r w:rsidRPr="0076152E">
              <w:t>projects</w:t>
            </w:r>
            <w:r w:rsidR="0013032F" w:rsidRPr="0076152E">
              <w:t xml:space="preserve"> </w:t>
            </w:r>
            <w:r w:rsidRPr="0076152E">
              <w:t>supported</w:t>
            </w:r>
          </w:p>
        </w:tc>
        <w:tc>
          <w:tcPr>
            <w:tcW w:w="1304" w:type="dxa"/>
          </w:tcPr>
          <w:p w14:paraId="0F1E45A5" w14:textId="77777777" w:rsidR="00757772" w:rsidRPr="0076152E" w:rsidRDefault="00305D3C" w:rsidP="0076152E">
            <w:pPr>
              <w:pStyle w:val="TableCopy"/>
            </w:pPr>
            <w:r w:rsidRPr="0076152E">
              <w:t>number</w:t>
            </w:r>
          </w:p>
        </w:tc>
        <w:tc>
          <w:tcPr>
            <w:tcW w:w="1304" w:type="dxa"/>
          </w:tcPr>
          <w:p w14:paraId="17627521" w14:textId="77777777" w:rsidR="00757772" w:rsidRPr="0076152E" w:rsidRDefault="00305D3C" w:rsidP="00D00168">
            <w:pPr>
              <w:pStyle w:val="TableCopy"/>
              <w:jc w:val="right"/>
            </w:pPr>
            <w:r w:rsidRPr="0076152E">
              <w:t>225</w:t>
            </w:r>
          </w:p>
        </w:tc>
        <w:tc>
          <w:tcPr>
            <w:tcW w:w="1303" w:type="dxa"/>
          </w:tcPr>
          <w:p w14:paraId="37343095" w14:textId="77777777" w:rsidR="00757772" w:rsidRPr="0076152E" w:rsidRDefault="00305D3C" w:rsidP="00D00168">
            <w:pPr>
              <w:pStyle w:val="TableCopy"/>
              <w:jc w:val="right"/>
            </w:pPr>
            <w:r w:rsidRPr="0076152E">
              <w:t>90</w:t>
            </w:r>
          </w:p>
        </w:tc>
        <w:tc>
          <w:tcPr>
            <w:tcW w:w="1698" w:type="dxa"/>
          </w:tcPr>
          <w:p w14:paraId="68388371" w14:textId="77777777" w:rsidR="00757772" w:rsidRPr="0076152E" w:rsidRDefault="00305D3C" w:rsidP="00D00168">
            <w:pPr>
              <w:pStyle w:val="TableCopy"/>
              <w:jc w:val="right"/>
            </w:pPr>
            <w:r w:rsidRPr="0076152E">
              <w:t>+150</w:t>
            </w:r>
          </w:p>
        </w:tc>
      </w:tr>
      <w:tr w:rsidR="0076152E" w:rsidRPr="0076152E" w14:paraId="47A78BF9" w14:textId="77777777" w:rsidTr="0076152E">
        <w:trPr>
          <w:trHeight w:val="396"/>
        </w:trPr>
        <w:tc>
          <w:tcPr>
            <w:tcW w:w="4106" w:type="dxa"/>
          </w:tcPr>
          <w:p w14:paraId="2D923F4D" w14:textId="6A537E13" w:rsidR="00757772" w:rsidRPr="0076152E" w:rsidRDefault="00305D3C" w:rsidP="0076152E">
            <w:pPr>
              <w:pStyle w:val="TableCopy"/>
            </w:pPr>
            <w:r w:rsidRPr="0076152E">
              <w:t>Jobs</w:t>
            </w:r>
            <w:r w:rsidR="0013032F" w:rsidRPr="0076152E">
              <w:t xml:space="preserve"> </w:t>
            </w:r>
            <w:r w:rsidRPr="0076152E">
              <w:t>in</w:t>
            </w:r>
            <w:r w:rsidR="0013032F" w:rsidRPr="0076152E">
              <w:t xml:space="preserve"> </w:t>
            </w:r>
            <w:r w:rsidRPr="0076152E">
              <w:t>regional</w:t>
            </w:r>
            <w:r w:rsidR="0013032F" w:rsidRPr="0076152E">
              <w:t xml:space="preserve"> </w:t>
            </w:r>
            <w:r w:rsidRPr="0076152E">
              <w:t>Victoria</w:t>
            </w:r>
            <w:r w:rsidR="0013032F" w:rsidRPr="0076152E">
              <w:t xml:space="preserve"> </w:t>
            </w:r>
            <w:r w:rsidRPr="0076152E">
              <w:t>resulting</w:t>
            </w:r>
            <w:r w:rsidR="0013032F" w:rsidRPr="0076152E">
              <w:t xml:space="preserve"> </w:t>
            </w:r>
            <w:r w:rsidRPr="0076152E">
              <w:t>from</w:t>
            </w:r>
            <w:r w:rsidR="0013032F" w:rsidRPr="0076152E">
              <w:t xml:space="preserve"> </w:t>
            </w:r>
            <w:r w:rsidRPr="0076152E">
              <w:t>government</w:t>
            </w:r>
            <w:r w:rsidR="0013032F" w:rsidRPr="0076152E">
              <w:t xml:space="preserve"> </w:t>
            </w:r>
            <w:r w:rsidRPr="0076152E">
              <w:t>investment</w:t>
            </w:r>
            <w:r w:rsidR="0013032F" w:rsidRPr="0076152E">
              <w:t xml:space="preserve"> </w:t>
            </w:r>
            <w:r w:rsidRPr="0076152E">
              <w:t>facilitation</w:t>
            </w:r>
            <w:r w:rsidR="0013032F" w:rsidRPr="0076152E">
              <w:t xml:space="preserve"> </w:t>
            </w:r>
            <w:r w:rsidRPr="0076152E">
              <w:t>services</w:t>
            </w:r>
            <w:r w:rsidR="0013032F" w:rsidRPr="0076152E">
              <w:t xml:space="preserve"> </w:t>
            </w:r>
            <w:r w:rsidRPr="0076152E">
              <w:t>and</w:t>
            </w:r>
            <w:r w:rsidR="0013032F" w:rsidRPr="0076152E">
              <w:t xml:space="preserve"> </w:t>
            </w:r>
            <w:r w:rsidRPr="0076152E">
              <w:t>assistance</w:t>
            </w:r>
          </w:p>
        </w:tc>
        <w:tc>
          <w:tcPr>
            <w:tcW w:w="1304" w:type="dxa"/>
          </w:tcPr>
          <w:p w14:paraId="5E9329AA" w14:textId="77777777" w:rsidR="00757772" w:rsidRPr="0076152E" w:rsidRDefault="00305D3C" w:rsidP="0076152E">
            <w:pPr>
              <w:pStyle w:val="TableCopy"/>
            </w:pPr>
            <w:r w:rsidRPr="0076152E">
              <w:t>number</w:t>
            </w:r>
          </w:p>
        </w:tc>
        <w:tc>
          <w:tcPr>
            <w:tcW w:w="1304" w:type="dxa"/>
          </w:tcPr>
          <w:p w14:paraId="4EB23D8B" w14:textId="77777777" w:rsidR="00757772" w:rsidRPr="0076152E" w:rsidRDefault="00305D3C" w:rsidP="00D00168">
            <w:pPr>
              <w:pStyle w:val="TableCopy"/>
              <w:jc w:val="right"/>
            </w:pPr>
            <w:r w:rsidRPr="0076152E">
              <w:t>1017</w:t>
            </w:r>
          </w:p>
        </w:tc>
        <w:tc>
          <w:tcPr>
            <w:tcW w:w="1303" w:type="dxa"/>
          </w:tcPr>
          <w:p w14:paraId="26EFCEB8" w14:textId="77777777" w:rsidR="00757772" w:rsidRPr="0076152E" w:rsidRDefault="00305D3C" w:rsidP="00D00168">
            <w:pPr>
              <w:pStyle w:val="TableCopy"/>
              <w:jc w:val="right"/>
            </w:pPr>
            <w:r w:rsidRPr="0076152E">
              <w:t>1000</w:t>
            </w:r>
          </w:p>
        </w:tc>
        <w:tc>
          <w:tcPr>
            <w:tcW w:w="1698" w:type="dxa"/>
          </w:tcPr>
          <w:p w14:paraId="58DA3EC9" w14:textId="77777777" w:rsidR="00757772" w:rsidRPr="0076152E" w:rsidRDefault="00305D3C" w:rsidP="00D00168">
            <w:pPr>
              <w:pStyle w:val="TableCopy"/>
              <w:jc w:val="right"/>
            </w:pPr>
            <w:r w:rsidRPr="0076152E">
              <w:t>+1.7</w:t>
            </w:r>
          </w:p>
        </w:tc>
      </w:tr>
      <w:tr w:rsidR="0076152E" w:rsidRPr="0076152E" w14:paraId="5C2D8331" w14:textId="77777777" w:rsidTr="0076152E">
        <w:trPr>
          <w:trHeight w:val="396"/>
        </w:trPr>
        <w:tc>
          <w:tcPr>
            <w:tcW w:w="4106" w:type="dxa"/>
          </w:tcPr>
          <w:p w14:paraId="01B198F7" w14:textId="46505BD0" w:rsidR="00757772" w:rsidRPr="0076152E" w:rsidRDefault="00305D3C" w:rsidP="0076152E">
            <w:pPr>
              <w:pStyle w:val="TableCopy"/>
            </w:pPr>
            <w:r w:rsidRPr="0076152E">
              <w:t>New</w:t>
            </w:r>
            <w:r w:rsidR="0013032F" w:rsidRPr="0076152E">
              <w:t xml:space="preserve"> </w:t>
            </w:r>
            <w:r w:rsidRPr="0076152E">
              <w:t>investment</w:t>
            </w:r>
            <w:r w:rsidR="0013032F" w:rsidRPr="0076152E">
              <w:t xml:space="preserve"> </w:t>
            </w:r>
            <w:r w:rsidRPr="0076152E">
              <w:t>in</w:t>
            </w:r>
            <w:r w:rsidR="0013032F" w:rsidRPr="0076152E">
              <w:t xml:space="preserve"> </w:t>
            </w:r>
            <w:r w:rsidRPr="0076152E">
              <w:t>regional</w:t>
            </w:r>
            <w:r w:rsidR="0013032F" w:rsidRPr="0076152E">
              <w:t xml:space="preserve"> </w:t>
            </w:r>
            <w:r w:rsidRPr="0076152E">
              <w:t>Victoria</w:t>
            </w:r>
            <w:r w:rsidR="0013032F" w:rsidRPr="0076152E">
              <w:t xml:space="preserve"> </w:t>
            </w:r>
            <w:r w:rsidRPr="0076152E">
              <w:t>resulting</w:t>
            </w:r>
            <w:r w:rsidR="0013032F" w:rsidRPr="0076152E">
              <w:t xml:space="preserve"> </w:t>
            </w:r>
            <w:r w:rsidRPr="0076152E">
              <w:t>from</w:t>
            </w:r>
            <w:r w:rsidR="0013032F" w:rsidRPr="0076152E">
              <w:t xml:space="preserve"> </w:t>
            </w:r>
            <w:r w:rsidRPr="0076152E">
              <w:t>government</w:t>
            </w:r>
            <w:r w:rsidR="0013032F" w:rsidRPr="0076152E">
              <w:t xml:space="preserve"> </w:t>
            </w:r>
            <w:r w:rsidRPr="0076152E">
              <w:t>facilitation</w:t>
            </w:r>
            <w:r w:rsidR="0013032F" w:rsidRPr="0076152E">
              <w:t xml:space="preserve"> </w:t>
            </w:r>
            <w:r w:rsidRPr="0076152E">
              <w:t>services</w:t>
            </w:r>
            <w:r w:rsidR="0013032F" w:rsidRPr="0076152E">
              <w:t xml:space="preserve"> </w:t>
            </w:r>
            <w:r w:rsidRPr="0076152E">
              <w:t>and</w:t>
            </w:r>
            <w:r w:rsidR="0013032F" w:rsidRPr="0076152E">
              <w:t xml:space="preserve"> </w:t>
            </w:r>
            <w:r w:rsidRPr="0076152E">
              <w:t>assistance</w:t>
            </w:r>
          </w:p>
        </w:tc>
        <w:tc>
          <w:tcPr>
            <w:tcW w:w="1304" w:type="dxa"/>
          </w:tcPr>
          <w:p w14:paraId="1545F67A" w14:textId="71566705" w:rsidR="00757772" w:rsidRPr="0076152E" w:rsidRDefault="00305D3C" w:rsidP="0076152E">
            <w:pPr>
              <w:pStyle w:val="TableCopy"/>
            </w:pPr>
            <w:r w:rsidRPr="0076152E">
              <w:t>$</w:t>
            </w:r>
            <w:r w:rsidR="0013032F" w:rsidRPr="0076152E">
              <w:t xml:space="preserve"> </w:t>
            </w:r>
            <w:r w:rsidRPr="0076152E">
              <w:t>million</w:t>
            </w:r>
          </w:p>
        </w:tc>
        <w:tc>
          <w:tcPr>
            <w:tcW w:w="1304" w:type="dxa"/>
          </w:tcPr>
          <w:p w14:paraId="380D6962" w14:textId="77777777" w:rsidR="00757772" w:rsidRPr="0076152E" w:rsidRDefault="00305D3C" w:rsidP="00D00168">
            <w:pPr>
              <w:pStyle w:val="TableCopy"/>
              <w:jc w:val="right"/>
            </w:pPr>
            <w:r w:rsidRPr="0076152E">
              <w:t>682.4</w:t>
            </w:r>
          </w:p>
        </w:tc>
        <w:tc>
          <w:tcPr>
            <w:tcW w:w="1303" w:type="dxa"/>
          </w:tcPr>
          <w:p w14:paraId="7590B4E2" w14:textId="77777777" w:rsidR="00757772" w:rsidRPr="0076152E" w:rsidRDefault="00305D3C" w:rsidP="00D00168">
            <w:pPr>
              <w:pStyle w:val="TableCopy"/>
              <w:jc w:val="right"/>
            </w:pPr>
            <w:r w:rsidRPr="0076152E">
              <w:t>500</w:t>
            </w:r>
          </w:p>
        </w:tc>
        <w:tc>
          <w:tcPr>
            <w:tcW w:w="1698" w:type="dxa"/>
          </w:tcPr>
          <w:p w14:paraId="4B782B9A" w14:textId="77777777" w:rsidR="00757772" w:rsidRPr="0076152E" w:rsidRDefault="00305D3C" w:rsidP="00D00168">
            <w:pPr>
              <w:pStyle w:val="TableCopy"/>
              <w:jc w:val="right"/>
            </w:pPr>
            <w:r w:rsidRPr="0076152E">
              <w:t>+36.5</w:t>
            </w:r>
          </w:p>
        </w:tc>
      </w:tr>
      <w:tr w:rsidR="0076152E" w:rsidRPr="0076152E" w14:paraId="74B6041A" w14:textId="77777777" w:rsidTr="0076152E">
        <w:trPr>
          <w:trHeight w:val="396"/>
        </w:trPr>
        <w:tc>
          <w:tcPr>
            <w:tcW w:w="4106" w:type="dxa"/>
          </w:tcPr>
          <w:p w14:paraId="590EDD3E" w14:textId="602A5E60" w:rsidR="00757772" w:rsidRPr="0076152E" w:rsidRDefault="00305D3C" w:rsidP="0076152E">
            <w:pPr>
              <w:pStyle w:val="TableCopy"/>
            </w:pPr>
            <w:r w:rsidRPr="0076152E">
              <w:t>Participant</w:t>
            </w:r>
            <w:r w:rsidR="0013032F" w:rsidRPr="0076152E">
              <w:t xml:space="preserve"> </w:t>
            </w:r>
            <w:r w:rsidRPr="0076152E">
              <w:t>satisfaction</w:t>
            </w:r>
            <w:r w:rsidR="0013032F" w:rsidRPr="0076152E">
              <w:t xml:space="preserve"> </w:t>
            </w:r>
            <w:r w:rsidRPr="0076152E">
              <w:t>with</w:t>
            </w:r>
            <w:r w:rsidR="0013032F" w:rsidRPr="0076152E">
              <w:t xml:space="preserve"> </w:t>
            </w:r>
            <w:r w:rsidRPr="0076152E">
              <w:t>implementation</w:t>
            </w:r>
            <w:r w:rsidR="0013032F" w:rsidRPr="0076152E">
              <w:t xml:space="preserve"> </w:t>
            </w:r>
            <w:r w:rsidRPr="0076152E">
              <w:t>of</w:t>
            </w:r>
            <w:r w:rsidR="0013032F" w:rsidRPr="0076152E">
              <w:t xml:space="preserve"> </w:t>
            </w:r>
            <w:r w:rsidRPr="0076152E">
              <w:t>Regional</w:t>
            </w:r>
            <w:r w:rsidR="0013032F" w:rsidRPr="0076152E">
              <w:t xml:space="preserve"> </w:t>
            </w:r>
            <w:r w:rsidRPr="0076152E">
              <w:t>Development</w:t>
            </w:r>
            <w:r w:rsidR="0013032F" w:rsidRPr="0076152E">
              <w:t xml:space="preserve"> </w:t>
            </w:r>
            <w:r w:rsidRPr="0076152E">
              <w:t>Victoria</w:t>
            </w:r>
            <w:r w:rsidR="0013032F" w:rsidRPr="0076152E">
              <w:t xml:space="preserve"> </w:t>
            </w:r>
            <w:r w:rsidRPr="0076152E">
              <w:t>programs</w:t>
            </w:r>
          </w:p>
        </w:tc>
        <w:tc>
          <w:tcPr>
            <w:tcW w:w="1304" w:type="dxa"/>
          </w:tcPr>
          <w:p w14:paraId="2A4A89B0" w14:textId="329EE9CA" w:rsidR="00757772" w:rsidRPr="0076152E" w:rsidRDefault="00305D3C" w:rsidP="0076152E">
            <w:pPr>
              <w:pStyle w:val="TableCopy"/>
            </w:pPr>
            <w:r w:rsidRPr="0076152E">
              <w:t>per</w:t>
            </w:r>
            <w:r w:rsidR="0013032F" w:rsidRPr="0076152E">
              <w:t xml:space="preserve"> </w:t>
            </w:r>
            <w:r w:rsidRPr="0076152E">
              <w:t>cent</w:t>
            </w:r>
          </w:p>
        </w:tc>
        <w:tc>
          <w:tcPr>
            <w:tcW w:w="1304" w:type="dxa"/>
          </w:tcPr>
          <w:p w14:paraId="0890E993" w14:textId="77777777" w:rsidR="00757772" w:rsidRPr="0076152E" w:rsidRDefault="00305D3C" w:rsidP="00D00168">
            <w:pPr>
              <w:pStyle w:val="TableCopy"/>
              <w:jc w:val="right"/>
            </w:pPr>
            <w:r w:rsidRPr="0076152E">
              <w:t>97</w:t>
            </w:r>
          </w:p>
        </w:tc>
        <w:tc>
          <w:tcPr>
            <w:tcW w:w="1303" w:type="dxa"/>
          </w:tcPr>
          <w:p w14:paraId="3A5D6E91" w14:textId="77777777" w:rsidR="00757772" w:rsidRPr="0076152E" w:rsidRDefault="00305D3C" w:rsidP="00D00168">
            <w:pPr>
              <w:pStyle w:val="TableCopy"/>
              <w:jc w:val="right"/>
            </w:pPr>
            <w:r w:rsidRPr="0076152E">
              <w:t>90</w:t>
            </w:r>
          </w:p>
        </w:tc>
        <w:tc>
          <w:tcPr>
            <w:tcW w:w="1698" w:type="dxa"/>
          </w:tcPr>
          <w:p w14:paraId="2D677310" w14:textId="77777777" w:rsidR="00757772" w:rsidRPr="0076152E" w:rsidRDefault="00305D3C" w:rsidP="00D00168">
            <w:pPr>
              <w:pStyle w:val="TableCopy"/>
              <w:jc w:val="right"/>
            </w:pPr>
            <w:r w:rsidRPr="0076152E">
              <w:t>+7.8</w:t>
            </w:r>
          </w:p>
        </w:tc>
      </w:tr>
    </w:tbl>
    <w:p w14:paraId="05C84ABE" w14:textId="77777777" w:rsidR="00757772" w:rsidRDefault="00757772" w:rsidP="00D00168"/>
    <w:p w14:paraId="6FE800B6" w14:textId="21A9CBB3" w:rsidR="00757772" w:rsidRDefault="00305D3C" w:rsidP="00D00168">
      <w:pPr>
        <w:pStyle w:val="Heading2"/>
      </w:pPr>
      <w:bookmarkStart w:id="59" w:name="_Toc149566604"/>
      <w:r>
        <w:lastRenderedPageBreak/>
        <w:t>Income</w:t>
      </w:r>
      <w:r w:rsidR="0013032F">
        <w:t xml:space="preserve"> </w:t>
      </w:r>
      <w:r>
        <w:t>and</w:t>
      </w:r>
      <w:r w:rsidR="0013032F">
        <w:t xml:space="preserve"> </w:t>
      </w:r>
      <w:r>
        <w:t>expenditure</w:t>
      </w:r>
      <w:r w:rsidR="0013032F">
        <w:t xml:space="preserve"> </w:t>
      </w:r>
      <w:r>
        <w:t>report</w:t>
      </w:r>
      <w:bookmarkEnd w:id="59"/>
    </w:p>
    <w:tbl>
      <w:tblPr>
        <w:tblStyle w:val="TableGrid"/>
        <w:tblW w:w="0" w:type="auto"/>
        <w:tblLayout w:type="fixed"/>
        <w:tblLook w:val="0020" w:firstRow="1" w:lastRow="0" w:firstColumn="0" w:lastColumn="0" w:noHBand="0" w:noVBand="0"/>
      </w:tblPr>
      <w:tblGrid>
        <w:gridCol w:w="6123"/>
        <w:gridCol w:w="1701"/>
        <w:gridCol w:w="1700"/>
      </w:tblGrid>
      <w:tr w:rsidR="00757772" w:rsidRPr="00D00168" w14:paraId="191C386F" w14:textId="77777777" w:rsidTr="00D00168">
        <w:trPr>
          <w:trHeight w:val="623"/>
        </w:trPr>
        <w:tc>
          <w:tcPr>
            <w:tcW w:w="6123" w:type="dxa"/>
          </w:tcPr>
          <w:p w14:paraId="39EFEB20" w14:textId="75578190" w:rsidR="00757772" w:rsidRPr="00D00168" w:rsidRDefault="00D00168" w:rsidP="00D00168">
            <w:pPr>
              <w:pStyle w:val="TableColumnHeading"/>
            </w:pPr>
            <w:bookmarkStart w:id="60" w:name="ColumnTitles_2"/>
            <w:bookmarkEnd w:id="60"/>
            <w:r>
              <w:t>Controlled income and expenses for the period ended 30 June 2023</w:t>
            </w:r>
          </w:p>
        </w:tc>
        <w:tc>
          <w:tcPr>
            <w:tcW w:w="1701" w:type="dxa"/>
          </w:tcPr>
          <w:p w14:paraId="441C0510" w14:textId="11BE133F" w:rsidR="00757772" w:rsidRPr="00D00168" w:rsidRDefault="00D00168" w:rsidP="00305D3C">
            <w:pPr>
              <w:pStyle w:val="TableColumnHeading"/>
              <w:jc w:val="right"/>
            </w:pPr>
            <w:r w:rsidRPr="00D00168">
              <w:t>Regional Development Victoria</w:t>
            </w:r>
            <w:r w:rsidRPr="00D00168">
              <w:t xml:space="preserve"> </w:t>
            </w:r>
            <w:r w:rsidR="00305D3C" w:rsidRPr="00D00168">
              <w:t>2023</w:t>
            </w:r>
            <w:r w:rsidR="0013032F" w:rsidRPr="00D00168">
              <w:t xml:space="preserve"> </w:t>
            </w:r>
            <w:r w:rsidR="00305D3C" w:rsidRPr="00D00168">
              <w:t>(FY)</w:t>
            </w:r>
            <w:r w:rsidRPr="00D00168">
              <w:t xml:space="preserve"> </w:t>
            </w:r>
            <w:r w:rsidR="00305D3C" w:rsidRPr="00D00168">
              <w:t>($000’s)</w:t>
            </w:r>
          </w:p>
        </w:tc>
        <w:tc>
          <w:tcPr>
            <w:tcW w:w="1700" w:type="dxa"/>
          </w:tcPr>
          <w:p w14:paraId="01FB19DF" w14:textId="43F50226" w:rsidR="00757772" w:rsidRPr="00D00168" w:rsidRDefault="00D00168" w:rsidP="00305D3C">
            <w:pPr>
              <w:pStyle w:val="TableColumnHeading"/>
              <w:jc w:val="right"/>
            </w:pPr>
            <w:r w:rsidRPr="00D00168">
              <w:t xml:space="preserve">Regional Development Victoria </w:t>
            </w:r>
            <w:r w:rsidR="00305D3C" w:rsidRPr="00D00168">
              <w:t>2022</w:t>
            </w:r>
            <w:r w:rsidR="0013032F" w:rsidRPr="00D00168">
              <w:t xml:space="preserve"> </w:t>
            </w:r>
            <w:r w:rsidR="00305D3C" w:rsidRPr="00D00168">
              <w:t>(FY)</w:t>
            </w:r>
            <w:r w:rsidRPr="00D00168">
              <w:t xml:space="preserve"> </w:t>
            </w:r>
            <w:r w:rsidR="00305D3C" w:rsidRPr="00D00168">
              <w:t>($000’s)</w:t>
            </w:r>
          </w:p>
        </w:tc>
      </w:tr>
      <w:tr w:rsidR="00D00168" w:rsidRPr="00D00168" w14:paraId="531A2589" w14:textId="77777777" w:rsidTr="00D00168">
        <w:trPr>
          <w:trHeight w:val="396"/>
        </w:trPr>
        <w:tc>
          <w:tcPr>
            <w:tcW w:w="6123" w:type="dxa"/>
          </w:tcPr>
          <w:p w14:paraId="6AADCB8C" w14:textId="7FCC382D" w:rsidR="00757772" w:rsidRPr="00D00168" w:rsidRDefault="00305D3C" w:rsidP="00D00168">
            <w:pPr>
              <w:pStyle w:val="TableCopy"/>
              <w:keepNext/>
              <w:rPr>
                <w:b/>
                <w:bCs/>
              </w:rPr>
            </w:pPr>
            <w:r w:rsidRPr="00D00168">
              <w:rPr>
                <w:b/>
                <w:bCs/>
              </w:rPr>
              <w:t>Income</w:t>
            </w:r>
            <w:r w:rsidR="0013032F" w:rsidRPr="00D00168">
              <w:rPr>
                <w:b/>
                <w:bCs/>
              </w:rPr>
              <w:t xml:space="preserve"> </w:t>
            </w:r>
            <w:r w:rsidRPr="00D00168">
              <w:rPr>
                <w:b/>
                <w:bCs/>
              </w:rPr>
              <w:t>from</w:t>
            </w:r>
            <w:r w:rsidR="0013032F" w:rsidRPr="00D00168">
              <w:rPr>
                <w:b/>
                <w:bCs/>
              </w:rPr>
              <w:t xml:space="preserve"> </w:t>
            </w:r>
            <w:r w:rsidRPr="00D00168">
              <w:rPr>
                <w:b/>
                <w:bCs/>
              </w:rPr>
              <w:t>transactions</w:t>
            </w:r>
          </w:p>
        </w:tc>
        <w:tc>
          <w:tcPr>
            <w:tcW w:w="1701" w:type="dxa"/>
          </w:tcPr>
          <w:p w14:paraId="2866A6CF" w14:textId="77777777" w:rsidR="00757772" w:rsidRPr="00D00168" w:rsidRDefault="00757772" w:rsidP="00D00168">
            <w:pPr>
              <w:pStyle w:val="TableCopy"/>
              <w:keepNext/>
              <w:jc w:val="right"/>
              <w:rPr>
                <w:b/>
                <w:bCs/>
              </w:rPr>
            </w:pPr>
          </w:p>
        </w:tc>
        <w:tc>
          <w:tcPr>
            <w:tcW w:w="1700" w:type="dxa"/>
          </w:tcPr>
          <w:p w14:paraId="051A0ABA" w14:textId="77777777" w:rsidR="00757772" w:rsidRPr="00D00168" w:rsidRDefault="00757772" w:rsidP="00D00168">
            <w:pPr>
              <w:pStyle w:val="TableCopy"/>
              <w:keepNext/>
              <w:jc w:val="right"/>
              <w:rPr>
                <w:b/>
                <w:bCs/>
              </w:rPr>
            </w:pPr>
          </w:p>
        </w:tc>
      </w:tr>
      <w:tr w:rsidR="00D00168" w:rsidRPr="00D00168" w14:paraId="6F834C1C" w14:textId="77777777" w:rsidTr="00D00168">
        <w:trPr>
          <w:trHeight w:val="396"/>
        </w:trPr>
        <w:tc>
          <w:tcPr>
            <w:tcW w:w="6123" w:type="dxa"/>
          </w:tcPr>
          <w:p w14:paraId="2D1ED9CE" w14:textId="424946F4" w:rsidR="00757772" w:rsidRPr="00D00168" w:rsidRDefault="00305D3C" w:rsidP="00D00168">
            <w:pPr>
              <w:pStyle w:val="TableCopy"/>
              <w:keepNext/>
            </w:pPr>
            <w:r w:rsidRPr="00D00168">
              <w:t>Output</w:t>
            </w:r>
            <w:r w:rsidR="0013032F" w:rsidRPr="00D00168">
              <w:t xml:space="preserve"> </w:t>
            </w:r>
            <w:r w:rsidRPr="00D00168">
              <w:t>appropriations</w:t>
            </w:r>
          </w:p>
        </w:tc>
        <w:tc>
          <w:tcPr>
            <w:tcW w:w="1701" w:type="dxa"/>
          </w:tcPr>
          <w:p w14:paraId="13966FEE" w14:textId="327FFBC7" w:rsidR="00757772" w:rsidRPr="00D00168" w:rsidRDefault="00305D3C" w:rsidP="00D00168">
            <w:pPr>
              <w:pStyle w:val="TableCopy"/>
              <w:keepNext/>
              <w:jc w:val="right"/>
            </w:pPr>
            <w:r w:rsidRPr="00D00168">
              <w:t>179,314</w:t>
            </w:r>
            <w:r w:rsidR="0013032F" w:rsidRPr="00D00168">
              <w:t xml:space="preserve"> </w:t>
            </w:r>
          </w:p>
        </w:tc>
        <w:tc>
          <w:tcPr>
            <w:tcW w:w="1700" w:type="dxa"/>
          </w:tcPr>
          <w:p w14:paraId="0D50CADE" w14:textId="3292CAD1" w:rsidR="00757772" w:rsidRPr="00D00168" w:rsidRDefault="00305D3C" w:rsidP="00D00168">
            <w:pPr>
              <w:pStyle w:val="TableCopy"/>
              <w:keepNext/>
              <w:jc w:val="right"/>
            </w:pPr>
            <w:r w:rsidRPr="00D00168">
              <w:t>250,131</w:t>
            </w:r>
            <w:r w:rsidR="0013032F" w:rsidRPr="00D00168">
              <w:t xml:space="preserve"> </w:t>
            </w:r>
          </w:p>
        </w:tc>
      </w:tr>
      <w:tr w:rsidR="00D00168" w:rsidRPr="00D00168" w14:paraId="6E9CDAB5" w14:textId="77777777" w:rsidTr="00D00168">
        <w:trPr>
          <w:trHeight w:val="396"/>
        </w:trPr>
        <w:tc>
          <w:tcPr>
            <w:tcW w:w="6123" w:type="dxa"/>
          </w:tcPr>
          <w:p w14:paraId="1B0BC77C" w14:textId="77777777" w:rsidR="00757772" w:rsidRPr="00D00168" w:rsidRDefault="00305D3C" w:rsidP="00EE0BF6">
            <w:pPr>
              <w:pStyle w:val="TableCopy"/>
              <w:keepNext/>
            </w:pPr>
            <w:r w:rsidRPr="00D00168">
              <w:t>Grants</w:t>
            </w:r>
          </w:p>
        </w:tc>
        <w:tc>
          <w:tcPr>
            <w:tcW w:w="1701" w:type="dxa"/>
          </w:tcPr>
          <w:p w14:paraId="2DF09685" w14:textId="4F3A5512" w:rsidR="00757772" w:rsidRPr="00D00168" w:rsidRDefault="00305D3C" w:rsidP="00EE0BF6">
            <w:pPr>
              <w:pStyle w:val="TableCopy"/>
              <w:keepNext/>
              <w:jc w:val="right"/>
            </w:pPr>
            <w:r w:rsidRPr="00D00168">
              <w:t>3,562</w:t>
            </w:r>
            <w:r w:rsidR="0013032F" w:rsidRPr="00D00168">
              <w:t xml:space="preserve"> </w:t>
            </w:r>
          </w:p>
        </w:tc>
        <w:tc>
          <w:tcPr>
            <w:tcW w:w="1700" w:type="dxa"/>
          </w:tcPr>
          <w:p w14:paraId="01CB482F" w14:textId="6E537CB4" w:rsidR="00757772" w:rsidRPr="00D00168" w:rsidRDefault="00305D3C" w:rsidP="00EE0BF6">
            <w:pPr>
              <w:pStyle w:val="TableCopy"/>
              <w:keepNext/>
              <w:jc w:val="right"/>
            </w:pPr>
            <w:r w:rsidRPr="00D00168">
              <w:t>34,080</w:t>
            </w:r>
            <w:r w:rsidR="0013032F" w:rsidRPr="00D00168">
              <w:t xml:space="preserve"> </w:t>
            </w:r>
          </w:p>
        </w:tc>
      </w:tr>
      <w:tr w:rsidR="00D00168" w:rsidRPr="00D00168" w14:paraId="74C1BCD5" w14:textId="77777777" w:rsidTr="00D00168">
        <w:trPr>
          <w:trHeight w:val="396"/>
        </w:trPr>
        <w:tc>
          <w:tcPr>
            <w:tcW w:w="6123" w:type="dxa"/>
          </w:tcPr>
          <w:p w14:paraId="127F5555" w14:textId="29A6D8C8" w:rsidR="00757772" w:rsidRPr="00D00168" w:rsidRDefault="00305D3C" w:rsidP="00D00168">
            <w:pPr>
              <w:pStyle w:val="TableCopy"/>
            </w:pPr>
            <w:r w:rsidRPr="00D00168">
              <w:t>Interest</w:t>
            </w:r>
            <w:r w:rsidR="0013032F" w:rsidRPr="00D00168">
              <w:t xml:space="preserve"> </w:t>
            </w:r>
            <w:r w:rsidRPr="00D00168">
              <w:t>income</w:t>
            </w:r>
          </w:p>
        </w:tc>
        <w:tc>
          <w:tcPr>
            <w:tcW w:w="1701" w:type="dxa"/>
          </w:tcPr>
          <w:p w14:paraId="39F966EF" w14:textId="77777777" w:rsidR="00757772" w:rsidRPr="00D00168" w:rsidRDefault="00305D3C" w:rsidP="00D00168">
            <w:pPr>
              <w:pStyle w:val="TableCopy"/>
              <w:jc w:val="right"/>
            </w:pPr>
            <w:r w:rsidRPr="00D00168">
              <w:t>7,089</w:t>
            </w:r>
          </w:p>
        </w:tc>
        <w:tc>
          <w:tcPr>
            <w:tcW w:w="1700" w:type="dxa"/>
          </w:tcPr>
          <w:p w14:paraId="2FEEBC7C" w14:textId="5EA5180E" w:rsidR="00757772" w:rsidRPr="00D00168" w:rsidRDefault="00305D3C" w:rsidP="00D00168">
            <w:pPr>
              <w:pStyle w:val="TableCopy"/>
              <w:jc w:val="right"/>
            </w:pPr>
            <w:r w:rsidRPr="00D00168">
              <w:t>726</w:t>
            </w:r>
            <w:r w:rsidR="0013032F" w:rsidRPr="00D00168">
              <w:t xml:space="preserve"> </w:t>
            </w:r>
          </w:p>
        </w:tc>
      </w:tr>
      <w:tr w:rsidR="00D00168" w:rsidRPr="00D00168" w14:paraId="26E5169E" w14:textId="77777777" w:rsidTr="00D00168">
        <w:trPr>
          <w:trHeight w:val="396"/>
        </w:trPr>
        <w:tc>
          <w:tcPr>
            <w:tcW w:w="6123" w:type="dxa"/>
          </w:tcPr>
          <w:p w14:paraId="477624C6" w14:textId="46E7096D" w:rsidR="00757772" w:rsidRPr="00D00168" w:rsidRDefault="00305D3C" w:rsidP="00D00168">
            <w:pPr>
              <w:pStyle w:val="TableCopy"/>
            </w:pPr>
            <w:r w:rsidRPr="00D00168">
              <w:t>Other</w:t>
            </w:r>
            <w:r w:rsidR="0013032F" w:rsidRPr="00D00168">
              <w:t xml:space="preserve"> </w:t>
            </w:r>
            <w:r w:rsidRPr="00D00168">
              <w:t>income</w:t>
            </w:r>
          </w:p>
        </w:tc>
        <w:tc>
          <w:tcPr>
            <w:tcW w:w="1701" w:type="dxa"/>
          </w:tcPr>
          <w:p w14:paraId="1A6DA144" w14:textId="3C63CDE1" w:rsidR="00757772" w:rsidRPr="00D00168" w:rsidRDefault="00305D3C" w:rsidP="00D00168">
            <w:pPr>
              <w:pStyle w:val="TableCopy"/>
              <w:jc w:val="right"/>
            </w:pPr>
            <w:r w:rsidRPr="00D00168">
              <w:t>1</w:t>
            </w:r>
            <w:r w:rsidR="0013032F" w:rsidRPr="00D00168">
              <w:t xml:space="preserve"> </w:t>
            </w:r>
          </w:p>
        </w:tc>
        <w:tc>
          <w:tcPr>
            <w:tcW w:w="1700" w:type="dxa"/>
          </w:tcPr>
          <w:p w14:paraId="7AD05F4D" w14:textId="6F966974" w:rsidR="00757772" w:rsidRPr="00D00168" w:rsidRDefault="00305D3C" w:rsidP="00D00168">
            <w:pPr>
              <w:pStyle w:val="TableCopy"/>
              <w:jc w:val="right"/>
            </w:pPr>
            <w:r w:rsidRPr="00D00168">
              <w:t>1,129</w:t>
            </w:r>
            <w:r w:rsidR="0013032F" w:rsidRPr="00D00168">
              <w:t xml:space="preserve"> </w:t>
            </w:r>
          </w:p>
        </w:tc>
      </w:tr>
      <w:tr w:rsidR="00D00168" w:rsidRPr="00D00168" w14:paraId="44377C35" w14:textId="77777777" w:rsidTr="00D00168">
        <w:trPr>
          <w:trHeight w:val="396"/>
        </w:trPr>
        <w:tc>
          <w:tcPr>
            <w:tcW w:w="6123" w:type="dxa"/>
          </w:tcPr>
          <w:p w14:paraId="3DA178CD" w14:textId="30D267C7" w:rsidR="00757772" w:rsidRPr="00D00168" w:rsidRDefault="00305D3C" w:rsidP="00D00168">
            <w:pPr>
              <w:pStyle w:val="TableCopy"/>
              <w:rPr>
                <w:b/>
                <w:bCs/>
              </w:rPr>
            </w:pPr>
            <w:r w:rsidRPr="00D00168">
              <w:rPr>
                <w:b/>
                <w:bCs/>
              </w:rPr>
              <w:t>Total</w:t>
            </w:r>
            <w:r w:rsidR="0013032F" w:rsidRPr="00D00168">
              <w:rPr>
                <w:b/>
                <w:bCs/>
              </w:rPr>
              <w:t xml:space="preserve"> </w:t>
            </w:r>
            <w:r w:rsidRPr="00D00168">
              <w:rPr>
                <w:b/>
                <w:bCs/>
              </w:rPr>
              <w:t>income</w:t>
            </w:r>
            <w:r w:rsidR="0013032F" w:rsidRPr="00D00168">
              <w:rPr>
                <w:b/>
                <w:bCs/>
              </w:rPr>
              <w:t xml:space="preserve"> </w:t>
            </w:r>
            <w:r w:rsidRPr="00D00168">
              <w:rPr>
                <w:b/>
                <w:bCs/>
              </w:rPr>
              <w:t>from</w:t>
            </w:r>
            <w:r w:rsidR="0013032F" w:rsidRPr="00D00168">
              <w:rPr>
                <w:b/>
                <w:bCs/>
              </w:rPr>
              <w:t xml:space="preserve"> </w:t>
            </w:r>
            <w:r w:rsidRPr="00D00168">
              <w:rPr>
                <w:b/>
                <w:bCs/>
              </w:rPr>
              <w:t>transactions</w:t>
            </w:r>
          </w:p>
        </w:tc>
        <w:tc>
          <w:tcPr>
            <w:tcW w:w="1701" w:type="dxa"/>
          </w:tcPr>
          <w:p w14:paraId="76A41C4C" w14:textId="520DB3E5" w:rsidR="00757772" w:rsidRPr="00D00168" w:rsidRDefault="00305D3C" w:rsidP="00D00168">
            <w:pPr>
              <w:pStyle w:val="TableCopy"/>
              <w:jc w:val="right"/>
              <w:rPr>
                <w:b/>
                <w:bCs/>
              </w:rPr>
            </w:pPr>
            <w:r w:rsidRPr="00D00168">
              <w:rPr>
                <w:b/>
                <w:bCs/>
              </w:rPr>
              <w:t>189,966</w:t>
            </w:r>
            <w:r w:rsidR="0013032F" w:rsidRPr="00D00168">
              <w:rPr>
                <w:b/>
                <w:bCs/>
              </w:rPr>
              <w:t xml:space="preserve"> </w:t>
            </w:r>
          </w:p>
        </w:tc>
        <w:tc>
          <w:tcPr>
            <w:tcW w:w="1700" w:type="dxa"/>
          </w:tcPr>
          <w:p w14:paraId="10DE88EC" w14:textId="147237F3" w:rsidR="00757772" w:rsidRPr="00D00168" w:rsidRDefault="00305D3C" w:rsidP="00D00168">
            <w:pPr>
              <w:pStyle w:val="TableCopy"/>
              <w:jc w:val="right"/>
              <w:rPr>
                <w:b/>
                <w:bCs/>
              </w:rPr>
            </w:pPr>
            <w:r w:rsidRPr="00D00168">
              <w:rPr>
                <w:b/>
                <w:bCs/>
              </w:rPr>
              <w:t>286,066</w:t>
            </w:r>
            <w:r w:rsidR="0013032F" w:rsidRPr="00D00168">
              <w:rPr>
                <w:b/>
                <w:bCs/>
              </w:rPr>
              <w:t xml:space="preserve"> </w:t>
            </w:r>
          </w:p>
        </w:tc>
      </w:tr>
      <w:tr w:rsidR="00D00168" w:rsidRPr="00D00168" w14:paraId="11103165" w14:textId="77777777" w:rsidTr="00D00168">
        <w:trPr>
          <w:trHeight w:val="396"/>
        </w:trPr>
        <w:tc>
          <w:tcPr>
            <w:tcW w:w="6123" w:type="dxa"/>
          </w:tcPr>
          <w:p w14:paraId="2A694855" w14:textId="180B333E" w:rsidR="00757772" w:rsidRPr="00D00168" w:rsidRDefault="00305D3C" w:rsidP="00D00168">
            <w:pPr>
              <w:pStyle w:val="TableCopy"/>
              <w:rPr>
                <w:b/>
                <w:bCs/>
              </w:rPr>
            </w:pPr>
            <w:r w:rsidRPr="00D00168">
              <w:rPr>
                <w:b/>
                <w:bCs/>
              </w:rPr>
              <w:t>Expenses</w:t>
            </w:r>
            <w:r w:rsidR="0013032F" w:rsidRPr="00D00168">
              <w:rPr>
                <w:b/>
                <w:bCs/>
              </w:rPr>
              <w:t xml:space="preserve"> </w:t>
            </w:r>
            <w:r w:rsidRPr="00D00168">
              <w:rPr>
                <w:b/>
                <w:bCs/>
              </w:rPr>
              <w:t>from</w:t>
            </w:r>
            <w:r w:rsidR="0013032F" w:rsidRPr="00D00168">
              <w:rPr>
                <w:b/>
                <w:bCs/>
              </w:rPr>
              <w:t xml:space="preserve"> </w:t>
            </w:r>
            <w:r w:rsidRPr="00D00168">
              <w:rPr>
                <w:b/>
                <w:bCs/>
              </w:rPr>
              <w:t>transactions</w:t>
            </w:r>
          </w:p>
        </w:tc>
        <w:tc>
          <w:tcPr>
            <w:tcW w:w="1701" w:type="dxa"/>
          </w:tcPr>
          <w:p w14:paraId="2408A4A5" w14:textId="77777777" w:rsidR="00757772" w:rsidRPr="00D00168" w:rsidRDefault="00757772" w:rsidP="00D00168">
            <w:pPr>
              <w:pStyle w:val="TableCopy"/>
              <w:jc w:val="right"/>
              <w:rPr>
                <w:b/>
                <w:bCs/>
              </w:rPr>
            </w:pPr>
          </w:p>
        </w:tc>
        <w:tc>
          <w:tcPr>
            <w:tcW w:w="1700" w:type="dxa"/>
          </w:tcPr>
          <w:p w14:paraId="7AA11785" w14:textId="77777777" w:rsidR="00757772" w:rsidRPr="00D00168" w:rsidRDefault="00757772" w:rsidP="00D00168">
            <w:pPr>
              <w:pStyle w:val="TableCopy"/>
              <w:jc w:val="right"/>
              <w:rPr>
                <w:b/>
                <w:bCs/>
              </w:rPr>
            </w:pPr>
          </w:p>
        </w:tc>
      </w:tr>
      <w:tr w:rsidR="00D00168" w:rsidRPr="00D00168" w14:paraId="345242AB" w14:textId="77777777" w:rsidTr="00D00168">
        <w:trPr>
          <w:trHeight w:val="396"/>
        </w:trPr>
        <w:tc>
          <w:tcPr>
            <w:tcW w:w="6123" w:type="dxa"/>
          </w:tcPr>
          <w:p w14:paraId="3543AEB5" w14:textId="23A3668F" w:rsidR="00757772" w:rsidRPr="00D00168" w:rsidRDefault="00305D3C" w:rsidP="00D00168">
            <w:pPr>
              <w:pStyle w:val="TableCopy"/>
            </w:pPr>
            <w:r w:rsidRPr="00D00168">
              <w:t>Grants</w:t>
            </w:r>
            <w:r w:rsidR="0013032F" w:rsidRPr="00D00168">
              <w:t xml:space="preserve"> </w:t>
            </w:r>
            <w:r w:rsidRPr="00D00168">
              <w:t>and</w:t>
            </w:r>
            <w:r w:rsidR="0013032F" w:rsidRPr="00D00168">
              <w:t xml:space="preserve"> </w:t>
            </w:r>
            <w:r w:rsidRPr="00D00168">
              <w:t>other</w:t>
            </w:r>
            <w:r w:rsidR="0013032F" w:rsidRPr="00D00168">
              <w:t xml:space="preserve"> </w:t>
            </w:r>
            <w:r w:rsidRPr="00D00168">
              <w:t>transfers</w:t>
            </w:r>
          </w:p>
        </w:tc>
        <w:tc>
          <w:tcPr>
            <w:tcW w:w="1701" w:type="dxa"/>
          </w:tcPr>
          <w:p w14:paraId="00922662" w14:textId="77777777" w:rsidR="00757772" w:rsidRPr="00D00168" w:rsidRDefault="00305D3C" w:rsidP="00D00168">
            <w:pPr>
              <w:pStyle w:val="TableCopy"/>
              <w:jc w:val="right"/>
            </w:pPr>
            <w:r w:rsidRPr="00D00168">
              <w:t>(111,256)</w:t>
            </w:r>
          </w:p>
        </w:tc>
        <w:tc>
          <w:tcPr>
            <w:tcW w:w="1700" w:type="dxa"/>
          </w:tcPr>
          <w:p w14:paraId="01D71BCD" w14:textId="77777777" w:rsidR="00757772" w:rsidRPr="00D00168" w:rsidRDefault="00305D3C" w:rsidP="00D00168">
            <w:pPr>
              <w:pStyle w:val="TableCopy"/>
              <w:jc w:val="right"/>
            </w:pPr>
            <w:r w:rsidRPr="00D00168">
              <w:t>(218,574)</w:t>
            </w:r>
          </w:p>
        </w:tc>
      </w:tr>
      <w:tr w:rsidR="00D00168" w:rsidRPr="00D00168" w14:paraId="339765B8" w14:textId="77777777" w:rsidTr="00D00168">
        <w:trPr>
          <w:trHeight w:val="396"/>
        </w:trPr>
        <w:tc>
          <w:tcPr>
            <w:tcW w:w="6123" w:type="dxa"/>
          </w:tcPr>
          <w:p w14:paraId="52D46C20" w14:textId="428E9167" w:rsidR="00757772" w:rsidRPr="00D00168" w:rsidRDefault="00305D3C" w:rsidP="00D00168">
            <w:pPr>
              <w:pStyle w:val="TableCopy"/>
            </w:pPr>
            <w:r w:rsidRPr="00D00168">
              <w:t>Employee</w:t>
            </w:r>
            <w:r w:rsidR="0013032F" w:rsidRPr="00D00168">
              <w:t xml:space="preserve"> </w:t>
            </w:r>
            <w:r w:rsidRPr="00D00168">
              <w:t>expenses</w:t>
            </w:r>
          </w:p>
        </w:tc>
        <w:tc>
          <w:tcPr>
            <w:tcW w:w="1701" w:type="dxa"/>
          </w:tcPr>
          <w:p w14:paraId="3A44FC8D" w14:textId="77777777" w:rsidR="00757772" w:rsidRPr="00D00168" w:rsidRDefault="00305D3C" w:rsidP="00D00168">
            <w:pPr>
              <w:pStyle w:val="TableCopy"/>
              <w:jc w:val="right"/>
            </w:pPr>
            <w:r w:rsidRPr="00D00168">
              <w:t>(24,543)</w:t>
            </w:r>
          </w:p>
        </w:tc>
        <w:tc>
          <w:tcPr>
            <w:tcW w:w="1700" w:type="dxa"/>
          </w:tcPr>
          <w:p w14:paraId="03998531" w14:textId="77777777" w:rsidR="00757772" w:rsidRPr="00D00168" w:rsidRDefault="00305D3C" w:rsidP="00D00168">
            <w:pPr>
              <w:pStyle w:val="TableCopy"/>
              <w:jc w:val="right"/>
            </w:pPr>
            <w:r w:rsidRPr="00D00168">
              <w:t>(28,935)</w:t>
            </w:r>
          </w:p>
        </w:tc>
      </w:tr>
      <w:tr w:rsidR="00D00168" w:rsidRPr="00D00168" w14:paraId="3C913628" w14:textId="77777777" w:rsidTr="00D00168">
        <w:trPr>
          <w:trHeight w:val="396"/>
        </w:trPr>
        <w:tc>
          <w:tcPr>
            <w:tcW w:w="6123" w:type="dxa"/>
          </w:tcPr>
          <w:p w14:paraId="5226112B" w14:textId="2CBA280D" w:rsidR="00757772" w:rsidRPr="00D00168" w:rsidRDefault="00305D3C" w:rsidP="00D00168">
            <w:pPr>
              <w:pStyle w:val="TableCopy"/>
            </w:pPr>
            <w:r w:rsidRPr="00D00168">
              <w:t>Depreciation</w:t>
            </w:r>
            <w:r w:rsidR="0013032F" w:rsidRPr="00D00168">
              <w:t xml:space="preserve"> </w:t>
            </w:r>
            <w:r w:rsidRPr="00D00168">
              <w:t>and</w:t>
            </w:r>
            <w:r w:rsidR="0013032F" w:rsidRPr="00D00168">
              <w:t xml:space="preserve"> </w:t>
            </w:r>
            <w:r w:rsidRPr="00D00168">
              <w:t>amortisation</w:t>
            </w:r>
            <w:r w:rsidR="0013032F" w:rsidRPr="00D00168">
              <w:t xml:space="preserve"> </w:t>
            </w:r>
          </w:p>
        </w:tc>
        <w:tc>
          <w:tcPr>
            <w:tcW w:w="1701" w:type="dxa"/>
          </w:tcPr>
          <w:p w14:paraId="196D89D9" w14:textId="77777777" w:rsidR="00757772" w:rsidRPr="00D00168" w:rsidRDefault="00305D3C" w:rsidP="00D00168">
            <w:pPr>
              <w:pStyle w:val="TableCopy"/>
              <w:jc w:val="right"/>
            </w:pPr>
            <w:r w:rsidRPr="00D00168">
              <w:t>(370)</w:t>
            </w:r>
          </w:p>
        </w:tc>
        <w:tc>
          <w:tcPr>
            <w:tcW w:w="1700" w:type="dxa"/>
          </w:tcPr>
          <w:p w14:paraId="1A4DFA8A" w14:textId="77777777" w:rsidR="00757772" w:rsidRPr="00D00168" w:rsidRDefault="00305D3C" w:rsidP="00D00168">
            <w:pPr>
              <w:pStyle w:val="TableCopy"/>
              <w:jc w:val="right"/>
            </w:pPr>
            <w:r w:rsidRPr="00D00168">
              <w:t>(458)</w:t>
            </w:r>
          </w:p>
        </w:tc>
      </w:tr>
      <w:tr w:rsidR="00D00168" w:rsidRPr="00D00168" w14:paraId="417FCF9A" w14:textId="77777777" w:rsidTr="00D00168">
        <w:trPr>
          <w:trHeight w:val="396"/>
        </w:trPr>
        <w:tc>
          <w:tcPr>
            <w:tcW w:w="6123" w:type="dxa"/>
          </w:tcPr>
          <w:p w14:paraId="29D774F3" w14:textId="03379B22" w:rsidR="00757772" w:rsidRPr="00D00168" w:rsidRDefault="00305D3C" w:rsidP="00D00168">
            <w:pPr>
              <w:pStyle w:val="TableCopy"/>
            </w:pPr>
            <w:r w:rsidRPr="00D00168">
              <w:t>Interest</w:t>
            </w:r>
            <w:r w:rsidR="0013032F" w:rsidRPr="00D00168">
              <w:t xml:space="preserve"> </w:t>
            </w:r>
            <w:r w:rsidRPr="00D00168">
              <w:t>expense</w:t>
            </w:r>
          </w:p>
        </w:tc>
        <w:tc>
          <w:tcPr>
            <w:tcW w:w="1701" w:type="dxa"/>
          </w:tcPr>
          <w:p w14:paraId="49AE4EA4" w14:textId="77777777" w:rsidR="00757772" w:rsidRPr="00D00168" w:rsidRDefault="00305D3C" w:rsidP="00D00168">
            <w:pPr>
              <w:pStyle w:val="TableCopy"/>
              <w:jc w:val="right"/>
            </w:pPr>
            <w:r w:rsidRPr="00D00168">
              <w:t>(30)</w:t>
            </w:r>
          </w:p>
        </w:tc>
        <w:tc>
          <w:tcPr>
            <w:tcW w:w="1700" w:type="dxa"/>
          </w:tcPr>
          <w:p w14:paraId="3F0BC48B" w14:textId="77777777" w:rsidR="00757772" w:rsidRPr="00D00168" w:rsidRDefault="00305D3C" w:rsidP="00D00168">
            <w:pPr>
              <w:pStyle w:val="TableCopy"/>
              <w:jc w:val="right"/>
            </w:pPr>
            <w:r w:rsidRPr="00D00168">
              <w:t>(23)</w:t>
            </w:r>
          </w:p>
        </w:tc>
      </w:tr>
      <w:tr w:rsidR="00D00168" w:rsidRPr="00D00168" w14:paraId="1A7A5EAA" w14:textId="77777777" w:rsidTr="00D00168">
        <w:trPr>
          <w:trHeight w:val="396"/>
        </w:trPr>
        <w:tc>
          <w:tcPr>
            <w:tcW w:w="6123" w:type="dxa"/>
          </w:tcPr>
          <w:p w14:paraId="5F4C2F3E" w14:textId="5B166A8F" w:rsidR="00757772" w:rsidRPr="00D00168" w:rsidRDefault="00305D3C" w:rsidP="00D00168">
            <w:pPr>
              <w:pStyle w:val="TableCopy"/>
            </w:pPr>
            <w:r w:rsidRPr="00D00168">
              <w:t>Other</w:t>
            </w:r>
            <w:r w:rsidR="0013032F" w:rsidRPr="00D00168">
              <w:t xml:space="preserve"> </w:t>
            </w:r>
            <w:r w:rsidRPr="00D00168">
              <w:t>operating</w:t>
            </w:r>
            <w:r w:rsidR="0013032F" w:rsidRPr="00D00168">
              <w:t xml:space="preserve"> </w:t>
            </w:r>
            <w:r w:rsidRPr="00D00168">
              <w:t>expenses</w:t>
            </w:r>
          </w:p>
        </w:tc>
        <w:tc>
          <w:tcPr>
            <w:tcW w:w="1701" w:type="dxa"/>
          </w:tcPr>
          <w:p w14:paraId="08BD57BC" w14:textId="77777777" w:rsidR="00757772" w:rsidRPr="00D00168" w:rsidRDefault="00305D3C" w:rsidP="00D00168">
            <w:pPr>
              <w:pStyle w:val="TableCopy"/>
              <w:jc w:val="right"/>
            </w:pPr>
            <w:r w:rsidRPr="00D00168">
              <w:t>(34,479)</w:t>
            </w:r>
          </w:p>
        </w:tc>
        <w:tc>
          <w:tcPr>
            <w:tcW w:w="1700" w:type="dxa"/>
          </w:tcPr>
          <w:p w14:paraId="62DB8496" w14:textId="77777777" w:rsidR="00757772" w:rsidRPr="00D00168" w:rsidRDefault="00305D3C" w:rsidP="00D00168">
            <w:pPr>
              <w:pStyle w:val="TableCopy"/>
              <w:jc w:val="right"/>
            </w:pPr>
            <w:r w:rsidRPr="00D00168">
              <w:t>(41,627)</w:t>
            </w:r>
          </w:p>
        </w:tc>
      </w:tr>
      <w:tr w:rsidR="00D00168" w:rsidRPr="00D00168" w14:paraId="559E430D" w14:textId="77777777" w:rsidTr="00D00168">
        <w:trPr>
          <w:trHeight w:val="396"/>
        </w:trPr>
        <w:tc>
          <w:tcPr>
            <w:tcW w:w="6123" w:type="dxa"/>
          </w:tcPr>
          <w:p w14:paraId="638E5003" w14:textId="17B64DC7" w:rsidR="00757772" w:rsidRPr="00D00168" w:rsidRDefault="00305D3C" w:rsidP="00D00168">
            <w:pPr>
              <w:pStyle w:val="TableCopy"/>
              <w:rPr>
                <w:b/>
                <w:bCs/>
              </w:rPr>
            </w:pPr>
            <w:r w:rsidRPr="00D00168">
              <w:rPr>
                <w:b/>
                <w:bCs/>
              </w:rPr>
              <w:t>Total</w:t>
            </w:r>
            <w:r w:rsidR="0013032F" w:rsidRPr="00D00168">
              <w:rPr>
                <w:b/>
                <w:bCs/>
              </w:rPr>
              <w:t xml:space="preserve"> </w:t>
            </w:r>
            <w:r w:rsidRPr="00D00168">
              <w:rPr>
                <w:b/>
                <w:bCs/>
              </w:rPr>
              <w:t>expenses</w:t>
            </w:r>
            <w:r w:rsidR="0013032F" w:rsidRPr="00D00168">
              <w:rPr>
                <w:b/>
                <w:bCs/>
              </w:rPr>
              <w:t xml:space="preserve"> </w:t>
            </w:r>
            <w:r w:rsidRPr="00D00168">
              <w:rPr>
                <w:b/>
                <w:bCs/>
              </w:rPr>
              <w:t>from</w:t>
            </w:r>
            <w:r w:rsidR="0013032F" w:rsidRPr="00D00168">
              <w:rPr>
                <w:b/>
                <w:bCs/>
              </w:rPr>
              <w:t xml:space="preserve"> </w:t>
            </w:r>
            <w:r w:rsidRPr="00D00168">
              <w:rPr>
                <w:b/>
                <w:bCs/>
              </w:rPr>
              <w:t>transactions</w:t>
            </w:r>
          </w:p>
        </w:tc>
        <w:tc>
          <w:tcPr>
            <w:tcW w:w="1701" w:type="dxa"/>
          </w:tcPr>
          <w:p w14:paraId="65A05C07" w14:textId="77777777" w:rsidR="00757772" w:rsidRPr="00D00168" w:rsidRDefault="00305D3C" w:rsidP="00D00168">
            <w:pPr>
              <w:pStyle w:val="TableCopy"/>
              <w:jc w:val="right"/>
              <w:rPr>
                <w:b/>
                <w:bCs/>
              </w:rPr>
            </w:pPr>
            <w:r w:rsidRPr="00D00168">
              <w:rPr>
                <w:b/>
                <w:bCs/>
              </w:rPr>
              <w:t>(170,678)</w:t>
            </w:r>
          </w:p>
        </w:tc>
        <w:tc>
          <w:tcPr>
            <w:tcW w:w="1700" w:type="dxa"/>
          </w:tcPr>
          <w:p w14:paraId="53F769AF" w14:textId="77777777" w:rsidR="00757772" w:rsidRPr="00D00168" w:rsidRDefault="00305D3C" w:rsidP="00D00168">
            <w:pPr>
              <w:pStyle w:val="TableCopy"/>
              <w:jc w:val="right"/>
              <w:rPr>
                <w:b/>
                <w:bCs/>
              </w:rPr>
            </w:pPr>
            <w:r w:rsidRPr="00D00168">
              <w:rPr>
                <w:b/>
                <w:bCs/>
              </w:rPr>
              <w:t>(289,617)</w:t>
            </w:r>
          </w:p>
        </w:tc>
      </w:tr>
      <w:tr w:rsidR="00D00168" w:rsidRPr="00D00168" w14:paraId="3C872661" w14:textId="77777777" w:rsidTr="00D00168">
        <w:trPr>
          <w:trHeight w:val="396"/>
        </w:trPr>
        <w:tc>
          <w:tcPr>
            <w:tcW w:w="6123" w:type="dxa"/>
          </w:tcPr>
          <w:p w14:paraId="3D0923DA" w14:textId="0CA902AB" w:rsidR="00757772" w:rsidRPr="00D00168" w:rsidRDefault="00305D3C" w:rsidP="00D00168">
            <w:pPr>
              <w:pStyle w:val="TableCopy"/>
              <w:rPr>
                <w:b/>
                <w:bCs/>
              </w:rPr>
            </w:pPr>
            <w:r w:rsidRPr="00D00168">
              <w:rPr>
                <w:b/>
                <w:bCs/>
              </w:rPr>
              <w:t>Net</w:t>
            </w:r>
            <w:r w:rsidR="0013032F" w:rsidRPr="00D00168">
              <w:rPr>
                <w:b/>
                <w:bCs/>
              </w:rPr>
              <w:t xml:space="preserve"> </w:t>
            </w:r>
            <w:r w:rsidRPr="00D00168">
              <w:rPr>
                <w:b/>
                <w:bCs/>
              </w:rPr>
              <w:t>result</w:t>
            </w:r>
            <w:r w:rsidR="0013032F" w:rsidRPr="00D00168">
              <w:rPr>
                <w:b/>
                <w:bCs/>
              </w:rPr>
              <w:t xml:space="preserve"> </w:t>
            </w:r>
            <w:r w:rsidRPr="00D00168">
              <w:rPr>
                <w:b/>
                <w:bCs/>
              </w:rPr>
              <w:t>from</w:t>
            </w:r>
            <w:r w:rsidR="0013032F" w:rsidRPr="00D00168">
              <w:rPr>
                <w:b/>
                <w:bCs/>
              </w:rPr>
              <w:t xml:space="preserve"> </w:t>
            </w:r>
            <w:r w:rsidRPr="00D00168">
              <w:rPr>
                <w:b/>
                <w:bCs/>
              </w:rPr>
              <w:t>transactions</w:t>
            </w:r>
            <w:r w:rsidR="0013032F" w:rsidRPr="00D00168">
              <w:rPr>
                <w:b/>
                <w:bCs/>
              </w:rPr>
              <w:t xml:space="preserve"> </w:t>
            </w:r>
            <w:r w:rsidRPr="00D00168">
              <w:rPr>
                <w:b/>
                <w:bCs/>
              </w:rPr>
              <w:t>(net</w:t>
            </w:r>
            <w:r w:rsidR="0013032F" w:rsidRPr="00D00168">
              <w:rPr>
                <w:b/>
                <w:bCs/>
              </w:rPr>
              <w:t xml:space="preserve"> </w:t>
            </w:r>
            <w:r w:rsidRPr="00D00168">
              <w:rPr>
                <w:b/>
                <w:bCs/>
              </w:rPr>
              <w:t>operating</w:t>
            </w:r>
            <w:r w:rsidR="0013032F" w:rsidRPr="00D00168">
              <w:rPr>
                <w:b/>
                <w:bCs/>
              </w:rPr>
              <w:t xml:space="preserve"> </w:t>
            </w:r>
            <w:r w:rsidRPr="00D00168">
              <w:rPr>
                <w:b/>
                <w:bCs/>
              </w:rPr>
              <w:t>balance)</w:t>
            </w:r>
          </w:p>
        </w:tc>
        <w:tc>
          <w:tcPr>
            <w:tcW w:w="1701" w:type="dxa"/>
          </w:tcPr>
          <w:p w14:paraId="22B14088" w14:textId="77777777" w:rsidR="00757772" w:rsidRPr="00D00168" w:rsidRDefault="00305D3C" w:rsidP="00D00168">
            <w:pPr>
              <w:pStyle w:val="TableCopy"/>
              <w:jc w:val="right"/>
              <w:rPr>
                <w:b/>
                <w:bCs/>
              </w:rPr>
            </w:pPr>
            <w:r w:rsidRPr="00D00168">
              <w:rPr>
                <w:b/>
                <w:bCs/>
              </w:rPr>
              <w:t>19,288</w:t>
            </w:r>
          </w:p>
        </w:tc>
        <w:tc>
          <w:tcPr>
            <w:tcW w:w="1700" w:type="dxa"/>
          </w:tcPr>
          <w:p w14:paraId="05056F30" w14:textId="77777777" w:rsidR="00757772" w:rsidRPr="00D00168" w:rsidRDefault="00305D3C" w:rsidP="00D00168">
            <w:pPr>
              <w:pStyle w:val="TableCopy"/>
              <w:jc w:val="right"/>
              <w:rPr>
                <w:b/>
                <w:bCs/>
              </w:rPr>
            </w:pPr>
            <w:r w:rsidRPr="00D00168">
              <w:rPr>
                <w:b/>
                <w:bCs/>
              </w:rPr>
              <w:t>(3,552)</w:t>
            </w:r>
          </w:p>
        </w:tc>
      </w:tr>
    </w:tbl>
    <w:p w14:paraId="27D83BF2" w14:textId="77777777" w:rsidR="00757772" w:rsidRDefault="00757772">
      <w:pPr>
        <w:pStyle w:val="BODY"/>
        <w:spacing w:before="198"/>
        <w:rPr>
          <w:rFonts w:ascii="VIC Light" w:hAnsi="VIC Light" w:cs="VIC Light"/>
          <w:color w:val="F072AB"/>
        </w:rPr>
      </w:pPr>
    </w:p>
    <w:p w14:paraId="2D806B30" w14:textId="5DBC762F" w:rsidR="00757772" w:rsidRPr="00F22F9E" w:rsidRDefault="00305D3C" w:rsidP="00EE0BF6">
      <w:pPr>
        <w:pStyle w:val="Heading1"/>
      </w:pPr>
      <w:bookmarkStart w:id="61" w:name="_Toc149566605"/>
      <w:r w:rsidRPr="00F22F9E">
        <w:lastRenderedPageBreak/>
        <w:t>Contact</w:t>
      </w:r>
      <w:r w:rsidR="0013032F">
        <w:t xml:space="preserve"> </w:t>
      </w:r>
      <w:r w:rsidRPr="00F22F9E">
        <w:t>information</w:t>
      </w:r>
      <w:bookmarkEnd w:id="61"/>
    </w:p>
    <w:p w14:paraId="329CD3B9" w14:textId="285650CE" w:rsidR="00757772" w:rsidRPr="00F22F9E" w:rsidRDefault="00305D3C" w:rsidP="00EE0BF6">
      <w:pPr>
        <w:pStyle w:val="Heading2"/>
      </w:pPr>
      <w:bookmarkStart w:id="62" w:name="_Toc149566606"/>
      <w:r w:rsidRPr="00F22F9E">
        <w:t>Regional</w:t>
      </w:r>
      <w:r w:rsidR="0013032F">
        <w:t xml:space="preserve"> </w:t>
      </w:r>
      <w:r w:rsidRPr="00F22F9E">
        <w:t>Development</w:t>
      </w:r>
      <w:r w:rsidR="0013032F">
        <w:t xml:space="preserve"> </w:t>
      </w:r>
      <w:r w:rsidRPr="00F22F9E">
        <w:t>Victoria</w:t>
      </w:r>
      <w:r w:rsidR="0013032F">
        <w:t xml:space="preserve"> </w:t>
      </w:r>
      <w:r w:rsidRPr="00F22F9E">
        <w:t>offices</w:t>
      </w:r>
      <w:bookmarkEnd w:id="62"/>
    </w:p>
    <w:p w14:paraId="45733E64" w14:textId="77777777" w:rsidR="00757772" w:rsidRPr="00EE0BF6" w:rsidRDefault="00305D3C" w:rsidP="00EE0BF6">
      <w:pPr>
        <w:pStyle w:val="Normalbeforebullets"/>
        <w:rPr>
          <w:b/>
          <w:bCs/>
        </w:rPr>
      </w:pPr>
      <w:r w:rsidRPr="00EE0BF6">
        <w:rPr>
          <w:b/>
          <w:bCs/>
        </w:rPr>
        <w:t>Ballarat</w:t>
      </w:r>
    </w:p>
    <w:p w14:paraId="712D6887" w14:textId="070601E2" w:rsidR="00757772" w:rsidRPr="00EE0BF6" w:rsidRDefault="00305D3C" w:rsidP="00EE0BF6">
      <w:pPr>
        <w:spacing w:after="0"/>
      </w:pPr>
      <w:r w:rsidRPr="00EE0BF6">
        <w:t>Ballarat</w:t>
      </w:r>
      <w:r w:rsidR="0013032F" w:rsidRPr="00EE0BF6">
        <w:t xml:space="preserve"> </w:t>
      </w:r>
      <w:proofErr w:type="spellStart"/>
      <w:r w:rsidRPr="00EE0BF6">
        <w:t>GovHub</w:t>
      </w:r>
      <w:proofErr w:type="spellEnd"/>
    </w:p>
    <w:p w14:paraId="760FF9F4" w14:textId="651ED31B" w:rsidR="00757772" w:rsidRPr="00EE0BF6" w:rsidRDefault="00305D3C" w:rsidP="00EE0BF6">
      <w:pPr>
        <w:spacing w:after="0"/>
      </w:pPr>
      <w:r w:rsidRPr="00EE0BF6">
        <w:t>300-304</w:t>
      </w:r>
      <w:r w:rsidR="0013032F" w:rsidRPr="00EE0BF6">
        <w:t xml:space="preserve"> </w:t>
      </w:r>
      <w:r w:rsidRPr="00EE0BF6">
        <w:t>Mair</w:t>
      </w:r>
      <w:r w:rsidR="0013032F" w:rsidRPr="00EE0BF6">
        <w:t xml:space="preserve"> </w:t>
      </w:r>
      <w:r w:rsidRPr="00EE0BF6">
        <w:t>Street</w:t>
      </w:r>
    </w:p>
    <w:p w14:paraId="5DF4E9AB" w14:textId="0C8C6AF0" w:rsidR="00757772" w:rsidRPr="00EE0BF6" w:rsidRDefault="00305D3C" w:rsidP="00EE0BF6">
      <w:pPr>
        <w:spacing w:after="0"/>
      </w:pPr>
      <w:r w:rsidRPr="00EE0BF6">
        <w:t>Ballarat</w:t>
      </w:r>
      <w:r w:rsidR="0013032F" w:rsidRPr="00EE0BF6">
        <w:t xml:space="preserve"> </w:t>
      </w:r>
      <w:r w:rsidRPr="00EE0BF6">
        <w:t>VIC</w:t>
      </w:r>
      <w:r w:rsidR="0013032F" w:rsidRPr="00EE0BF6">
        <w:t xml:space="preserve"> </w:t>
      </w:r>
      <w:r w:rsidRPr="00EE0BF6">
        <w:t>3350</w:t>
      </w:r>
    </w:p>
    <w:p w14:paraId="17B531D8" w14:textId="14DE0E07" w:rsidR="00757772" w:rsidRPr="00EE0BF6" w:rsidRDefault="00305D3C" w:rsidP="00EE0BF6">
      <w:r w:rsidRPr="00EE0BF6">
        <w:t>Phone:</w:t>
      </w:r>
      <w:r w:rsidR="0013032F" w:rsidRPr="00EE0BF6">
        <w:t xml:space="preserve"> </w:t>
      </w:r>
      <w:r w:rsidRPr="00EE0BF6">
        <w:t>1800</w:t>
      </w:r>
      <w:r w:rsidR="0013032F" w:rsidRPr="00EE0BF6">
        <w:t xml:space="preserve"> </w:t>
      </w:r>
      <w:r w:rsidRPr="00EE0BF6">
        <w:t>878</w:t>
      </w:r>
      <w:r w:rsidR="0013032F" w:rsidRPr="00EE0BF6">
        <w:t xml:space="preserve"> </w:t>
      </w:r>
      <w:r w:rsidRPr="00EE0BF6">
        <w:t>981</w:t>
      </w:r>
    </w:p>
    <w:p w14:paraId="1D45F474" w14:textId="77777777" w:rsidR="00757772" w:rsidRPr="00EE0BF6" w:rsidRDefault="00305D3C" w:rsidP="00EE0BF6">
      <w:pPr>
        <w:pStyle w:val="Normalbeforebullets"/>
        <w:rPr>
          <w:b/>
          <w:bCs/>
        </w:rPr>
      </w:pPr>
      <w:r w:rsidRPr="00EE0BF6">
        <w:rPr>
          <w:b/>
          <w:bCs/>
        </w:rPr>
        <w:t>Bendigo</w:t>
      </w:r>
    </w:p>
    <w:p w14:paraId="1FBFB679" w14:textId="5A92059B" w:rsidR="00757772" w:rsidRPr="00EE0BF6" w:rsidRDefault="00305D3C" w:rsidP="00EE0BF6">
      <w:pPr>
        <w:spacing w:after="0"/>
      </w:pPr>
      <w:proofErr w:type="spellStart"/>
      <w:r w:rsidRPr="00EE0BF6">
        <w:t>Galkangu</w:t>
      </w:r>
      <w:proofErr w:type="spellEnd"/>
      <w:r w:rsidR="0013032F" w:rsidRPr="00EE0BF6">
        <w:t xml:space="preserve"> </w:t>
      </w:r>
      <w:r w:rsidRPr="00EE0BF6">
        <w:t>–</w:t>
      </w:r>
      <w:r w:rsidR="0013032F" w:rsidRPr="00EE0BF6">
        <w:t xml:space="preserve"> </w:t>
      </w:r>
      <w:r w:rsidRPr="00EE0BF6">
        <w:t>Bendigo</w:t>
      </w:r>
      <w:r w:rsidR="0013032F" w:rsidRPr="00EE0BF6">
        <w:t xml:space="preserve"> </w:t>
      </w:r>
      <w:proofErr w:type="spellStart"/>
      <w:r w:rsidRPr="00EE0BF6">
        <w:t>GovHub</w:t>
      </w:r>
      <w:proofErr w:type="spellEnd"/>
    </w:p>
    <w:p w14:paraId="18C7F981" w14:textId="0741C0F1" w:rsidR="00757772" w:rsidRPr="00EE0BF6" w:rsidRDefault="00305D3C" w:rsidP="00EE0BF6">
      <w:pPr>
        <w:spacing w:after="0"/>
      </w:pPr>
      <w:r w:rsidRPr="00EE0BF6">
        <w:t>195-229</w:t>
      </w:r>
      <w:r w:rsidR="0013032F" w:rsidRPr="00EE0BF6">
        <w:t xml:space="preserve"> </w:t>
      </w:r>
      <w:r w:rsidRPr="00EE0BF6">
        <w:t>Lyttleton</w:t>
      </w:r>
      <w:r w:rsidR="0013032F" w:rsidRPr="00EE0BF6">
        <w:t xml:space="preserve"> </w:t>
      </w:r>
      <w:r w:rsidRPr="00EE0BF6">
        <w:t>Terrace</w:t>
      </w:r>
    </w:p>
    <w:p w14:paraId="4ABB9085" w14:textId="5054F974" w:rsidR="00757772" w:rsidRPr="00EE0BF6" w:rsidRDefault="00305D3C" w:rsidP="00EE0BF6">
      <w:pPr>
        <w:spacing w:after="0"/>
      </w:pPr>
      <w:r w:rsidRPr="00EE0BF6">
        <w:t>Bendigo</w:t>
      </w:r>
      <w:r w:rsidR="0013032F" w:rsidRPr="00EE0BF6">
        <w:t xml:space="preserve"> </w:t>
      </w:r>
      <w:r w:rsidRPr="00EE0BF6">
        <w:t>VIC</w:t>
      </w:r>
      <w:r w:rsidR="0013032F" w:rsidRPr="00EE0BF6">
        <w:t xml:space="preserve"> </w:t>
      </w:r>
      <w:r w:rsidRPr="00EE0BF6">
        <w:t>3550</w:t>
      </w:r>
    </w:p>
    <w:p w14:paraId="18A4232C" w14:textId="46BACF9B" w:rsidR="00757772" w:rsidRPr="00EE0BF6" w:rsidRDefault="00305D3C" w:rsidP="00EE0BF6">
      <w:r w:rsidRPr="00EE0BF6">
        <w:t>Phone:</w:t>
      </w:r>
      <w:r w:rsidR="0013032F" w:rsidRPr="00EE0BF6">
        <w:t xml:space="preserve"> </w:t>
      </w:r>
      <w:r w:rsidRPr="00EE0BF6">
        <w:t>1800</w:t>
      </w:r>
      <w:r w:rsidR="0013032F" w:rsidRPr="00EE0BF6">
        <w:t xml:space="preserve"> </w:t>
      </w:r>
      <w:r w:rsidRPr="00EE0BF6">
        <w:t>950</w:t>
      </w:r>
      <w:r w:rsidR="0013032F" w:rsidRPr="00EE0BF6">
        <w:t xml:space="preserve"> </w:t>
      </w:r>
      <w:r w:rsidRPr="00EE0BF6">
        <w:t>146</w:t>
      </w:r>
    </w:p>
    <w:p w14:paraId="6BE61531" w14:textId="77777777" w:rsidR="00757772" w:rsidRPr="00EE0BF6" w:rsidRDefault="00305D3C" w:rsidP="00EE0BF6">
      <w:pPr>
        <w:pStyle w:val="Normalbeforebullets"/>
        <w:rPr>
          <w:b/>
          <w:bCs/>
        </w:rPr>
      </w:pPr>
      <w:r w:rsidRPr="00EE0BF6">
        <w:rPr>
          <w:b/>
          <w:bCs/>
        </w:rPr>
        <w:t>Geelong</w:t>
      </w:r>
    </w:p>
    <w:p w14:paraId="74C7DA34" w14:textId="7456FB9B" w:rsidR="00757772" w:rsidRPr="00EE0BF6" w:rsidRDefault="00305D3C" w:rsidP="00EE0BF6">
      <w:pPr>
        <w:spacing w:after="0"/>
      </w:pPr>
      <w:r w:rsidRPr="00EE0BF6">
        <w:t>Level</w:t>
      </w:r>
      <w:r w:rsidR="0013032F" w:rsidRPr="00EE0BF6">
        <w:t xml:space="preserve"> </w:t>
      </w:r>
      <w:r w:rsidRPr="00EE0BF6">
        <w:t>2,</w:t>
      </w:r>
      <w:r w:rsidR="0013032F" w:rsidRPr="00EE0BF6">
        <w:t xml:space="preserve"> </w:t>
      </w:r>
      <w:r w:rsidRPr="00EE0BF6">
        <w:t>Harrison</w:t>
      </w:r>
      <w:r w:rsidR="0013032F" w:rsidRPr="00EE0BF6">
        <w:t xml:space="preserve"> </w:t>
      </w:r>
      <w:r w:rsidRPr="00EE0BF6">
        <w:t>Place</w:t>
      </w:r>
    </w:p>
    <w:p w14:paraId="320B0230" w14:textId="782B5FAA" w:rsidR="00757772" w:rsidRPr="00EE0BF6" w:rsidRDefault="00305D3C" w:rsidP="00EE0BF6">
      <w:pPr>
        <w:spacing w:after="0"/>
      </w:pPr>
      <w:r w:rsidRPr="00EE0BF6">
        <w:t>237</w:t>
      </w:r>
      <w:r w:rsidR="0013032F" w:rsidRPr="00EE0BF6">
        <w:t xml:space="preserve"> </w:t>
      </w:r>
      <w:r w:rsidRPr="00EE0BF6">
        <w:t>Ryrie</w:t>
      </w:r>
      <w:r w:rsidR="0013032F" w:rsidRPr="00EE0BF6">
        <w:t xml:space="preserve"> </w:t>
      </w:r>
      <w:r w:rsidRPr="00EE0BF6">
        <w:t>Street</w:t>
      </w:r>
    </w:p>
    <w:p w14:paraId="6B5FCAAB" w14:textId="4D8A4150" w:rsidR="00757772" w:rsidRPr="00EE0BF6" w:rsidRDefault="00305D3C" w:rsidP="00EE0BF6">
      <w:pPr>
        <w:spacing w:after="0"/>
      </w:pPr>
      <w:r w:rsidRPr="00EE0BF6">
        <w:t>Geelong</w:t>
      </w:r>
      <w:r w:rsidR="0013032F" w:rsidRPr="00EE0BF6">
        <w:t xml:space="preserve"> </w:t>
      </w:r>
      <w:r w:rsidRPr="00EE0BF6">
        <w:t>VIC</w:t>
      </w:r>
      <w:r w:rsidR="0013032F" w:rsidRPr="00EE0BF6">
        <w:t xml:space="preserve"> </w:t>
      </w:r>
      <w:r w:rsidRPr="00EE0BF6">
        <w:t>3220</w:t>
      </w:r>
    </w:p>
    <w:p w14:paraId="54EEFD27" w14:textId="224742DE" w:rsidR="00757772" w:rsidRPr="00EE0BF6" w:rsidRDefault="00305D3C" w:rsidP="00EE0BF6">
      <w:r w:rsidRPr="00EE0BF6">
        <w:t>Phone:</w:t>
      </w:r>
      <w:r w:rsidR="0013032F" w:rsidRPr="00EE0BF6">
        <w:t xml:space="preserve"> </w:t>
      </w:r>
      <w:r w:rsidRPr="00EE0BF6">
        <w:t>1800</w:t>
      </w:r>
      <w:r w:rsidR="0013032F" w:rsidRPr="00EE0BF6">
        <w:t xml:space="preserve"> </w:t>
      </w:r>
      <w:r w:rsidRPr="00EE0BF6">
        <w:t>950</w:t>
      </w:r>
      <w:r w:rsidR="0013032F" w:rsidRPr="00EE0BF6">
        <w:t xml:space="preserve"> </w:t>
      </w:r>
      <w:r w:rsidRPr="00EE0BF6">
        <w:t>145</w:t>
      </w:r>
    </w:p>
    <w:p w14:paraId="6F72A4E5" w14:textId="77777777" w:rsidR="00757772" w:rsidRPr="00EE0BF6" w:rsidRDefault="00305D3C" w:rsidP="00EE0BF6">
      <w:pPr>
        <w:pStyle w:val="Normalbeforebullets"/>
        <w:rPr>
          <w:b/>
          <w:bCs/>
        </w:rPr>
      </w:pPr>
      <w:r w:rsidRPr="00EE0BF6">
        <w:rPr>
          <w:b/>
          <w:bCs/>
        </w:rPr>
        <w:t>Gippsland</w:t>
      </w:r>
    </w:p>
    <w:p w14:paraId="1C2CDC54" w14:textId="1DE6A3AF" w:rsidR="00757772" w:rsidRPr="00EE0BF6" w:rsidRDefault="00305D3C" w:rsidP="00EE0BF6">
      <w:pPr>
        <w:spacing w:after="0"/>
      </w:pPr>
      <w:r w:rsidRPr="00EE0BF6">
        <w:t>Latrobe</w:t>
      </w:r>
      <w:r w:rsidR="0013032F" w:rsidRPr="00EE0BF6">
        <w:t xml:space="preserve"> </w:t>
      </w:r>
      <w:r w:rsidRPr="00EE0BF6">
        <w:t>Valley</w:t>
      </w:r>
      <w:r w:rsidR="0013032F" w:rsidRPr="00EE0BF6">
        <w:t xml:space="preserve"> </w:t>
      </w:r>
      <w:proofErr w:type="spellStart"/>
      <w:r w:rsidRPr="00EE0BF6">
        <w:t>GovHub</w:t>
      </w:r>
      <w:proofErr w:type="spellEnd"/>
    </w:p>
    <w:p w14:paraId="000D552A" w14:textId="162BF2A9" w:rsidR="00757772" w:rsidRPr="00EE0BF6" w:rsidRDefault="00305D3C" w:rsidP="00EE0BF6">
      <w:pPr>
        <w:spacing w:after="0"/>
      </w:pPr>
      <w:r w:rsidRPr="00EE0BF6">
        <w:t>65</w:t>
      </w:r>
      <w:r w:rsidR="0013032F" w:rsidRPr="00EE0BF6">
        <w:t xml:space="preserve"> </w:t>
      </w:r>
      <w:r w:rsidRPr="00EE0BF6">
        <w:t>Church</w:t>
      </w:r>
      <w:r w:rsidR="0013032F" w:rsidRPr="00EE0BF6">
        <w:t xml:space="preserve"> </w:t>
      </w:r>
      <w:r w:rsidRPr="00EE0BF6">
        <w:t>Street</w:t>
      </w:r>
    </w:p>
    <w:p w14:paraId="1A88ED26" w14:textId="4D1F092C" w:rsidR="00757772" w:rsidRPr="00EE0BF6" w:rsidRDefault="00305D3C" w:rsidP="00EE0BF6">
      <w:pPr>
        <w:spacing w:after="0"/>
      </w:pPr>
      <w:r w:rsidRPr="00EE0BF6">
        <w:t>Morwell</w:t>
      </w:r>
      <w:r w:rsidR="0013032F" w:rsidRPr="00EE0BF6">
        <w:t xml:space="preserve"> </w:t>
      </w:r>
      <w:r w:rsidRPr="00EE0BF6">
        <w:t>VIC</w:t>
      </w:r>
      <w:r w:rsidR="0013032F" w:rsidRPr="00EE0BF6">
        <w:t xml:space="preserve"> </w:t>
      </w:r>
      <w:r w:rsidRPr="00EE0BF6">
        <w:t>3840</w:t>
      </w:r>
    </w:p>
    <w:p w14:paraId="11FE89D3" w14:textId="76EE9CB5" w:rsidR="00757772" w:rsidRPr="00EE0BF6" w:rsidRDefault="00305D3C" w:rsidP="00EE0BF6">
      <w:r w:rsidRPr="00EE0BF6">
        <w:t>Phone:</w:t>
      </w:r>
      <w:r w:rsidR="0013032F" w:rsidRPr="00EE0BF6">
        <w:t xml:space="preserve"> </w:t>
      </w:r>
      <w:r w:rsidRPr="00EE0BF6">
        <w:t>1800</w:t>
      </w:r>
      <w:r w:rsidR="0013032F" w:rsidRPr="00EE0BF6">
        <w:t xml:space="preserve"> </w:t>
      </w:r>
      <w:r w:rsidRPr="00EE0BF6">
        <w:t>325</w:t>
      </w:r>
      <w:r w:rsidR="0013032F" w:rsidRPr="00EE0BF6">
        <w:t xml:space="preserve"> </w:t>
      </w:r>
      <w:r w:rsidRPr="00EE0BF6">
        <w:t>217</w:t>
      </w:r>
    </w:p>
    <w:p w14:paraId="52006EFF" w14:textId="77777777" w:rsidR="00757772" w:rsidRPr="00EE0BF6" w:rsidRDefault="00305D3C" w:rsidP="00EE0BF6">
      <w:pPr>
        <w:pStyle w:val="Normalbeforebullets"/>
        <w:rPr>
          <w:b/>
          <w:bCs/>
        </w:rPr>
      </w:pPr>
      <w:r w:rsidRPr="00EE0BF6">
        <w:rPr>
          <w:b/>
          <w:bCs/>
        </w:rPr>
        <w:t>Melbourne</w:t>
      </w:r>
    </w:p>
    <w:p w14:paraId="75AF14DC" w14:textId="687680BD" w:rsidR="00757772" w:rsidRPr="00EE0BF6" w:rsidRDefault="00305D3C" w:rsidP="00EE0BF6">
      <w:pPr>
        <w:spacing w:after="0"/>
      </w:pPr>
      <w:r w:rsidRPr="00EE0BF6">
        <w:t>Level</w:t>
      </w:r>
      <w:r w:rsidR="0013032F" w:rsidRPr="00EE0BF6">
        <w:t xml:space="preserve"> </w:t>
      </w:r>
      <w:r w:rsidRPr="00EE0BF6">
        <w:t>31,</w:t>
      </w:r>
      <w:r w:rsidR="0013032F" w:rsidRPr="00EE0BF6">
        <w:t xml:space="preserve"> </w:t>
      </w:r>
      <w:r w:rsidRPr="00EE0BF6">
        <w:t>121</w:t>
      </w:r>
      <w:r w:rsidR="0013032F" w:rsidRPr="00EE0BF6">
        <w:t xml:space="preserve"> </w:t>
      </w:r>
      <w:r w:rsidRPr="00EE0BF6">
        <w:t>Exhibition</w:t>
      </w:r>
      <w:r w:rsidR="0013032F" w:rsidRPr="00EE0BF6">
        <w:t xml:space="preserve"> </w:t>
      </w:r>
      <w:r w:rsidRPr="00EE0BF6">
        <w:t>Street</w:t>
      </w:r>
    </w:p>
    <w:p w14:paraId="58C02F29" w14:textId="44D43B56" w:rsidR="00757772" w:rsidRPr="00EE0BF6" w:rsidRDefault="00305D3C" w:rsidP="00EE0BF6">
      <w:pPr>
        <w:spacing w:after="0"/>
      </w:pPr>
      <w:r w:rsidRPr="00EE0BF6">
        <w:t>Melbourne</w:t>
      </w:r>
      <w:r w:rsidR="0013032F" w:rsidRPr="00EE0BF6">
        <w:t xml:space="preserve"> </w:t>
      </w:r>
      <w:r w:rsidRPr="00EE0BF6">
        <w:t>VIC</w:t>
      </w:r>
      <w:r w:rsidR="0013032F" w:rsidRPr="00EE0BF6">
        <w:t xml:space="preserve"> </w:t>
      </w:r>
      <w:r w:rsidRPr="00EE0BF6">
        <w:t>3000</w:t>
      </w:r>
    </w:p>
    <w:p w14:paraId="5FDE1FD2" w14:textId="31A0B67E" w:rsidR="00757772" w:rsidRPr="00EE0BF6" w:rsidRDefault="00305D3C" w:rsidP="00EE0BF6">
      <w:r w:rsidRPr="00EE0BF6">
        <w:t>Phone:</w:t>
      </w:r>
      <w:r w:rsidR="0013032F" w:rsidRPr="00EE0BF6">
        <w:t xml:space="preserve"> </w:t>
      </w:r>
      <w:r w:rsidRPr="00EE0BF6">
        <w:t>13</w:t>
      </w:r>
      <w:r w:rsidR="0013032F" w:rsidRPr="00EE0BF6">
        <w:t xml:space="preserve"> </w:t>
      </w:r>
      <w:r w:rsidRPr="00EE0BF6">
        <w:t>22</w:t>
      </w:r>
      <w:r w:rsidR="0013032F" w:rsidRPr="00EE0BF6">
        <w:t xml:space="preserve"> </w:t>
      </w:r>
      <w:r w:rsidRPr="00EE0BF6">
        <w:t>15</w:t>
      </w:r>
    </w:p>
    <w:p w14:paraId="677792A7" w14:textId="77777777" w:rsidR="00757772" w:rsidRPr="00EE0BF6" w:rsidRDefault="00305D3C" w:rsidP="00EE0BF6">
      <w:pPr>
        <w:pStyle w:val="Normalbeforebullets"/>
        <w:rPr>
          <w:b/>
          <w:bCs/>
        </w:rPr>
      </w:pPr>
      <w:r w:rsidRPr="00EE0BF6">
        <w:rPr>
          <w:b/>
          <w:bCs/>
        </w:rPr>
        <w:t>Mildura</w:t>
      </w:r>
    </w:p>
    <w:p w14:paraId="714208ED" w14:textId="740F9BBF" w:rsidR="00757772" w:rsidRPr="00EE0BF6" w:rsidRDefault="00305D3C" w:rsidP="00EE0BF6">
      <w:pPr>
        <w:spacing w:after="0"/>
      </w:pPr>
      <w:proofErr w:type="spellStart"/>
      <w:r w:rsidRPr="00EE0BF6">
        <w:t>Cnr</w:t>
      </w:r>
      <w:proofErr w:type="spellEnd"/>
      <w:r w:rsidRPr="00EE0BF6">
        <w:t>.</w:t>
      </w:r>
      <w:r w:rsidR="0013032F" w:rsidRPr="00EE0BF6">
        <w:t xml:space="preserve"> </w:t>
      </w:r>
      <w:r w:rsidRPr="00EE0BF6">
        <w:t>Koorlong</w:t>
      </w:r>
      <w:r w:rsidR="0013032F" w:rsidRPr="00EE0BF6">
        <w:t xml:space="preserve"> </w:t>
      </w:r>
      <w:r w:rsidRPr="00EE0BF6">
        <w:t>Ave</w:t>
      </w:r>
      <w:r w:rsidR="0013032F" w:rsidRPr="00EE0BF6">
        <w:t xml:space="preserve"> </w:t>
      </w:r>
      <w:r w:rsidRPr="00EE0BF6">
        <w:t>and</w:t>
      </w:r>
      <w:r w:rsidR="0013032F" w:rsidRPr="00EE0BF6">
        <w:t xml:space="preserve"> </w:t>
      </w:r>
      <w:r w:rsidRPr="00EE0BF6">
        <w:t>11th</w:t>
      </w:r>
      <w:r w:rsidR="0013032F" w:rsidRPr="00EE0BF6">
        <w:t xml:space="preserve"> </w:t>
      </w:r>
      <w:r w:rsidRPr="00EE0BF6">
        <w:t>Street</w:t>
      </w:r>
    </w:p>
    <w:p w14:paraId="0D5D5A65" w14:textId="500F7420" w:rsidR="00757772" w:rsidRPr="00EE0BF6" w:rsidRDefault="00305D3C" w:rsidP="00EE0BF6">
      <w:pPr>
        <w:spacing w:after="0"/>
      </w:pPr>
      <w:r w:rsidRPr="00EE0BF6">
        <w:t>308-390</w:t>
      </w:r>
      <w:r w:rsidR="0013032F" w:rsidRPr="00EE0BF6">
        <w:t xml:space="preserve"> </w:t>
      </w:r>
      <w:r w:rsidRPr="00EE0BF6">
        <w:t>Koorlong</w:t>
      </w:r>
      <w:r w:rsidR="0013032F" w:rsidRPr="00EE0BF6">
        <w:t xml:space="preserve"> </w:t>
      </w:r>
      <w:r w:rsidRPr="00EE0BF6">
        <w:t>Ave</w:t>
      </w:r>
    </w:p>
    <w:p w14:paraId="5161968D" w14:textId="3530A1EE" w:rsidR="00757772" w:rsidRPr="00EE0BF6" w:rsidRDefault="00305D3C" w:rsidP="00EE0BF6">
      <w:pPr>
        <w:spacing w:after="0"/>
      </w:pPr>
      <w:r w:rsidRPr="00EE0BF6">
        <w:t>Irymple</w:t>
      </w:r>
      <w:r w:rsidR="0013032F" w:rsidRPr="00EE0BF6">
        <w:t xml:space="preserve"> </w:t>
      </w:r>
      <w:r w:rsidRPr="00EE0BF6">
        <w:t>VIC</w:t>
      </w:r>
      <w:r w:rsidR="0013032F" w:rsidRPr="00EE0BF6">
        <w:t xml:space="preserve"> </w:t>
      </w:r>
      <w:r w:rsidRPr="00EE0BF6">
        <w:t>3498</w:t>
      </w:r>
    </w:p>
    <w:p w14:paraId="27D99277" w14:textId="2E1153D9" w:rsidR="00757772" w:rsidRPr="00EE0BF6" w:rsidRDefault="00305D3C" w:rsidP="00EE0BF6">
      <w:r w:rsidRPr="00EE0BF6">
        <w:t>Phone:</w:t>
      </w:r>
      <w:r w:rsidR="0013032F" w:rsidRPr="00EE0BF6">
        <w:t xml:space="preserve"> </w:t>
      </w:r>
      <w:r w:rsidRPr="00EE0BF6">
        <w:t>1800</w:t>
      </w:r>
      <w:r w:rsidR="0013032F" w:rsidRPr="00EE0BF6">
        <w:t xml:space="preserve"> </w:t>
      </w:r>
      <w:r w:rsidRPr="00EE0BF6">
        <w:t>950</w:t>
      </w:r>
      <w:r w:rsidR="0013032F" w:rsidRPr="00EE0BF6">
        <w:t xml:space="preserve"> </w:t>
      </w:r>
      <w:r w:rsidRPr="00EE0BF6">
        <w:t>146</w:t>
      </w:r>
    </w:p>
    <w:p w14:paraId="60D4A0A4" w14:textId="77777777" w:rsidR="00757772" w:rsidRPr="00EE0BF6" w:rsidRDefault="00305D3C" w:rsidP="00EE0BF6">
      <w:pPr>
        <w:pStyle w:val="Normalbeforebullets"/>
        <w:rPr>
          <w:b/>
          <w:bCs/>
        </w:rPr>
      </w:pPr>
      <w:r w:rsidRPr="00EE0BF6">
        <w:rPr>
          <w:b/>
          <w:bCs/>
        </w:rPr>
        <w:lastRenderedPageBreak/>
        <w:t>Portland</w:t>
      </w:r>
    </w:p>
    <w:p w14:paraId="5823A35F" w14:textId="6664613B" w:rsidR="00757772" w:rsidRPr="00EE0BF6" w:rsidRDefault="00305D3C" w:rsidP="00EE0BF6">
      <w:pPr>
        <w:keepNext/>
        <w:spacing w:after="0"/>
      </w:pPr>
      <w:r w:rsidRPr="00EE0BF6">
        <w:t>13A</w:t>
      </w:r>
      <w:r w:rsidR="0013032F" w:rsidRPr="00EE0BF6">
        <w:t xml:space="preserve"> </w:t>
      </w:r>
      <w:r w:rsidRPr="00EE0BF6">
        <w:t>Richmond</w:t>
      </w:r>
      <w:r w:rsidR="0013032F" w:rsidRPr="00EE0BF6">
        <w:t xml:space="preserve"> </w:t>
      </w:r>
      <w:r w:rsidRPr="00EE0BF6">
        <w:t>Street</w:t>
      </w:r>
    </w:p>
    <w:p w14:paraId="6A3F4DA6" w14:textId="681B3433" w:rsidR="00757772" w:rsidRPr="00EE0BF6" w:rsidRDefault="00305D3C" w:rsidP="00EE0BF6">
      <w:pPr>
        <w:spacing w:after="0"/>
      </w:pPr>
      <w:r w:rsidRPr="00EE0BF6">
        <w:t>Portland</w:t>
      </w:r>
      <w:r w:rsidR="0013032F" w:rsidRPr="00EE0BF6">
        <w:t xml:space="preserve"> </w:t>
      </w:r>
      <w:r w:rsidRPr="00EE0BF6">
        <w:t>VIC</w:t>
      </w:r>
      <w:r w:rsidR="0013032F" w:rsidRPr="00EE0BF6">
        <w:t xml:space="preserve"> </w:t>
      </w:r>
      <w:r w:rsidRPr="00EE0BF6">
        <w:t>3305</w:t>
      </w:r>
    </w:p>
    <w:p w14:paraId="1992C6DA" w14:textId="3BFF7178" w:rsidR="00757772" w:rsidRPr="00EE0BF6" w:rsidRDefault="00305D3C" w:rsidP="00EE0BF6">
      <w:r w:rsidRPr="00EE0BF6">
        <w:t>Phone:</w:t>
      </w:r>
      <w:r w:rsidR="0013032F" w:rsidRPr="00EE0BF6">
        <w:t xml:space="preserve"> </w:t>
      </w:r>
      <w:r w:rsidRPr="00EE0BF6">
        <w:t>03</w:t>
      </w:r>
      <w:r w:rsidR="0013032F" w:rsidRPr="00EE0BF6">
        <w:t xml:space="preserve"> </w:t>
      </w:r>
      <w:r w:rsidRPr="00EE0BF6">
        <w:t>9623</w:t>
      </w:r>
      <w:r w:rsidR="0013032F" w:rsidRPr="00EE0BF6">
        <w:t xml:space="preserve"> </w:t>
      </w:r>
      <w:r w:rsidRPr="00EE0BF6">
        <w:t>1300</w:t>
      </w:r>
    </w:p>
    <w:p w14:paraId="2EE3621A" w14:textId="77777777" w:rsidR="00757772" w:rsidRPr="00EE0BF6" w:rsidRDefault="00305D3C" w:rsidP="00EE0BF6">
      <w:pPr>
        <w:pStyle w:val="Normalbeforebullets"/>
        <w:rPr>
          <w:b/>
          <w:bCs/>
        </w:rPr>
      </w:pPr>
      <w:r w:rsidRPr="00EE0BF6">
        <w:rPr>
          <w:b/>
          <w:bCs/>
        </w:rPr>
        <w:t>Tatura</w:t>
      </w:r>
    </w:p>
    <w:p w14:paraId="64374F2B" w14:textId="6D2C4F8B" w:rsidR="00757772" w:rsidRPr="00EE0BF6" w:rsidRDefault="00305D3C" w:rsidP="00EE0BF6">
      <w:pPr>
        <w:spacing w:after="0"/>
      </w:pPr>
      <w:r w:rsidRPr="00EE0BF6">
        <w:t>255</w:t>
      </w:r>
      <w:r w:rsidR="0013032F" w:rsidRPr="00EE0BF6">
        <w:t xml:space="preserve"> </w:t>
      </w:r>
      <w:r w:rsidRPr="00EE0BF6">
        <w:t>Ferguson</w:t>
      </w:r>
      <w:r w:rsidR="0013032F" w:rsidRPr="00EE0BF6">
        <w:t xml:space="preserve"> </w:t>
      </w:r>
      <w:r w:rsidRPr="00EE0BF6">
        <w:t>Road</w:t>
      </w:r>
    </w:p>
    <w:p w14:paraId="38E508A7" w14:textId="1B33618E" w:rsidR="00757772" w:rsidRPr="00EE0BF6" w:rsidRDefault="00305D3C" w:rsidP="00EE0BF6">
      <w:r w:rsidRPr="00EE0BF6">
        <w:t>Tatura</w:t>
      </w:r>
      <w:r w:rsidR="0013032F" w:rsidRPr="00EE0BF6">
        <w:t xml:space="preserve"> </w:t>
      </w:r>
      <w:r w:rsidRPr="00EE0BF6">
        <w:t>VIC</w:t>
      </w:r>
      <w:r w:rsidR="0013032F" w:rsidRPr="00EE0BF6">
        <w:t xml:space="preserve"> </w:t>
      </w:r>
      <w:r w:rsidRPr="00EE0BF6">
        <w:t>3616</w:t>
      </w:r>
    </w:p>
    <w:p w14:paraId="4EEFB6A7" w14:textId="77777777" w:rsidR="00757772" w:rsidRPr="00EE0BF6" w:rsidRDefault="00305D3C" w:rsidP="00EE0BF6">
      <w:pPr>
        <w:pStyle w:val="Normalbeforebullets"/>
        <w:rPr>
          <w:b/>
          <w:bCs/>
        </w:rPr>
      </w:pPr>
      <w:r w:rsidRPr="00EE0BF6">
        <w:rPr>
          <w:b/>
          <w:bCs/>
        </w:rPr>
        <w:t>Wangaratta</w:t>
      </w:r>
    </w:p>
    <w:p w14:paraId="5D3EFF7B" w14:textId="05048160" w:rsidR="00757772" w:rsidRPr="00EE0BF6" w:rsidRDefault="00305D3C" w:rsidP="00EE0BF6">
      <w:pPr>
        <w:spacing w:after="0"/>
      </w:pPr>
      <w:r w:rsidRPr="00EE0BF6">
        <w:t>Wangaratta</w:t>
      </w:r>
      <w:r w:rsidR="0013032F" w:rsidRPr="00EE0BF6">
        <w:t xml:space="preserve"> </w:t>
      </w:r>
      <w:r w:rsidRPr="00EE0BF6">
        <w:t>Government</w:t>
      </w:r>
      <w:r w:rsidR="0013032F" w:rsidRPr="00EE0BF6">
        <w:t xml:space="preserve"> </w:t>
      </w:r>
      <w:r w:rsidRPr="00EE0BF6">
        <w:t>Centre</w:t>
      </w:r>
    </w:p>
    <w:p w14:paraId="54DBF137" w14:textId="42C7AC19" w:rsidR="00757772" w:rsidRPr="00EE0BF6" w:rsidRDefault="00305D3C" w:rsidP="00EE0BF6">
      <w:pPr>
        <w:spacing w:after="0"/>
      </w:pPr>
      <w:r w:rsidRPr="00EE0BF6">
        <w:t>1st</w:t>
      </w:r>
      <w:r w:rsidR="0013032F" w:rsidRPr="00EE0BF6">
        <w:t xml:space="preserve"> </w:t>
      </w:r>
      <w:r w:rsidRPr="00EE0BF6">
        <w:t>Floor,</w:t>
      </w:r>
      <w:r w:rsidR="0013032F" w:rsidRPr="00EE0BF6">
        <w:t xml:space="preserve"> </w:t>
      </w:r>
      <w:r w:rsidRPr="00EE0BF6">
        <w:t>62</w:t>
      </w:r>
      <w:r w:rsidR="0013032F" w:rsidRPr="00EE0BF6">
        <w:t xml:space="preserve"> </w:t>
      </w:r>
      <w:r w:rsidRPr="00EE0BF6">
        <w:t>Ovens</w:t>
      </w:r>
      <w:r w:rsidR="0013032F" w:rsidRPr="00EE0BF6">
        <w:t xml:space="preserve"> </w:t>
      </w:r>
      <w:r w:rsidRPr="00EE0BF6">
        <w:t>Street</w:t>
      </w:r>
    </w:p>
    <w:p w14:paraId="14C1BB87" w14:textId="2D7A3D22" w:rsidR="00757772" w:rsidRPr="00EE0BF6" w:rsidRDefault="00305D3C" w:rsidP="00EE0BF6">
      <w:r w:rsidRPr="00EE0BF6">
        <w:t>Wangaratta</w:t>
      </w:r>
      <w:r w:rsidR="0013032F" w:rsidRPr="00EE0BF6">
        <w:t xml:space="preserve"> </w:t>
      </w:r>
      <w:r w:rsidRPr="00EE0BF6">
        <w:t>VIC</w:t>
      </w:r>
      <w:r w:rsidR="0013032F" w:rsidRPr="00EE0BF6">
        <w:t xml:space="preserve"> </w:t>
      </w:r>
      <w:r w:rsidRPr="00EE0BF6">
        <w:t>3677</w:t>
      </w:r>
    </w:p>
    <w:p w14:paraId="6743D6C6" w14:textId="77777777" w:rsidR="00757772" w:rsidRPr="00EE0BF6" w:rsidRDefault="00305D3C" w:rsidP="00EE0BF6">
      <w:pPr>
        <w:pStyle w:val="Normalbeforebullets"/>
        <w:rPr>
          <w:b/>
          <w:bCs/>
        </w:rPr>
      </w:pPr>
      <w:r w:rsidRPr="00EE0BF6">
        <w:rPr>
          <w:b/>
          <w:bCs/>
        </w:rPr>
        <w:t>Warrnambool</w:t>
      </w:r>
    </w:p>
    <w:p w14:paraId="309354A1" w14:textId="5F57BABF" w:rsidR="00757772" w:rsidRPr="00EE0BF6" w:rsidRDefault="00305D3C" w:rsidP="00EE0BF6">
      <w:pPr>
        <w:spacing w:after="0"/>
      </w:pPr>
      <w:r w:rsidRPr="00EE0BF6">
        <w:t>703-709</w:t>
      </w:r>
      <w:r w:rsidR="0013032F" w:rsidRPr="00EE0BF6">
        <w:t xml:space="preserve"> </w:t>
      </w:r>
      <w:r w:rsidRPr="00EE0BF6">
        <w:t>Raglan</w:t>
      </w:r>
      <w:r w:rsidR="0013032F" w:rsidRPr="00EE0BF6">
        <w:t xml:space="preserve"> </w:t>
      </w:r>
      <w:r w:rsidRPr="00EE0BF6">
        <w:t>Parade</w:t>
      </w:r>
    </w:p>
    <w:p w14:paraId="1F227124" w14:textId="5D1E6D0A" w:rsidR="00757772" w:rsidRPr="00EE0BF6" w:rsidRDefault="00305D3C" w:rsidP="00EE0BF6">
      <w:pPr>
        <w:spacing w:after="0"/>
      </w:pPr>
      <w:r w:rsidRPr="00EE0BF6">
        <w:t>(PO</w:t>
      </w:r>
      <w:r w:rsidR="0013032F" w:rsidRPr="00EE0BF6">
        <w:t xml:space="preserve"> </w:t>
      </w:r>
      <w:r w:rsidRPr="00EE0BF6">
        <w:t>Box</w:t>
      </w:r>
      <w:r w:rsidR="0013032F" w:rsidRPr="00EE0BF6">
        <w:t xml:space="preserve"> </w:t>
      </w:r>
      <w:r w:rsidRPr="00EE0BF6">
        <w:t>105)</w:t>
      </w:r>
    </w:p>
    <w:p w14:paraId="075B44F4" w14:textId="3FD994A6" w:rsidR="00757772" w:rsidRPr="00EE0BF6" w:rsidRDefault="00305D3C" w:rsidP="00EE0BF6">
      <w:pPr>
        <w:spacing w:after="0"/>
      </w:pPr>
      <w:r w:rsidRPr="00EE0BF6">
        <w:t>Warrnambool</w:t>
      </w:r>
      <w:r w:rsidR="0013032F" w:rsidRPr="00EE0BF6">
        <w:t xml:space="preserve"> </w:t>
      </w:r>
      <w:r w:rsidRPr="00EE0BF6">
        <w:t>VIC</w:t>
      </w:r>
      <w:r w:rsidR="0013032F" w:rsidRPr="00EE0BF6">
        <w:t xml:space="preserve"> </w:t>
      </w:r>
      <w:r w:rsidRPr="00EE0BF6">
        <w:t>3280</w:t>
      </w:r>
    </w:p>
    <w:p w14:paraId="5370F412" w14:textId="5A5BA3F2" w:rsidR="00757772" w:rsidRPr="00EE0BF6" w:rsidRDefault="00305D3C" w:rsidP="00EE0BF6">
      <w:r w:rsidRPr="00EE0BF6">
        <w:t>Phone:</w:t>
      </w:r>
      <w:r w:rsidR="0013032F" w:rsidRPr="00EE0BF6">
        <w:t xml:space="preserve"> </w:t>
      </w:r>
      <w:r w:rsidRPr="00EE0BF6">
        <w:t>1800</w:t>
      </w:r>
      <w:r w:rsidR="0013032F" w:rsidRPr="00EE0BF6">
        <w:t xml:space="preserve"> </w:t>
      </w:r>
      <w:r w:rsidRPr="00EE0BF6">
        <w:t>950</w:t>
      </w:r>
      <w:r w:rsidR="0013032F" w:rsidRPr="00EE0BF6">
        <w:t xml:space="preserve"> </w:t>
      </w:r>
      <w:r w:rsidRPr="00EE0BF6">
        <w:t>145</w:t>
      </w:r>
    </w:p>
    <w:p w14:paraId="2F502F8E" w14:textId="77777777" w:rsidR="00757772" w:rsidRPr="00EE0BF6" w:rsidRDefault="00305D3C" w:rsidP="00EE0BF6">
      <w:pPr>
        <w:pStyle w:val="Normalbeforebullets"/>
        <w:rPr>
          <w:b/>
          <w:bCs/>
        </w:rPr>
      </w:pPr>
      <w:r w:rsidRPr="00EE0BF6">
        <w:rPr>
          <w:b/>
          <w:bCs/>
        </w:rPr>
        <w:t>Wodonga</w:t>
      </w:r>
    </w:p>
    <w:p w14:paraId="323D2C55" w14:textId="06FE76DC" w:rsidR="00757772" w:rsidRPr="00EE0BF6" w:rsidRDefault="00305D3C" w:rsidP="00EE0BF6">
      <w:pPr>
        <w:spacing w:after="0"/>
      </w:pPr>
      <w:r w:rsidRPr="00EE0BF6">
        <w:t>111-113</w:t>
      </w:r>
      <w:r w:rsidR="0013032F" w:rsidRPr="00EE0BF6">
        <w:t xml:space="preserve"> </w:t>
      </w:r>
      <w:r w:rsidRPr="00EE0BF6">
        <w:t>Hume</w:t>
      </w:r>
      <w:r w:rsidR="0013032F" w:rsidRPr="00EE0BF6">
        <w:t xml:space="preserve"> </w:t>
      </w:r>
      <w:r w:rsidRPr="00EE0BF6">
        <w:t>Street</w:t>
      </w:r>
    </w:p>
    <w:p w14:paraId="6FDA993C" w14:textId="25ABB59E" w:rsidR="00757772" w:rsidRPr="000814E4" w:rsidRDefault="00305D3C" w:rsidP="000814E4">
      <w:r w:rsidRPr="000814E4">
        <w:t>Wodonga</w:t>
      </w:r>
      <w:r w:rsidR="0013032F" w:rsidRPr="000814E4">
        <w:t xml:space="preserve"> </w:t>
      </w:r>
      <w:r w:rsidRPr="000814E4">
        <w:t>VIC</w:t>
      </w:r>
      <w:r w:rsidR="0013032F" w:rsidRPr="000814E4">
        <w:t xml:space="preserve"> </w:t>
      </w:r>
      <w:r w:rsidRPr="000814E4">
        <w:t>3690</w:t>
      </w:r>
    </w:p>
    <w:p w14:paraId="0FF993E9" w14:textId="40C0DAAA" w:rsidR="00757772" w:rsidRPr="000814E4" w:rsidRDefault="00305D3C" w:rsidP="000814E4">
      <w:pPr>
        <w:spacing w:after="0"/>
      </w:pPr>
      <w:r w:rsidRPr="000814E4">
        <w:t>Web:</w:t>
      </w:r>
      <w:r w:rsidR="0013032F" w:rsidRPr="000814E4">
        <w:t xml:space="preserve"> </w:t>
      </w:r>
      <w:hyperlink r:id="rId20" w:tooltip="Link to Regional Development Victoria website" w:history="1">
        <w:r w:rsidR="000814E4">
          <w:rPr>
            <w:rStyle w:val="Hyperlink"/>
          </w:rPr>
          <w:t>Regional Development Victoria</w:t>
        </w:r>
      </w:hyperlink>
    </w:p>
    <w:p w14:paraId="74ABFAB4" w14:textId="39E15DF0" w:rsidR="00757772" w:rsidRPr="000814E4" w:rsidRDefault="00305D3C" w:rsidP="000814E4">
      <w:pPr>
        <w:spacing w:after="0"/>
      </w:pPr>
      <w:r w:rsidRPr="000814E4">
        <w:t>Email:</w:t>
      </w:r>
      <w:r w:rsidR="0013032F" w:rsidRPr="000814E4">
        <w:t xml:space="preserve"> </w:t>
      </w:r>
      <w:hyperlink r:id="rId21" w:tooltip="Link to Regional Development Victoria email address" w:history="1">
        <w:r w:rsidR="000814E4" w:rsidRPr="002D121D">
          <w:rPr>
            <w:rStyle w:val="Hyperlink"/>
          </w:rPr>
          <w:t>rdv@rdv.vic.gov.au</w:t>
        </w:r>
      </w:hyperlink>
    </w:p>
    <w:sectPr w:rsidR="00757772" w:rsidRPr="000814E4" w:rsidSect="00F22F9E">
      <w:headerReference w:type="even" r:id="rId22"/>
      <w:footerReference w:type="even" r:id="rId23"/>
      <w:headerReference w:type="first" r:id="rId24"/>
      <w:footerReference w:type="first" r:id="rId25"/>
      <w:pgSz w:w="11906" w:h="16838" w:code="9"/>
      <w:pgMar w:top="1134" w:right="1134" w:bottom="1134" w:left="1134" w:header="397" w:footer="397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Freelance Designer2 (DJSIR)" w:date="2023-10-26T20:46:00Z" w:initials="SK">
    <w:p w14:paraId="665AE7D5" w14:textId="4379EA17" w:rsidR="008865EB" w:rsidRDefault="008865EB">
      <w:pPr>
        <w:pStyle w:val="CommentText"/>
      </w:pPr>
      <w:r>
        <w:rPr>
          <w:rStyle w:val="CommentReference"/>
        </w:rPr>
        <w:annotationRef/>
      </w:r>
      <w:r w:rsidR="00095514">
        <w:t>Please provide alt text</w:t>
      </w:r>
    </w:p>
  </w:comment>
  <w:comment w:id="14" w:author="Freelance Designer2 (DJSIR)" w:date="2023-10-30T13:54:00Z" w:initials="SK">
    <w:p w14:paraId="3E13853C" w14:textId="29051484" w:rsidR="000814E4" w:rsidRDefault="000814E4">
      <w:pPr>
        <w:pStyle w:val="CommentText"/>
      </w:pPr>
      <w:r>
        <w:rPr>
          <w:rStyle w:val="CommentReference"/>
        </w:rPr>
        <w:annotationRef/>
      </w:r>
      <w:r w:rsidRPr="000814E4">
        <w:t>Please provide alt text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5AE7D5" w15:done="0"/>
  <w15:commentEx w15:paraId="3E13853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E54E95" w16cex:dateUtc="2023-10-26T09:46:00Z"/>
  <w16cex:commentExtensible w16cex:durableId="28EA342B" w16cex:dateUtc="2023-10-30T02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5AE7D5" w16cid:durableId="28E54E95"/>
  <w16cid:commentId w16cid:paraId="3E13853C" w16cid:durableId="28EA34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9C4B2" w14:textId="77777777" w:rsidR="00A71E06" w:rsidRDefault="00A71E06" w:rsidP="00A71E06">
      <w:pPr>
        <w:spacing w:after="0" w:line="240" w:lineRule="auto"/>
      </w:pPr>
      <w:r>
        <w:separator/>
      </w:r>
    </w:p>
  </w:endnote>
  <w:endnote w:type="continuationSeparator" w:id="0">
    <w:p w14:paraId="3A47D8B6" w14:textId="77777777" w:rsidR="00A71E06" w:rsidRDefault="00A71E06" w:rsidP="00A71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 (OTF)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IC (OTF)">
    <w:altName w:val="V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IC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IC (OTF) SemiBold">
    <w:altName w:val="V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IC (OTF) Medium">
    <w:altName w:val="V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IC (OTF)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 Light">
    <w:altName w:val="VIC Light"/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altName w:val="VIC SemiBold"/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 Light Italic">
    <w:panose1 w:val="000004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EA04" w14:textId="552C112B" w:rsidR="00A71E06" w:rsidRDefault="00A71E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69B7877" wp14:editId="231163F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905"/>
              <wp:wrapSquare wrapText="bothSides"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94C5E8" w14:textId="7C792108" w:rsidR="00A71E06" w:rsidRPr="00A71E06" w:rsidRDefault="00A71E06">
                          <w:pPr>
                            <w:rPr>
                              <w:rFonts w:eastAsia="Arial"/>
                              <w:color w:val="000000"/>
                              <w:szCs w:val="24"/>
                            </w:rPr>
                          </w:pPr>
                          <w:r w:rsidRPr="00A71E06">
                            <w:rPr>
                              <w:rFonts w:eastAsia="Arial"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9B787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OFFI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I9E/ZAjAgAATQQAAA4AAAAAAAAAAAAAAAAALgIAAGRycy9lMm9Eb2MueG1sUEsBAi0A&#10;FAAGAAgAAAAhAISw0yjWAAAAAwEAAA8AAAAAAAAAAAAAAAAAfQQAAGRycy9kb3ducmV2LnhtbFBL&#10;BQYAAAAABAAEAPMAAACABQAAAAA=&#10;" filled="f" stroked="f">
              <v:fill o:detectmouseclick="t"/>
              <v:textbox style="mso-fit-shape-to-text:t" inset="0,0,0,0">
                <w:txbxContent>
                  <w:p w14:paraId="0E94C5E8" w14:textId="7C792108" w:rsidR="00A71E06" w:rsidRPr="00A71E06" w:rsidRDefault="00A71E06">
                    <w:pPr>
                      <w:rPr>
                        <w:rFonts w:eastAsia="Arial"/>
                        <w:color w:val="000000"/>
                        <w:szCs w:val="24"/>
                      </w:rPr>
                    </w:pPr>
                    <w:r w:rsidRPr="00A71E06">
                      <w:rPr>
                        <w:rFonts w:eastAsia="Arial"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5A48" w14:textId="0C9AAB6B" w:rsidR="00A71E06" w:rsidRDefault="00A71E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4AEF234" wp14:editId="5F37520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905"/>
              <wp:wrapSquare wrapText="bothSides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3B9A30" w14:textId="4296C8E7" w:rsidR="00A71E06" w:rsidRPr="00A71E06" w:rsidRDefault="00A71E06">
                          <w:pPr>
                            <w:rPr>
                              <w:rFonts w:eastAsia="Arial"/>
                              <w:color w:val="000000"/>
                              <w:szCs w:val="24"/>
                            </w:rPr>
                          </w:pPr>
                          <w:r w:rsidRPr="00A71E06">
                            <w:rPr>
                              <w:rFonts w:eastAsia="Arial"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AEF23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C6E7viJAIAAE0EAAAOAAAAAAAAAAAAAAAAAC4CAABkcnMvZTJvRG9jLnhtbFBLAQIt&#10;ABQABgAIAAAAIQCEsNMo1gAAAAMBAAAPAAAAAAAAAAAAAAAAAH4EAABkcnMvZG93bnJldi54bWxQ&#10;SwUGAAAAAAQABADzAAAAgQUAAAAA&#10;" filled="f" stroked="f">
              <v:fill o:detectmouseclick="t"/>
              <v:textbox style="mso-fit-shape-to-text:t" inset="0,0,0,0">
                <w:txbxContent>
                  <w:p w14:paraId="0D3B9A30" w14:textId="4296C8E7" w:rsidR="00A71E06" w:rsidRPr="00A71E06" w:rsidRDefault="00A71E06">
                    <w:pPr>
                      <w:rPr>
                        <w:rFonts w:eastAsia="Arial"/>
                        <w:color w:val="000000"/>
                        <w:szCs w:val="24"/>
                      </w:rPr>
                    </w:pPr>
                    <w:r w:rsidRPr="00A71E06">
                      <w:rPr>
                        <w:rFonts w:eastAsia="Arial"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6B84" w14:textId="77777777" w:rsidR="00A71E06" w:rsidRDefault="00A71E06" w:rsidP="00A71E06">
      <w:pPr>
        <w:spacing w:after="0" w:line="240" w:lineRule="auto"/>
      </w:pPr>
      <w:r>
        <w:separator/>
      </w:r>
    </w:p>
  </w:footnote>
  <w:footnote w:type="continuationSeparator" w:id="0">
    <w:p w14:paraId="0F857999" w14:textId="77777777" w:rsidR="00A71E06" w:rsidRDefault="00A71E06" w:rsidP="00A71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07D8A" w14:textId="73FBA041" w:rsidR="00A71E06" w:rsidRDefault="00A71E0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3FD188" wp14:editId="2771700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905"/>
              <wp:wrapSquare wrapText="bothSides"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5DE152" w14:textId="4C99D504" w:rsidR="00A71E06" w:rsidRPr="00A71E06" w:rsidRDefault="00A71E06">
                          <w:pPr>
                            <w:rPr>
                              <w:rFonts w:eastAsia="Arial"/>
                              <w:color w:val="000000"/>
                              <w:szCs w:val="24"/>
                            </w:rPr>
                          </w:pPr>
                          <w:r w:rsidRPr="00A71E06">
                            <w:rPr>
                              <w:rFonts w:eastAsia="Arial"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FD18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NiquPgjAgAATQQAAA4AAAAAAAAAAAAAAAAALgIAAGRycy9lMm9Eb2MueG1sUEsBAi0A&#10;FAAGAAgAAAAhAISw0yjWAAAAAwEAAA8AAAAAAAAAAAAAAAAAfQQAAGRycy9kb3ducmV2LnhtbFBL&#10;BQYAAAAABAAEAPMAAACABQAAAAA=&#10;" filled="f" stroked="f">
              <v:fill o:detectmouseclick="t"/>
              <v:textbox style="mso-fit-shape-to-text:t" inset="0,0,0,0">
                <w:txbxContent>
                  <w:p w14:paraId="205DE152" w14:textId="4C99D504" w:rsidR="00A71E06" w:rsidRPr="00A71E06" w:rsidRDefault="00A71E06">
                    <w:pPr>
                      <w:rPr>
                        <w:rFonts w:eastAsia="Arial"/>
                        <w:color w:val="000000"/>
                        <w:szCs w:val="24"/>
                      </w:rPr>
                    </w:pPr>
                    <w:r w:rsidRPr="00A71E06">
                      <w:rPr>
                        <w:rFonts w:eastAsia="Arial"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7171" w14:textId="32B84290" w:rsidR="00A71E06" w:rsidRDefault="00A71E0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1DE52DF" wp14:editId="60036D3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905"/>
              <wp:wrapSquare wrapText="bothSides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5FC2C8" w14:textId="68C01ABE" w:rsidR="00A71E06" w:rsidRPr="00A71E06" w:rsidRDefault="00A71E06">
                          <w:pPr>
                            <w:rPr>
                              <w:rFonts w:eastAsia="Arial"/>
                              <w:color w:val="000000"/>
                              <w:szCs w:val="24"/>
                            </w:rPr>
                          </w:pPr>
                          <w:r w:rsidRPr="00A71E06">
                            <w:rPr>
                              <w:rFonts w:eastAsia="Arial"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DE52D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PDwLNkgAgAARgQAAA4AAAAAAAAAAAAAAAAALgIAAGRycy9lMm9Eb2MueG1sUEsBAi0AFAAG&#10;AAgAAAAhAISw0yjWAAAAAwEAAA8AAAAAAAAAAAAAAAAAegQAAGRycy9kb3ducmV2LnhtbFBLBQYA&#10;AAAABAAEAPMAAAB9BQAAAAA=&#10;" filled="f" stroked="f">
              <v:fill o:detectmouseclick="t"/>
              <v:textbox style="mso-fit-shape-to-text:t" inset="0,0,0,0">
                <w:txbxContent>
                  <w:p w14:paraId="045FC2C8" w14:textId="68C01ABE" w:rsidR="00A71E06" w:rsidRPr="00A71E06" w:rsidRDefault="00A71E06">
                    <w:pPr>
                      <w:rPr>
                        <w:rFonts w:eastAsia="Arial"/>
                        <w:color w:val="000000"/>
                        <w:szCs w:val="24"/>
                      </w:rPr>
                    </w:pPr>
                    <w:r w:rsidRPr="00A71E06">
                      <w:rPr>
                        <w:rFonts w:eastAsia="Arial"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71EC"/>
    <w:multiLevelType w:val="hybridMultilevel"/>
    <w:tmpl w:val="9C3633AE"/>
    <w:lvl w:ilvl="0" w:tplc="58DC5624">
      <w:start w:val="1"/>
      <w:numFmt w:val="decimal"/>
      <w:pStyle w:val="Heading2numbered"/>
      <w:lvlText w:val="%1."/>
      <w:lvlJc w:val="left"/>
      <w:pPr>
        <w:ind w:left="454" w:hanging="454"/>
      </w:pPr>
      <w:rPr>
        <w:rFonts w:ascii="Arial" w:eastAsia="Arial" w:hAnsi="Arial" w:cs="Arial" w:hint="default"/>
        <w:color w:val="383834"/>
        <w:spacing w:val="-2"/>
        <w:w w:val="103"/>
        <w:sz w:val="32"/>
        <w:szCs w:val="1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E277B"/>
    <w:multiLevelType w:val="hybridMultilevel"/>
    <w:tmpl w:val="7D2A40B6"/>
    <w:lvl w:ilvl="0" w:tplc="F66AFD0A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F6C8A"/>
    <w:multiLevelType w:val="hybridMultilevel"/>
    <w:tmpl w:val="06F8BC4C"/>
    <w:lvl w:ilvl="0" w:tplc="68A05D72">
      <w:start w:val="1"/>
      <w:numFmt w:val="decimal"/>
      <w:pStyle w:val="Heading5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42A07"/>
    <w:multiLevelType w:val="hybridMultilevel"/>
    <w:tmpl w:val="A8C2C1A2"/>
    <w:lvl w:ilvl="0" w:tplc="5EF43A4A">
      <w:start w:val="1"/>
      <w:numFmt w:val="bullet"/>
      <w:pStyle w:val="Bullet2"/>
      <w:lvlText w:val=""/>
      <w:lvlJc w:val="left"/>
      <w:pPr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27018"/>
    <w:multiLevelType w:val="hybridMultilevel"/>
    <w:tmpl w:val="D7B26DC8"/>
    <w:lvl w:ilvl="0" w:tplc="23607E76">
      <w:start w:val="1"/>
      <w:numFmt w:val="bullet"/>
      <w:pStyle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46C2F"/>
    <w:multiLevelType w:val="hybridMultilevel"/>
    <w:tmpl w:val="561CD748"/>
    <w:lvl w:ilvl="0" w:tplc="74BCCDD8">
      <w:start w:val="1"/>
      <w:numFmt w:val="decimal"/>
      <w:pStyle w:val="ListParagraph"/>
      <w:lvlText w:val="%1."/>
      <w:lvlJc w:val="left"/>
      <w:pPr>
        <w:ind w:left="369" w:hanging="369"/>
      </w:pPr>
      <w:rPr>
        <w:rFonts w:ascii="Arial" w:eastAsia="Arial" w:hAnsi="Arial" w:cs="Arial" w:hint="default"/>
        <w:color w:val="383834"/>
        <w:spacing w:val="-2"/>
        <w:w w:val="103"/>
        <w:sz w:val="24"/>
        <w:szCs w:val="24"/>
        <w:lang w:val="en-AU" w:eastAsia="en-US" w:bidi="ar-SA"/>
      </w:rPr>
    </w:lvl>
    <w:lvl w:ilvl="1" w:tplc="93AEFE8E">
      <w:numFmt w:val="bullet"/>
      <w:lvlText w:val="•"/>
      <w:lvlJc w:val="left"/>
      <w:pPr>
        <w:ind w:left="3078" w:hanging="369"/>
      </w:pPr>
      <w:rPr>
        <w:rFonts w:hint="default"/>
        <w:lang w:val="en-AU" w:eastAsia="en-US" w:bidi="ar-SA"/>
      </w:rPr>
    </w:lvl>
    <w:lvl w:ilvl="2" w:tplc="12D4977C">
      <w:numFmt w:val="bullet"/>
      <w:lvlText w:val="•"/>
      <w:lvlJc w:val="left"/>
      <w:pPr>
        <w:ind w:left="3976" w:hanging="369"/>
      </w:pPr>
      <w:rPr>
        <w:rFonts w:hint="default"/>
        <w:lang w:val="en-AU" w:eastAsia="en-US" w:bidi="ar-SA"/>
      </w:rPr>
    </w:lvl>
    <w:lvl w:ilvl="3" w:tplc="DF12600A">
      <w:numFmt w:val="bullet"/>
      <w:lvlText w:val="•"/>
      <w:lvlJc w:val="left"/>
      <w:pPr>
        <w:ind w:left="4875" w:hanging="369"/>
      </w:pPr>
      <w:rPr>
        <w:rFonts w:hint="default"/>
        <w:lang w:val="en-AU" w:eastAsia="en-US" w:bidi="ar-SA"/>
      </w:rPr>
    </w:lvl>
    <w:lvl w:ilvl="4" w:tplc="E3CA3F6E">
      <w:numFmt w:val="bullet"/>
      <w:lvlText w:val="•"/>
      <w:lvlJc w:val="left"/>
      <w:pPr>
        <w:ind w:left="5773" w:hanging="369"/>
      </w:pPr>
      <w:rPr>
        <w:rFonts w:hint="default"/>
        <w:lang w:val="en-AU" w:eastAsia="en-US" w:bidi="ar-SA"/>
      </w:rPr>
    </w:lvl>
    <w:lvl w:ilvl="5" w:tplc="CBBC68C0">
      <w:numFmt w:val="bullet"/>
      <w:lvlText w:val="•"/>
      <w:lvlJc w:val="left"/>
      <w:pPr>
        <w:ind w:left="6672" w:hanging="369"/>
      </w:pPr>
      <w:rPr>
        <w:rFonts w:hint="default"/>
        <w:lang w:val="en-AU" w:eastAsia="en-US" w:bidi="ar-SA"/>
      </w:rPr>
    </w:lvl>
    <w:lvl w:ilvl="6" w:tplc="E9A064E6">
      <w:numFmt w:val="bullet"/>
      <w:lvlText w:val="•"/>
      <w:lvlJc w:val="left"/>
      <w:pPr>
        <w:ind w:left="7570" w:hanging="369"/>
      </w:pPr>
      <w:rPr>
        <w:rFonts w:hint="default"/>
        <w:lang w:val="en-AU" w:eastAsia="en-US" w:bidi="ar-SA"/>
      </w:rPr>
    </w:lvl>
    <w:lvl w:ilvl="7" w:tplc="4A0AAF2E">
      <w:numFmt w:val="bullet"/>
      <w:lvlText w:val="•"/>
      <w:lvlJc w:val="left"/>
      <w:pPr>
        <w:ind w:left="8468" w:hanging="369"/>
      </w:pPr>
      <w:rPr>
        <w:rFonts w:hint="default"/>
        <w:lang w:val="en-AU" w:eastAsia="en-US" w:bidi="ar-SA"/>
      </w:rPr>
    </w:lvl>
    <w:lvl w:ilvl="8" w:tplc="0CD834B4">
      <w:numFmt w:val="bullet"/>
      <w:lvlText w:val="•"/>
      <w:lvlJc w:val="left"/>
      <w:pPr>
        <w:ind w:left="9367" w:hanging="369"/>
      </w:pPr>
      <w:rPr>
        <w:rFonts w:hint="default"/>
        <w:lang w:val="en-AU" w:eastAsia="en-US" w:bidi="ar-SA"/>
      </w:rPr>
    </w:lvl>
  </w:abstractNum>
  <w:num w:numId="1">
    <w:abstractNumId w:val="4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elance Designer2 (DJSIR)">
    <w15:presenceInfo w15:providerId="None" w15:userId="Freelance Designer2 (DJSI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£§‘“"/>
  <w:noLineBreaksBefore w:lang="ja-JP" w:val="!),.:;?]}¢—’”‰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9E"/>
    <w:rsid w:val="000814E4"/>
    <w:rsid w:val="00095514"/>
    <w:rsid w:val="0013032F"/>
    <w:rsid w:val="0013570A"/>
    <w:rsid w:val="00224485"/>
    <w:rsid w:val="00255D8D"/>
    <w:rsid w:val="00286112"/>
    <w:rsid w:val="002E1560"/>
    <w:rsid w:val="00305D3C"/>
    <w:rsid w:val="0038203A"/>
    <w:rsid w:val="004E40C5"/>
    <w:rsid w:val="006210C6"/>
    <w:rsid w:val="00757772"/>
    <w:rsid w:val="0076152E"/>
    <w:rsid w:val="00763803"/>
    <w:rsid w:val="007B59C0"/>
    <w:rsid w:val="0085405D"/>
    <w:rsid w:val="008865EB"/>
    <w:rsid w:val="008B00BC"/>
    <w:rsid w:val="009B1556"/>
    <w:rsid w:val="009C399C"/>
    <w:rsid w:val="00A322DB"/>
    <w:rsid w:val="00A71E06"/>
    <w:rsid w:val="00D00168"/>
    <w:rsid w:val="00DF5FD7"/>
    <w:rsid w:val="00E36788"/>
    <w:rsid w:val="00E51BBC"/>
    <w:rsid w:val="00EE0BF6"/>
    <w:rsid w:val="00F2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91F67C"/>
  <w14:defaultImageDpi w14:val="0"/>
  <w15:docId w15:val="{D58C20E8-18F9-4576-A4C1-695796E7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0C5"/>
    <w:pPr>
      <w:suppressAutoHyphens/>
      <w:spacing w:after="280" w:line="276" w:lineRule="auto"/>
    </w:pPr>
    <w:rPr>
      <w:rFonts w:ascii="Arial" w:eastAsia="MS Mincho" w:hAnsi="Arial" w:cs="Arial"/>
      <w:sz w:val="24"/>
      <w:szCs w:val="3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40C5"/>
    <w:pPr>
      <w:keepNext/>
      <w:keepLines/>
      <w:pageBreakBefore/>
      <w:spacing w:before="480"/>
      <w:outlineLvl w:val="0"/>
    </w:pPr>
    <w:rPr>
      <w:rFonts w:eastAsia="MS Gothic" w:cs="Times New Roman"/>
      <w:b/>
      <w:bCs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0C5"/>
    <w:pPr>
      <w:keepNext/>
      <w:keepLines/>
      <w:spacing w:before="360"/>
      <w:outlineLvl w:val="1"/>
    </w:pPr>
    <w:rPr>
      <w:rFonts w:eastAsia="MS Gothic" w:cs="Times New Roman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40C5"/>
    <w:pPr>
      <w:keepNext/>
      <w:keepLines/>
      <w:spacing w:before="200"/>
      <w:outlineLvl w:val="2"/>
    </w:pPr>
    <w:rPr>
      <w:rFonts w:eastAsia="MS Gothic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40C5"/>
    <w:pPr>
      <w:keepNext/>
      <w:keepLines/>
      <w:spacing w:before="200"/>
      <w:outlineLvl w:val="3"/>
    </w:pPr>
    <w:rPr>
      <w:rFonts w:eastAsia="MS Gothic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40C5"/>
    <w:pPr>
      <w:numPr>
        <w:numId w:val="5"/>
      </w:numPr>
      <w:spacing w:before="240" w:after="60"/>
      <w:outlineLvl w:val="4"/>
    </w:pPr>
    <w:rPr>
      <w:rFonts w:cs="Times New Roman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40C5"/>
    <w:pPr>
      <w:spacing w:before="240" w:after="60"/>
      <w:outlineLvl w:val="5"/>
    </w:pPr>
    <w:rPr>
      <w:rFonts w:eastAsia="Times New Roman" w:cs="Times New Roman"/>
      <w:b/>
      <w:bCs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BODY">
    <w:name w:val="BODY"/>
    <w:basedOn w:val="NoParagraphStyle"/>
    <w:uiPriority w:val="99"/>
    <w:pPr>
      <w:keepLines/>
      <w:suppressAutoHyphens/>
      <w:spacing w:after="57" w:line="220" w:lineRule="atLeast"/>
    </w:pPr>
    <w:rPr>
      <w:rFonts w:ascii="VIC (OTF) Light" w:hAnsi="VIC (OTF) Light" w:cs="VIC (OTF) Light"/>
      <w:sz w:val="16"/>
      <w:szCs w:val="16"/>
      <w:lang w:val="en-GB"/>
    </w:rPr>
  </w:style>
  <w:style w:type="paragraph" w:customStyle="1" w:styleId="H1">
    <w:name w:val="H1"/>
    <w:basedOn w:val="NoParagraphStyle"/>
    <w:uiPriority w:val="99"/>
    <w:pPr>
      <w:keepLines/>
      <w:suppressAutoHyphens/>
      <w:spacing w:after="283" w:line="480" w:lineRule="atLeast"/>
    </w:pPr>
    <w:rPr>
      <w:rFonts w:ascii="VIC (OTF)" w:hAnsi="VIC (OTF)" w:cs="VIC (OTF)"/>
      <w:color w:val="100149"/>
      <w:spacing w:val="-2"/>
      <w:sz w:val="48"/>
      <w:szCs w:val="48"/>
      <w:lang w:val="en-GB"/>
    </w:rPr>
  </w:style>
  <w:style w:type="paragraph" w:customStyle="1" w:styleId="INTRO">
    <w:name w:val="INTRO"/>
    <w:basedOn w:val="BODY"/>
    <w:uiPriority w:val="99"/>
    <w:pPr>
      <w:spacing w:after="227" w:line="240" w:lineRule="atLeast"/>
    </w:pPr>
    <w:rPr>
      <w:rFonts w:ascii="VIC (OTF) Regular" w:hAnsi="VIC (OTF) Regular" w:cs="VIC (OTF) Regular"/>
      <w:sz w:val="20"/>
      <w:szCs w:val="20"/>
    </w:rPr>
  </w:style>
  <w:style w:type="paragraph" w:customStyle="1" w:styleId="BasicParagraph">
    <w:name w:val="[Basic Paragraph]"/>
    <w:basedOn w:val="NoParagraphStyle"/>
    <w:uiPriority w:val="99"/>
    <w:pPr>
      <w:suppressAutoHyphens/>
    </w:pPr>
    <w:rPr>
      <w:rFonts w:ascii="VIC (OTF)" w:hAnsi="VIC (OTF)" w:cs="VIC (OTF)"/>
    </w:rPr>
  </w:style>
  <w:style w:type="paragraph" w:customStyle="1" w:styleId="H2">
    <w:name w:val="H2"/>
    <w:basedOn w:val="NoParagraphStyle"/>
    <w:uiPriority w:val="99"/>
    <w:pPr>
      <w:keepLines/>
      <w:suppressAutoHyphens/>
      <w:spacing w:before="113" w:after="113" w:line="280" w:lineRule="atLeast"/>
    </w:pPr>
    <w:rPr>
      <w:rFonts w:ascii="VIC (OTF) SemiBold" w:hAnsi="VIC (OTF) SemiBold" w:cs="VIC (OTF) SemiBold"/>
      <w:b/>
      <w:bCs/>
      <w:color w:val="100149"/>
      <w:sz w:val="28"/>
      <w:szCs w:val="28"/>
      <w:lang w:val="en-GB"/>
    </w:rPr>
  </w:style>
  <w:style w:type="paragraph" w:customStyle="1" w:styleId="BULLETL1">
    <w:name w:val="BULLET L1"/>
    <w:basedOn w:val="BODY"/>
    <w:uiPriority w:val="99"/>
    <w:pPr>
      <w:ind w:left="227" w:hanging="227"/>
    </w:pPr>
  </w:style>
  <w:style w:type="paragraph" w:customStyle="1" w:styleId="INTROReportingonRP">
    <w:name w:val="INTRO (Reporting on RP)"/>
    <w:basedOn w:val="NoParagraphStyle"/>
    <w:uiPriority w:val="99"/>
    <w:pPr>
      <w:keepLines/>
      <w:suppressAutoHyphens/>
      <w:spacing w:after="113" w:line="240" w:lineRule="atLeast"/>
    </w:pPr>
    <w:rPr>
      <w:rFonts w:ascii="VIC (OTF)" w:hAnsi="VIC (OTF)" w:cs="VIC (OTF)"/>
      <w:sz w:val="20"/>
      <w:szCs w:val="20"/>
      <w:lang w:val="en-GB"/>
    </w:rPr>
  </w:style>
  <w:style w:type="paragraph" w:customStyle="1" w:styleId="H3">
    <w:name w:val="H3"/>
    <w:basedOn w:val="NoParagraphStyle"/>
    <w:uiPriority w:val="99"/>
    <w:pPr>
      <w:keepLines/>
      <w:suppressAutoHyphens/>
      <w:spacing w:before="113" w:after="57" w:line="240" w:lineRule="atLeast"/>
    </w:pPr>
    <w:rPr>
      <w:rFonts w:ascii="VIC (OTF) Medium" w:hAnsi="VIC (OTF) Medium" w:cs="VIC (OTF) Medium"/>
      <w:caps/>
      <w:color w:val="333740"/>
      <w:sz w:val="20"/>
      <w:szCs w:val="20"/>
      <w:lang w:val="en-GB"/>
    </w:rPr>
  </w:style>
  <w:style w:type="paragraph" w:customStyle="1" w:styleId="BULLETL2">
    <w:name w:val="BULLET L2"/>
    <w:basedOn w:val="NoParagraphStyle"/>
    <w:uiPriority w:val="99"/>
    <w:pPr>
      <w:keepLines/>
      <w:suppressAutoHyphens/>
      <w:spacing w:after="57" w:line="220" w:lineRule="atLeast"/>
      <w:ind w:left="454" w:hanging="227"/>
    </w:pPr>
    <w:rPr>
      <w:rFonts w:ascii="VIC (OTF) Light" w:hAnsi="VIC (OTF) Light" w:cs="VIC (OTF) Light"/>
      <w:spacing w:val="-1"/>
      <w:sz w:val="16"/>
      <w:szCs w:val="16"/>
      <w:lang w:val="en-GB"/>
    </w:rPr>
  </w:style>
  <w:style w:type="paragraph" w:customStyle="1" w:styleId="BULLETNo">
    <w:name w:val="BULLET (No.)"/>
    <w:basedOn w:val="BULLETL1"/>
    <w:uiPriority w:val="99"/>
  </w:style>
  <w:style w:type="paragraph" w:customStyle="1" w:styleId="H4">
    <w:name w:val="H4"/>
    <w:basedOn w:val="NoParagraphStyle"/>
    <w:uiPriority w:val="99"/>
    <w:pPr>
      <w:keepLines/>
      <w:suppressAutoHyphens/>
      <w:spacing w:before="57" w:after="57" w:line="220" w:lineRule="atLeast"/>
    </w:pPr>
    <w:rPr>
      <w:rFonts w:ascii="VIC (OTF) Bold" w:hAnsi="VIC (OTF) Bold" w:cs="VIC (OTF) Bold"/>
      <w:b/>
      <w:bCs/>
      <w:color w:val="5D1869"/>
      <w:sz w:val="16"/>
      <w:szCs w:val="16"/>
      <w:lang w:val="en-GB"/>
    </w:rPr>
  </w:style>
  <w:style w:type="paragraph" w:customStyle="1" w:styleId="H1RegionalReport">
    <w:name w:val="H1 (Regional Report)"/>
    <w:basedOn w:val="H1"/>
    <w:next w:val="NoParagraphStyle"/>
    <w:uiPriority w:val="99"/>
  </w:style>
  <w:style w:type="paragraph" w:customStyle="1" w:styleId="CONTACTH1">
    <w:name w:val="CONTACT H1"/>
    <w:basedOn w:val="NoParagraphStyle"/>
    <w:uiPriority w:val="99"/>
    <w:pPr>
      <w:suppressAutoHyphens/>
      <w:spacing w:before="170" w:line="220" w:lineRule="atLeast"/>
    </w:pPr>
    <w:rPr>
      <w:rFonts w:ascii="VIC (OTF) Medium" w:hAnsi="VIC (OTF) Medium" w:cs="VIC (OTF) Medium"/>
      <w:sz w:val="16"/>
      <w:szCs w:val="16"/>
      <w:lang w:val="en-GB"/>
    </w:rPr>
  </w:style>
  <w:style w:type="paragraph" w:customStyle="1" w:styleId="CONTACTBODY">
    <w:name w:val="CONTACT BODY"/>
    <w:basedOn w:val="NoParagraphStyle"/>
    <w:uiPriority w:val="99"/>
    <w:pPr>
      <w:suppressAutoHyphens/>
      <w:spacing w:line="220" w:lineRule="atLeast"/>
    </w:pPr>
    <w:rPr>
      <w:rFonts w:ascii="VIC (OTF) Light" w:hAnsi="VIC (OTF) Light" w:cs="VIC (OTF) Light"/>
      <w:sz w:val="16"/>
      <w:szCs w:val="16"/>
      <w:lang w:val="en-GB"/>
    </w:rPr>
  </w:style>
  <w:style w:type="paragraph" w:customStyle="1" w:styleId="TABLEBODY">
    <w:name w:val="TABLE BODY"/>
    <w:basedOn w:val="NoParagraphStyle"/>
    <w:uiPriority w:val="99"/>
    <w:pPr>
      <w:keepLines/>
      <w:suppressAutoHyphens/>
    </w:pPr>
    <w:rPr>
      <w:rFonts w:ascii="VIC (OTF)" w:hAnsi="VIC (OTF)" w:cs="VIC (OTF)"/>
      <w:sz w:val="16"/>
      <w:szCs w:val="16"/>
      <w:lang w:val="en-GB"/>
    </w:rPr>
  </w:style>
  <w:style w:type="character" w:customStyle="1" w:styleId="BOLD">
    <w:name w:val="BOLD"/>
    <w:uiPriority w:val="99"/>
    <w:rPr>
      <w:rFonts w:ascii="VIC (OTF) Medium" w:hAnsi="VIC (OTF) Medium" w:cs="VIC (OTF) Medium"/>
    </w:rPr>
  </w:style>
  <w:style w:type="character" w:customStyle="1" w:styleId="SEMIBOLD">
    <w:name w:val="SEMI BOLD"/>
    <w:basedOn w:val="BOLD"/>
    <w:uiPriority w:val="99"/>
    <w:rPr>
      <w:rFonts w:ascii="VIC (OTF) SemiBold" w:hAnsi="VIC (OTF) SemiBold" w:cs="VIC (OTF) SemiBold"/>
      <w:b/>
      <w:bCs/>
    </w:rPr>
  </w:style>
  <w:style w:type="character" w:customStyle="1" w:styleId="LIGHTITALIC">
    <w:name w:val="LIGHT ITALIC"/>
    <w:uiPriority w:val="99"/>
    <w:rPr>
      <w:i/>
      <w:iCs/>
    </w:rPr>
  </w:style>
  <w:style w:type="character" w:styleId="Hyperlink">
    <w:name w:val="Hyperlink"/>
    <w:uiPriority w:val="99"/>
    <w:unhideWhenUsed/>
    <w:rsid w:val="004E40C5"/>
    <w:rPr>
      <w:rFonts w:ascii="Arial" w:hAnsi="Arial"/>
      <w:color w:val="0000FF"/>
      <w:u w:val="single"/>
    </w:rPr>
  </w:style>
  <w:style w:type="character" w:customStyle="1" w:styleId="REGULAR">
    <w:name w:val="REGULAR"/>
    <w:uiPriority w:val="99"/>
    <w:rPr>
      <w:rFonts w:ascii="VIC (OTF) Regular" w:hAnsi="VIC (OTF) Regular" w:cs="VIC (OTF) Regular"/>
    </w:rPr>
  </w:style>
  <w:style w:type="paragraph" w:customStyle="1" w:styleId="Bullet">
    <w:name w:val="Bullet"/>
    <w:basedOn w:val="Normal"/>
    <w:qFormat/>
    <w:rsid w:val="004E40C5"/>
    <w:pPr>
      <w:numPr>
        <w:numId w:val="3"/>
      </w:numPr>
      <w:spacing w:after="140"/>
    </w:pPr>
  </w:style>
  <w:style w:type="paragraph" w:customStyle="1" w:styleId="Bullet2">
    <w:name w:val="Bullet 2"/>
    <w:basedOn w:val="Bullet"/>
    <w:qFormat/>
    <w:rsid w:val="004E40C5"/>
    <w:pPr>
      <w:numPr>
        <w:numId w:val="2"/>
      </w:numPr>
    </w:pPr>
  </w:style>
  <w:style w:type="paragraph" w:customStyle="1" w:styleId="Bulletlast">
    <w:name w:val="Bullet last"/>
    <w:basedOn w:val="Bullet"/>
    <w:qFormat/>
    <w:rsid w:val="004E40C5"/>
    <w:pPr>
      <w:spacing w:after="280"/>
    </w:pPr>
  </w:style>
  <w:style w:type="paragraph" w:customStyle="1" w:styleId="Default">
    <w:name w:val="Default"/>
    <w:rsid w:val="004E40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4E40C5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4E40C5"/>
    <w:pPr>
      <w:tabs>
        <w:tab w:val="center" w:pos="4320"/>
        <w:tab w:val="right" w:pos="9639"/>
      </w:tabs>
      <w:spacing w:after="0" w:line="200" w:lineRule="atLeast"/>
    </w:pPr>
    <w:rPr>
      <w:sz w:val="16"/>
    </w:rPr>
  </w:style>
  <w:style w:type="character" w:customStyle="1" w:styleId="FooterChar">
    <w:name w:val="Footer Char"/>
    <w:link w:val="Footer"/>
    <w:uiPriority w:val="99"/>
    <w:rsid w:val="004E40C5"/>
    <w:rPr>
      <w:rFonts w:ascii="Arial" w:eastAsia="MS Mincho" w:hAnsi="Arial" w:cs="Arial"/>
      <w:sz w:val="16"/>
      <w:szCs w:val="32"/>
      <w:lang w:eastAsia="en-US"/>
    </w:rPr>
  </w:style>
  <w:style w:type="character" w:styleId="FootnoteReference">
    <w:name w:val="footnote reference"/>
    <w:uiPriority w:val="99"/>
    <w:unhideWhenUsed/>
    <w:rsid w:val="004E40C5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E40C5"/>
    <w:pPr>
      <w:spacing w:after="60"/>
    </w:pPr>
    <w:rPr>
      <w:sz w:val="20"/>
    </w:rPr>
  </w:style>
  <w:style w:type="character" w:customStyle="1" w:styleId="FootnoteTextChar">
    <w:name w:val="Footnote Text Char"/>
    <w:link w:val="FootnoteText"/>
    <w:uiPriority w:val="99"/>
    <w:rsid w:val="004E40C5"/>
    <w:rPr>
      <w:rFonts w:ascii="Arial" w:eastAsia="MS Mincho" w:hAnsi="Arial" w:cs="Arial"/>
      <w:sz w:val="20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E40C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E40C5"/>
    <w:rPr>
      <w:rFonts w:ascii="Arial" w:eastAsia="MS Mincho" w:hAnsi="Arial" w:cs="Arial"/>
      <w:sz w:val="24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4E40C5"/>
    <w:rPr>
      <w:rFonts w:ascii="Arial" w:eastAsia="MS Gothic" w:hAnsi="Arial" w:cs="Times New Roman"/>
      <w:b/>
      <w:bCs/>
      <w:sz w:val="36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4E40C5"/>
    <w:rPr>
      <w:rFonts w:ascii="Arial" w:eastAsia="MS Gothic" w:hAnsi="Arial" w:cs="Times New Roman"/>
      <w:b/>
      <w:bCs/>
      <w:sz w:val="32"/>
      <w:szCs w:val="26"/>
      <w:lang w:eastAsia="en-US"/>
    </w:rPr>
  </w:style>
  <w:style w:type="paragraph" w:customStyle="1" w:styleId="Heading2numbered">
    <w:name w:val="Heading 2 numbered"/>
    <w:basedOn w:val="Heading2"/>
    <w:qFormat/>
    <w:rsid w:val="004E40C5"/>
    <w:pPr>
      <w:numPr>
        <w:numId w:val="4"/>
      </w:numPr>
    </w:pPr>
  </w:style>
  <w:style w:type="character" w:customStyle="1" w:styleId="Heading3Char">
    <w:name w:val="Heading 3 Char"/>
    <w:link w:val="Heading3"/>
    <w:uiPriority w:val="9"/>
    <w:rsid w:val="004E40C5"/>
    <w:rPr>
      <w:rFonts w:ascii="Arial" w:eastAsia="MS Gothic" w:hAnsi="Arial" w:cs="Arial"/>
      <w:b/>
      <w:bCs/>
      <w:sz w:val="28"/>
      <w:szCs w:val="32"/>
      <w:lang w:eastAsia="en-US"/>
    </w:rPr>
  </w:style>
  <w:style w:type="character" w:customStyle="1" w:styleId="Heading4Char">
    <w:name w:val="Heading 4 Char"/>
    <w:link w:val="Heading4"/>
    <w:uiPriority w:val="9"/>
    <w:rsid w:val="004E40C5"/>
    <w:rPr>
      <w:rFonts w:ascii="Arial" w:eastAsia="MS Gothic" w:hAnsi="Arial" w:cs="Arial"/>
      <w:b/>
      <w:bCs/>
      <w:iCs/>
      <w:sz w:val="24"/>
      <w:szCs w:val="32"/>
      <w:lang w:eastAsia="en-US"/>
    </w:rPr>
  </w:style>
  <w:style w:type="character" w:customStyle="1" w:styleId="Heading5Char">
    <w:name w:val="Heading 5 Char"/>
    <w:link w:val="Heading5"/>
    <w:uiPriority w:val="9"/>
    <w:rsid w:val="004E40C5"/>
    <w:rPr>
      <w:rFonts w:ascii="Arial" w:eastAsia="MS Mincho" w:hAnsi="Arial" w:cs="Times New Roman"/>
      <w:b/>
      <w:bCs/>
      <w:iCs/>
      <w:sz w:val="24"/>
      <w:szCs w:val="26"/>
      <w:lang w:eastAsia="en-US"/>
    </w:rPr>
  </w:style>
  <w:style w:type="character" w:customStyle="1" w:styleId="Heading6Char">
    <w:name w:val="Heading 6 Char"/>
    <w:link w:val="Heading6"/>
    <w:uiPriority w:val="9"/>
    <w:rsid w:val="004E40C5"/>
    <w:rPr>
      <w:rFonts w:ascii="Arial" w:eastAsia="Times New Roman" w:hAnsi="Arial" w:cs="Times New Roman"/>
      <w:b/>
      <w:bCs/>
      <w:sz w:val="18"/>
      <w:lang w:eastAsia="en-US"/>
    </w:rPr>
  </w:style>
  <w:style w:type="character" w:styleId="IntenseEmphasis">
    <w:name w:val="Intense Emphasis"/>
    <w:uiPriority w:val="21"/>
    <w:qFormat/>
    <w:rsid w:val="004E40C5"/>
    <w:rPr>
      <w:rFonts w:ascii="Arial" w:hAnsi="Arial"/>
      <w:i/>
      <w:iCs/>
      <w:color w:val="5B9BD5"/>
    </w:rPr>
  </w:style>
  <w:style w:type="character" w:styleId="IntenseReference">
    <w:name w:val="Intense Reference"/>
    <w:uiPriority w:val="32"/>
    <w:qFormat/>
    <w:rsid w:val="004E40C5"/>
    <w:rPr>
      <w:rFonts w:ascii="Arial" w:hAnsi="Arial"/>
      <w:b/>
      <w:bCs/>
      <w:smallCaps/>
      <w:color w:val="5B9BD5"/>
      <w:spacing w:val="5"/>
    </w:rPr>
  </w:style>
  <w:style w:type="paragraph" w:styleId="ListParagraph">
    <w:name w:val="List Paragraph"/>
    <w:basedOn w:val="Normal"/>
    <w:uiPriority w:val="34"/>
    <w:qFormat/>
    <w:rsid w:val="004E40C5"/>
    <w:pPr>
      <w:numPr>
        <w:numId w:val="6"/>
      </w:numPr>
      <w:tabs>
        <w:tab w:val="left" w:pos="2180"/>
        <w:tab w:val="left" w:pos="2181"/>
      </w:tabs>
      <w:spacing w:after="140"/>
    </w:pPr>
    <w:rPr>
      <w:rFonts w:eastAsia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E40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ormalbeforebullets">
    <w:name w:val="Normal before bullets"/>
    <w:basedOn w:val="Normal"/>
    <w:qFormat/>
    <w:rsid w:val="004E40C5"/>
    <w:pPr>
      <w:keepNext/>
      <w:spacing w:after="140"/>
    </w:pPr>
  </w:style>
  <w:style w:type="character" w:styleId="PageNumber">
    <w:name w:val="page number"/>
    <w:uiPriority w:val="99"/>
    <w:semiHidden/>
    <w:unhideWhenUsed/>
    <w:rsid w:val="004E40C5"/>
  </w:style>
  <w:style w:type="paragraph" w:styleId="Subtitle">
    <w:name w:val="Subtitle"/>
    <w:basedOn w:val="Normal"/>
    <w:next w:val="Normal"/>
    <w:link w:val="SubtitleChar"/>
    <w:uiPriority w:val="11"/>
    <w:qFormat/>
    <w:rsid w:val="004E40C5"/>
    <w:pPr>
      <w:spacing w:after="240"/>
      <w:outlineLvl w:val="1"/>
    </w:pPr>
    <w:rPr>
      <w:rFonts w:eastAsia="Times New Roman" w:cs="Times New Roman"/>
      <w:sz w:val="28"/>
      <w:szCs w:val="36"/>
    </w:rPr>
  </w:style>
  <w:style w:type="character" w:customStyle="1" w:styleId="SubtitleChar">
    <w:name w:val="Subtitle Char"/>
    <w:link w:val="Subtitle"/>
    <w:uiPriority w:val="11"/>
    <w:rsid w:val="004E40C5"/>
    <w:rPr>
      <w:rFonts w:ascii="Arial" w:eastAsia="Times New Roman" w:hAnsi="Arial" w:cs="Times New Roman"/>
      <w:sz w:val="28"/>
      <w:szCs w:val="36"/>
      <w:lang w:eastAsia="en-US"/>
    </w:rPr>
  </w:style>
  <w:style w:type="paragraph" w:customStyle="1" w:styleId="TableCopy">
    <w:name w:val="Table Copy"/>
    <w:basedOn w:val="Normal"/>
    <w:qFormat/>
    <w:rsid w:val="004E40C5"/>
    <w:pPr>
      <w:spacing w:after="140"/>
    </w:pPr>
  </w:style>
  <w:style w:type="paragraph" w:customStyle="1" w:styleId="TableBullet">
    <w:name w:val="Table Bullet"/>
    <w:basedOn w:val="TableCopy"/>
    <w:qFormat/>
    <w:rsid w:val="004E40C5"/>
    <w:pPr>
      <w:numPr>
        <w:numId w:val="7"/>
      </w:numPr>
      <w:spacing w:before="60" w:after="60"/>
    </w:pPr>
    <w:rPr>
      <w:szCs w:val="22"/>
    </w:rPr>
  </w:style>
  <w:style w:type="paragraph" w:customStyle="1" w:styleId="TableHeading">
    <w:name w:val="Table Heading"/>
    <w:basedOn w:val="Normal"/>
    <w:qFormat/>
    <w:rsid w:val="004E40C5"/>
    <w:pPr>
      <w:keepNext/>
      <w:spacing w:after="60"/>
    </w:pPr>
    <w:rPr>
      <w:b/>
      <w:lang w:eastAsia="en-GB"/>
    </w:rPr>
  </w:style>
  <w:style w:type="paragraph" w:customStyle="1" w:styleId="TableColumnHeading">
    <w:name w:val="Table Column Heading"/>
    <w:basedOn w:val="TableHeading"/>
    <w:qFormat/>
    <w:rsid w:val="004E40C5"/>
    <w:pPr>
      <w:spacing w:before="80" w:after="80"/>
    </w:pPr>
    <w:rPr>
      <w:szCs w:val="36"/>
      <w:lang w:val="en-GB"/>
    </w:rPr>
  </w:style>
  <w:style w:type="table" w:styleId="TableGrid">
    <w:name w:val="Table Grid"/>
    <w:basedOn w:val="TableNormal"/>
    <w:uiPriority w:val="59"/>
    <w:rsid w:val="004E40C5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table" w:styleId="TableGridLight">
    <w:name w:val="Grid Table Light"/>
    <w:basedOn w:val="TableNormal"/>
    <w:uiPriority w:val="40"/>
    <w:rsid w:val="004E40C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</w:style>
  <w:style w:type="paragraph" w:customStyle="1" w:styleId="TableParagraph">
    <w:name w:val="Table Paragraph"/>
    <w:basedOn w:val="Normal"/>
    <w:uiPriority w:val="1"/>
    <w:qFormat/>
    <w:rsid w:val="004E40C5"/>
    <w:pPr>
      <w:spacing w:after="140"/>
    </w:pPr>
    <w:rPr>
      <w:rFonts w:eastAsia="Arial"/>
      <w:szCs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E40C5"/>
    <w:pPr>
      <w:spacing w:after="24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E40C5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E40C5"/>
    <w:pPr>
      <w:spacing w:before="120" w:after="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E40C5"/>
    <w:pPr>
      <w:spacing w:after="0"/>
      <w:ind w:left="200"/>
    </w:pPr>
    <w:rPr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E40C5"/>
    <w:pPr>
      <w:spacing w:after="0"/>
      <w:ind w:left="600"/>
    </w:pPr>
    <w:rPr>
      <w:rFonts w:ascii="Cambria" w:hAnsi="Cambria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E40C5"/>
    <w:pPr>
      <w:spacing w:after="0"/>
      <w:ind w:left="800"/>
    </w:pPr>
    <w:rPr>
      <w:rFonts w:ascii="Cambria" w:hAnsi="Cambria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E40C5"/>
    <w:pPr>
      <w:spacing w:after="0"/>
      <w:ind w:left="1000"/>
    </w:pPr>
    <w:rPr>
      <w:rFonts w:ascii="Cambria" w:hAnsi="Cambria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E40C5"/>
    <w:pPr>
      <w:spacing w:after="0"/>
      <w:ind w:left="1200"/>
    </w:pPr>
    <w:rPr>
      <w:rFonts w:ascii="Cambria" w:hAnsi="Cambria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E40C5"/>
    <w:pPr>
      <w:spacing w:after="0"/>
      <w:ind w:left="1400"/>
    </w:pPr>
    <w:rPr>
      <w:rFonts w:ascii="Cambria" w:hAnsi="Cambria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E40C5"/>
    <w:pPr>
      <w:spacing w:after="0"/>
      <w:ind w:left="1600"/>
    </w:pPr>
    <w:rPr>
      <w:rFonts w:ascii="Cambria" w:hAnsi="Cambria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E40C5"/>
    <w:pPr>
      <w:pageBreakBefore w:val="0"/>
      <w:spacing w:line="360" w:lineRule="auto"/>
      <w:outlineLvl w:val="9"/>
    </w:pPr>
    <w:rPr>
      <w:sz w:val="32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865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5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5EB"/>
    <w:rPr>
      <w:rFonts w:ascii="Arial" w:eastAsia="MS Mincho" w:hAnsi="Arial" w:cs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5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5EB"/>
    <w:rPr>
      <w:rFonts w:ascii="Arial" w:eastAsia="MS Mincho" w:hAnsi="Arial" w:cs="Arial"/>
      <w:b/>
      <w:bCs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81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dv.vic.gov.au/" TargetMode="External"/><Relationship Id="rId18" Type="http://schemas.microsoft.com/office/2018/08/relationships/commentsExtensible" Target="commentsExtensible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rdv@rdv.vic.gov.au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rdv@rdv.vic.gov.au" TargetMode="External"/><Relationship Id="rId17" Type="http://schemas.microsoft.com/office/2016/09/relationships/commentsIds" Target="commentsIds.xm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hyperlink" Target="http://www.rdv.vic.gov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eader" Target="head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ae176ec3a54dbeadeeec1b38baec58 xmlns="1970f3ff-c7c3-4b73-8f0c-0bc260d159f3">
      <Terms xmlns="http://schemas.microsoft.com/office/infopath/2007/PartnerControls"/>
    </hcae176ec3a54dbeadeeec1b38baec58>
    <TaxCatchAll xmlns="3b4993c4-1e12-480f-8829-7529dfd7c42d" xsi:nil="true"/>
    <p31afe295eb448f092f13ab8c2af2c33 xmlns="1970f3ff-c7c3-4b73-8f0c-0bc260d159f3">
      <Terms xmlns="http://schemas.microsoft.com/office/infopath/2007/PartnerControls"/>
    </p31afe295eb448f092f13ab8c2af2c33>
    <lcf76f155ced4ddcb4097134ff3c332f xmlns="4ae6eb50-8777-409e-ac69-0f23188bec30">
      <Terms xmlns="http://schemas.microsoft.com/office/infopath/2007/PartnerControls"/>
    </lcf76f155ced4ddcb4097134ff3c332f>
    <lf5681727d5b4cc1a5c417fcf66e2a7b xmlns="1970f3ff-c7c3-4b73-8f0c-0bc260d159f3">
      <Terms xmlns="http://schemas.microsoft.com/office/infopath/2007/PartnerControls"/>
    </lf5681727d5b4cc1a5c417fcf66e2a7b>
    <b4605c5f9d584382a57fb8476d85f713 xmlns="1970f3ff-c7c3-4b73-8f0c-0bc260d159f3">
      <Terms xmlns="http://schemas.microsoft.com/office/infopath/2007/PartnerControls"/>
    </b4605c5f9d584382a57fb8476d85f713>
    <g46a9f61d38540a784cfecbd3da27bca xmlns="1970f3ff-c7c3-4b73-8f0c-0bc260d159f3">
      <Terms xmlns="http://schemas.microsoft.com/office/infopath/2007/PartnerControls"/>
    </g46a9f61d38540a784cfecbd3da27b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24395FE84AB9F4BA3F2DB8C0682F15A" ma:contentTypeVersion="29" ma:contentTypeDescription="DEDJTR Document" ma:contentTypeScope="" ma:versionID="93d766dc5c5a5d9110173654ddf0454d">
  <xsd:schema xmlns:xsd="http://www.w3.org/2001/XMLSchema" xmlns:xs="http://www.w3.org/2001/XMLSchema" xmlns:p="http://schemas.microsoft.com/office/2006/metadata/properties" xmlns:ns2="1970f3ff-c7c3-4b73-8f0c-0bc260d159f3" xmlns:ns3="3b4993c4-1e12-480f-8829-7529dfd7c42d" xmlns:ns4="4ae6eb50-8777-409e-ac69-0f23188bec30" targetNamespace="http://schemas.microsoft.com/office/2006/metadata/properties" ma:root="true" ma:fieldsID="940ab30f2cade75218006b5f21935d77" ns2:_="" ns3:_="" ns4:_="">
    <xsd:import namespace="1970f3ff-c7c3-4b73-8f0c-0bc260d159f3"/>
    <xsd:import namespace="3b4993c4-1e12-480f-8829-7529dfd7c42d"/>
    <xsd:import namespace="4ae6eb50-8777-409e-ac69-0f23188bec30"/>
    <xsd:element name="properties">
      <xsd:complexType>
        <xsd:sequence>
          <xsd:element name="documentManagement">
            <xsd:complexType>
              <xsd:all>
                <xsd:element ref="ns2:g46a9f61d38540a784cfecbd3da27bca" minOccurs="0"/>
                <xsd:element ref="ns3:TaxCatchAll" minOccurs="0"/>
                <xsd:element ref="ns3:TaxCatchAllLabel" minOccurs="0"/>
                <xsd:element ref="ns2:b4605c5f9d584382a57fb8476d85f713" minOccurs="0"/>
                <xsd:element ref="ns2:p31afe295eb448f092f13ab8c2af2c33" minOccurs="0"/>
                <xsd:element ref="ns2:hcae176ec3a54dbeadeeec1b38baec58" minOccurs="0"/>
                <xsd:element ref="ns2:lf5681727d5b4cc1a5c417fcf66e2a7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0f3ff-c7c3-4b73-8f0c-0bc260d159f3" elementFormDefault="qualified">
    <xsd:import namespace="http://schemas.microsoft.com/office/2006/documentManagement/types"/>
    <xsd:import namespace="http://schemas.microsoft.com/office/infopath/2007/PartnerControls"/>
    <xsd:element name="g46a9f61d38540a784cfecbd3da27bca" ma:index="8" nillable="true" ma:taxonomy="true" ma:internalName="g46a9f61d38540a784cfecbd3da27bca" ma:taxonomyFieldName="DEDJTRGroup" ma:displayName="Group" ma:indexed="true" ma:fieldId="{046a9f61-d385-40a7-84cf-ecbd3da27bca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605c5f9d584382a57fb8476d85f713" ma:index="12" nillable="true" ma:taxonomy="true" ma:internalName="b4605c5f9d584382a57fb8476d85f713" ma:taxonomyFieldName="DEDJTRDivision" ma:displayName="Division" ma:indexed="true" ma:fieldId="{b4605c5f-9d58-4382-a57f-b8476d85f713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1afe295eb448f092f13ab8c2af2c33" ma:index="14" nillable="true" ma:taxonomy="true" ma:internalName="p31afe295eb448f092f13ab8c2af2c33" ma:taxonomyFieldName="DEDJTRBranch" ma:displayName="Branch" ma:indexed="true" ma:fieldId="{931afe29-5eb4-48f0-92f1-3ab8c2af2c33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ae176ec3a54dbeadeeec1b38baec58" ma:index="16" nillable="true" ma:taxonomy="true" ma:internalName="hcae176ec3a54dbeadeeec1b38baec58" ma:taxonomyFieldName="DEDJTRSection" ma:displayName="Section" ma:indexed="true" ma:fieldId="{1cae176e-c3a5-4dbe-adee-ec1b38baec58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5681727d5b4cc1a5c417fcf66e2a7b" ma:index="18" nillable="true" ma:taxonomy="true" ma:internalName="lf5681727d5b4cc1a5c417fcf66e2a7b" ma:taxonomyFieldName="DEDJTRSecurityClassification" ma:displayName="Security Classification" ma:fieldId="{5f568172-7d5b-4cc1-a5c4-17fcf66e2a7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993c4-1e12-480f-8829-7529dfd7c42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bd90f15-730d-4257-a8c4-3195608d5de6}" ma:internalName="TaxCatchAll" ma:showField="CatchAllData" ma:web="3b4993c4-1e12-480f-8829-7529dfd7c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bd90f15-730d-4257-a8c4-3195608d5de6}" ma:internalName="TaxCatchAllLabel" ma:readOnly="true" ma:showField="CatchAllDataLabel" ma:web="3b4993c4-1e12-480f-8829-7529dfd7c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eb50-8777-409e-ac69-0f23188be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B4BCE-F11A-4A52-94F4-AD45F121A80E}">
  <ds:schemaRefs>
    <ds:schemaRef ds:uri="1970f3ff-c7c3-4b73-8f0c-0bc260d159f3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4ae6eb50-8777-409e-ac69-0f23188bec30"/>
    <ds:schemaRef ds:uri="3b4993c4-1e12-480f-8829-7529dfd7c42d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0D2AF3-E32D-4739-9E1C-B6D097B051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C96FF-F22B-402F-8869-27BAC9BE2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0f3ff-c7c3-4b73-8f0c-0bc260d159f3"/>
    <ds:schemaRef ds:uri="3b4993c4-1e12-480f-8829-7529dfd7c42d"/>
    <ds:schemaRef ds:uri="4ae6eb50-8777-409e-ac69-0f23188be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AA02C9-A0F9-4B64-BDC4-9BA220F5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1991</TotalTime>
  <Pages>57</Pages>
  <Words>14755</Words>
  <Characters>92471</Characters>
  <Application>Microsoft Office Word</Application>
  <DocSecurity>0</DocSecurity>
  <Lines>770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Development Victoria Annual Report</dc:title>
  <dc:subject/>
  <dc:creator>Samaa Kirby</dc:creator>
  <cp:keywords/>
  <dc:description>2022-2023</dc:description>
  <cp:lastModifiedBy>Samaa Kirby</cp:lastModifiedBy>
  <cp:revision>8</cp:revision>
  <dcterms:created xsi:type="dcterms:W3CDTF">2023-10-26T09:32:00Z</dcterms:created>
  <dcterms:modified xsi:type="dcterms:W3CDTF">2023-10-30T03:00:00Z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0x010100611F6414DFB111E7BA88F9DF1743E31700B24395FE84AB9F4BA3F2DB8C0682F15A</vt:lpwstr>
  </property>
  <property fmtid="{D5CDD505-2E9C-101B-9397-08002B2CF9AE}" pid="3" name="ClassificationContentMarkingHeaderShapeIds">
    <vt:lpwstr>4,5,6</vt:lpwstr>
  </property>
  <property fmtid="{D5CDD505-2E9C-101B-9397-08002B2CF9AE}" pid="4" name="ClassificationContentMarkingHeaderFontProps">
    <vt:lpwstr>#000000,12,Arial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7,8,9</vt:lpwstr>
  </property>
  <property fmtid="{D5CDD505-2E9C-101B-9397-08002B2CF9AE}" pid="7" name="ClassificationContentMarkingFooterFontProps">
    <vt:lpwstr>#000000,12,Arial</vt:lpwstr>
  </property>
  <property fmtid="{D5CDD505-2E9C-101B-9397-08002B2CF9AE}" pid="8" name="ClassificationContentMarkingFooterText">
    <vt:lpwstr>OFFICIAL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2023-10-30T01:58:25Z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e97c4ea4-6346-467a-8bfd-9af80c0c9990</vt:lpwstr>
  </property>
  <property fmtid="{D5CDD505-2E9C-101B-9397-08002B2CF9AE}" pid="15" name="MSIP_Label_d00a4df9-c942-4b09-b23a-6c1023f6de27_ContentBits">
    <vt:lpwstr>3</vt:lpwstr>
  </property>
</Properties>
</file>