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1E7C" w14:textId="712ECF9D" w:rsidR="009D5328" w:rsidRPr="001245F6" w:rsidRDefault="00F40813" w:rsidP="008A00C8">
      <w:pPr>
        <w:pStyle w:val="Title"/>
        <w:spacing w:before="100" w:beforeAutospacing="1" w:after="100" w:afterAutospacing="1"/>
      </w:pPr>
      <w:r>
        <w:t>Gippsland</w:t>
      </w:r>
    </w:p>
    <w:p w14:paraId="6193342F" w14:textId="4D0F4570" w:rsidR="00826A4F" w:rsidRPr="00AC35F6" w:rsidRDefault="009D5328" w:rsidP="008A00C8">
      <w:pPr>
        <w:pStyle w:val="Subtitle"/>
        <w:spacing w:before="100" w:beforeAutospacing="1" w:after="100" w:afterAutospacing="1"/>
        <w:rPr>
          <w:rFonts w:cs="Arial"/>
        </w:rPr>
      </w:pPr>
      <w:bookmarkStart w:id="0" w:name="_Toc104970165"/>
      <w:r w:rsidRPr="001245F6">
        <w:rPr>
          <w:rFonts w:cs="Arial"/>
        </w:rPr>
        <w:t>Regional Economic Development Strategy</w:t>
      </w:r>
      <w:bookmarkEnd w:id="0"/>
      <w:r w:rsidRPr="001245F6">
        <w:rPr>
          <w:rFonts w:cs="Arial"/>
        </w:rPr>
        <w:t xml:space="preserve"> – Summary </w:t>
      </w:r>
    </w:p>
    <w:p w14:paraId="1D8DA885" w14:textId="77777777" w:rsidR="00E70E24" w:rsidRDefault="00E70E24" w:rsidP="008A00C8">
      <w:pPr>
        <w:pStyle w:val="Subtitle"/>
        <w:spacing w:before="100" w:beforeAutospacing="1" w:after="100" w:afterAutospacing="1"/>
        <w:rPr>
          <w:rFonts w:cs="Arial"/>
        </w:rPr>
      </w:pPr>
      <w:bookmarkStart w:id="1" w:name="_Toc104970166"/>
      <w:r w:rsidRPr="001245F6">
        <w:rPr>
          <w:rFonts w:cs="Arial"/>
        </w:rPr>
        <w:t>State Government of Victoria</w:t>
      </w:r>
      <w:bookmarkEnd w:id="1"/>
    </w:p>
    <w:p w14:paraId="05D52B59" w14:textId="3DE4EB58" w:rsidR="00064FF3" w:rsidRPr="00241A94" w:rsidRDefault="00064FF3" w:rsidP="008A00C8">
      <w:pPr>
        <w:pStyle w:val="Subtitle"/>
        <w:spacing w:before="100" w:beforeAutospacing="1" w:after="100" w:afterAutospacing="1"/>
        <w:rPr>
          <w:b w:val="0"/>
          <w:bCs w:val="0"/>
          <w:sz w:val="24"/>
          <w:szCs w:val="24"/>
        </w:rPr>
      </w:pPr>
      <w:r w:rsidRPr="00241A94">
        <w:rPr>
          <w:b w:val="0"/>
          <w:bCs w:val="0"/>
          <w:sz w:val="24"/>
          <w:szCs w:val="24"/>
        </w:rPr>
        <w:t xml:space="preserve">The </w:t>
      </w:r>
      <w:r w:rsidR="00F40813">
        <w:rPr>
          <w:b w:val="0"/>
          <w:bCs w:val="0"/>
          <w:sz w:val="24"/>
          <w:szCs w:val="24"/>
        </w:rPr>
        <w:t>Gippsland</w:t>
      </w:r>
      <w:r w:rsidRPr="00241A94">
        <w:rPr>
          <w:b w:val="0"/>
          <w:bCs w:val="0"/>
          <w:sz w:val="24"/>
          <w:szCs w:val="24"/>
        </w:rPr>
        <w:t xml:space="preserve"> REDS uses data and evidence to profile the region’s economy and identify key strategic directions to drive economic growth.</w:t>
      </w:r>
    </w:p>
    <w:p w14:paraId="4C08731D" w14:textId="0DF0316B" w:rsidR="00F35DC3" w:rsidRDefault="00F35DC3" w:rsidP="008A00C8">
      <w:pPr>
        <w:pStyle w:val="Heading1"/>
        <w:spacing w:before="100" w:beforeAutospacing="1" w:after="100" w:afterAutospacing="1"/>
        <w:rPr>
          <w:rFonts w:ascii="Arial" w:hAnsi="Arial" w:cs="Arial"/>
          <w:b/>
          <w:bCs/>
          <w:color w:val="auto"/>
          <w:sz w:val="36"/>
          <w:szCs w:val="36"/>
        </w:rPr>
      </w:pPr>
      <w:r w:rsidRPr="0051145A">
        <w:rPr>
          <w:rFonts w:ascii="Arial" w:hAnsi="Arial" w:cs="Arial"/>
          <w:b/>
          <w:bCs/>
          <w:color w:val="auto"/>
          <w:sz w:val="36"/>
          <w:szCs w:val="36"/>
        </w:rPr>
        <w:t>Regional Profile</w:t>
      </w:r>
    </w:p>
    <w:p w14:paraId="62F61C4A" w14:textId="3DEB1920" w:rsidR="00B815BC" w:rsidRPr="00670F30" w:rsidRDefault="00F40813" w:rsidP="008A00C8">
      <w:pPr>
        <w:pStyle w:val="Heading2"/>
        <w:spacing w:before="100" w:beforeAutospacing="1" w:after="100" w:afterAutospacing="1"/>
        <w:rPr>
          <w:rFonts w:ascii="Arial" w:eastAsia="MS Mincho" w:hAnsi="Arial" w:cs="Arial"/>
          <w:b/>
          <w:bCs/>
          <w:color w:val="auto"/>
          <w:sz w:val="32"/>
          <w:szCs w:val="32"/>
          <w:lang w:val="en-AU"/>
        </w:rPr>
      </w:pPr>
      <w:bookmarkStart w:id="2" w:name="_Hlk106115633"/>
      <w:r>
        <w:rPr>
          <w:rFonts w:ascii="Arial" w:eastAsia="MS Mincho" w:hAnsi="Arial" w:cs="Arial"/>
          <w:b/>
          <w:bCs/>
          <w:color w:val="auto"/>
          <w:sz w:val="32"/>
          <w:szCs w:val="32"/>
          <w:lang w:val="en-AU"/>
        </w:rPr>
        <w:t>Gippsland</w:t>
      </w:r>
      <w:r w:rsidR="00B815BC" w:rsidRPr="00670F30">
        <w:rPr>
          <w:rFonts w:ascii="Arial" w:eastAsia="MS Mincho" w:hAnsi="Arial" w:cs="Arial"/>
          <w:b/>
          <w:bCs/>
          <w:color w:val="auto"/>
          <w:sz w:val="32"/>
          <w:szCs w:val="32"/>
          <w:lang w:val="en-AU"/>
        </w:rPr>
        <w:t xml:space="preserve"> Regional Profile</w:t>
      </w:r>
      <w:bookmarkEnd w:id="2"/>
    </w:p>
    <w:tbl>
      <w:tblPr>
        <w:tblStyle w:val="TableGrid"/>
        <w:tblW w:w="7830" w:type="dxa"/>
        <w:tblLook w:val="04A0" w:firstRow="1" w:lastRow="0" w:firstColumn="1" w:lastColumn="0" w:noHBand="0" w:noVBand="1"/>
      </w:tblPr>
      <w:tblGrid>
        <w:gridCol w:w="3915"/>
        <w:gridCol w:w="3915"/>
      </w:tblGrid>
      <w:tr w:rsidR="00617C67" w:rsidRPr="00206BCF" w14:paraId="61327294" w14:textId="77777777" w:rsidTr="00617C67">
        <w:trPr>
          <w:trHeight w:val="286"/>
        </w:trPr>
        <w:tc>
          <w:tcPr>
            <w:tcW w:w="3915" w:type="dxa"/>
            <w:vAlign w:val="center"/>
          </w:tcPr>
          <w:p w14:paraId="61F90DBF" w14:textId="1CB8B1C3" w:rsidR="00617C67" w:rsidRPr="00E31A35" w:rsidRDefault="00617C67" w:rsidP="00617C67">
            <w:pPr>
              <w:pStyle w:val="TableCopy"/>
              <w:spacing w:before="100" w:beforeAutospacing="1" w:after="100" w:afterAutospacing="1"/>
            </w:pPr>
            <w:r w:rsidRPr="00206BCF">
              <w:t>Population (2020)</w:t>
            </w:r>
          </w:p>
        </w:tc>
        <w:tc>
          <w:tcPr>
            <w:tcW w:w="3915" w:type="dxa"/>
            <w:vAlign w:val="center"/>
          </w:tcPr>
          <w:p w14:paraId="453F8387" w14:textId="3192A60D" w:rsidR="00617C67" w:rsidRPr="00206BCF" w:rsidRDefault="00617C67" w:rsidP="00617C67">
            <w:pPr>
              <w:pStyle w:val="TableCopy"/>
              <w:spacing w:before="100" w:beforeAutospacing="1" w:after="100" w:afterAutospacing="1"/>
            </w:pPr>
            <w:r w:rsidRPr="00E31A35">
              <w:t>291,000</w:t>
            </w:r>
          </w:p>
        </w:tc>
      </w:tr>
      <w:tr w:rsidR="00617C67" w:rsidRPr="00206BCF" w14:paraId="41F4F6A6" w14:textId="77777777" w:rsidTr="00617C67">
        <w:trPr>
          <w:trHeight w:val="438"/>
        </w:trPr>
        <w:tc>
          <w:tcPr>
            <w:tcW w:w="3915" w:type="dxa"/>
            <w:vAlign w:val="center"/>
          </w:tcPr>
          <w:p w14:paraId="02F3122B" w14:textId="74884B72" w:rsidR="00617C67" w:rsidRPr="008816D7" w:rsidRDefault="00617C67" w:rsidP="00617C67">
            <w:pPr>
              <w:pStyle w:val="TableCopy"/>
              <w:spacing w:before="100" w:beforeAutospacing="1" w:after="100" w:afterAutospacing="1"/>
            </w:pPr>
            <w:r w:rsidRPr="00206BCF">
              <w:t>Population growth (2011-20)</w:t>
            </w:r>
          </w:p>
        </w:tc>
        <w:tc>
          <w:tcPr>
            <w:tcW w:w="3915" w:type="dxa"/>
            <w:vAlign w:val="center"/>
          </w:tcPr>
          <w:p w14:paraId="6762877B" w14:textId="4D81ADBD" w:rsidR="00617C67" w:rsidRPr="00206BCF" w:rsidRDefault="00617C67" w:rsidP="00617C67">
            <w:pPr>
              <w:pStyle w:val="TableCopy"/>
              <w:spacing w:before="100" w:beforeAutospacing="1" w:after="100" w:afterAutospacing="1"/>
            </w:pPr>
            <w:r w:rsidRPr="008816D7">
              <w:t>12.0%</w:t>
            </w:r>
          </w:p>
        </w:tc>
      </w:tr>
      <w:tr w:rsidR="00617C67" w:rsidRPr="00206BCF" w14:paraId="3928B135" w14:textId="77777777" w:rsidTr="00617C67">
        <w:trPr>
          <w:trHeight w:val="286"/>
        </w:trPr>
        <w:tc>
          <w:tcPr>
            <w:tcW w:w="3915" w:type="dxa"/>
            <w:vAlign w:val="center"/>
          </w:tcPr>
          <w:p w14:paraId="2392F1DB" w14:textId="2BC34ACD" w:rsidR="00617C67" w:rsidRPr="008816D7" w:rsidRDefault="00617C67" w:rsidP="00617C67">
            <w:pPr>
              <w:pStyle w:val="TableCopy"/>
              <w:spacing w:before="100" w:beforeAutospacing="1" w:after="100" w:afterAutospacing="1"/>
            </w:pPr>
            <w:r w:rsidRPr="00206BCF">
              <w:t>Gross regional product (2020)</w:t>
            </w:r>
          </w:p>
        </w:tc>
        <w:tc>
          <w:tcPr>
            <w:tcW w:w="3915" w:type="dxa"/>
            <w:vAlign w:val="center"/>
          </w:tcPr>
          <w:p w14:paraId="0CD69990" w14:textId="6B2EE84F" w:rsidR="00617C67" w:rsidRPr="00206BCF" w:rsidRDefault="00617C67" w:rsidP="00617C67">
            <w:pPr>
              <w:pStyle w:val="TableCopy"/>
              <w:spacing w:before="100" w:beforeAutospacing="1" w:after="100" w:afterAutospacing="1"/>
            </w:pPr>
            <w:r w:rsidRPr="008816D7">
              <w:t>$18</w:t>
            </w:r>
            <w:r>
              <w:t xml:space="preserve"> Billion</w:t>
            </w:r>
          </w:p>
        </w:tc>
      </w:tr>
    </w:tbl>
    <w:p w14:paraId="0731A137" w14:textId="6EB7D832" w:rsidR="00421CBF" w:rsidRPr="00A039B4" w:rsidRDefault="00421CBF" w:rsidP="008A00C8">
      <w:pPr>
        <w:spacing w:before="100" w:beforeAutospacing="1" w:after="100" w:afterAutospacing="1"/>
        <w:rPr>
          <w:rFonts w:ascii="Arial" w:hAnsi="Arial" w:cs="Arial"/>
          <w:b/>
          <w:bCs/>
          <w:sz w:val="24"/>
          <w:szCs w:val="24"/>
        </w:rPr>
      </w:pPr>
      <w:r w:rsidRPr="00A039B4">
        <w:rPr>
          <w:rFonts w:ascii="Arial" w:hAnsi="Arial" w:cs="Arial"/>
          <w:b/>
          <w:bCs/>
          <w:sz w:val="24"/>
          <w:szCs w:val="24"/>
        </w:rPr>
        <w:t>Figure</w:t>
      </w:r>
      <w:r w:rsidR="003E29EB">
        <w:rPr>
          <w:rFonts w:ascii="Arial" w:hAnsi="Arial" w:cs="Arial"/>
          <w:b/>
          <w:bCs/>
          <w:sz w:val="24"/>
          <w:szCs w:val="24"/>
        </w:rPr>
        <w:t xml:space="preserve"> 1</w:t>
      </w:r>
      <w:r w:rsidRPr="00A039B4">
        <w:rPr>
          <w:rFonts w:ascii="Arial" w:hAnsi="Arial" w:cs="Arial"/>
          <w:b/>
          <w:bCs/>
          <w:sz w:val="24"/>
          <w:szCs w:val="24"/>
        </w:rPr>
        <w:t xml:space="preserve">: Map of </w:t>
      </w:r>
      <w:r w:rsidR="00F40813">
        <w:rPr>
          <w:rFonts w:ascii="Arial" w:hAnsi="Arial" w:cs="Arial"/>
          <w:b/>
          <w:bCs/>
          <w:sz w:val="24"/>
          <w:szCs w:val="24"/>
        </w:rPr>
        <w:t>Gippsland</w:t>
      </w:r>
    </w:p>
    <w:p w14:paraId="210775E8" w14:textId="024E5922" w:rsidR="00B74E41" w:rsidRDefault="005D5CAA" w:rsidP="008A00C8">
      <w:pPr>
        <w:spacing w:before="100" w:beforeAutospacing="1" w:after="100" w:afterAutospacing="1"/>
        <w:rPr>
          <w:noProof/>
        </w:rPr>
      </w:pPr>
      <w:r>
        <w:rPr>
          <w:noProof/>
        </w:rPr>
        <w:drawing>
          <wp:inline distT="0" distB="0" distL="0" distR="0" wp14:anchorId="12BE264D" wp14:editId="0EA95F85">
            <wp:extent cx="2494809" cy="2510598"/>
            <wp:effectExtent l="0" t="0" r="1270" b="4445"/>
            <wp:docPr id="1" name="Picture 1" descr="Map showing an overview of the Gippsland Regional Partnership region and its location in Victoria. The Gippsland region is made up of the Bass Coast, South Gippsland, Baw Baw, Wellington and East Gippslad Local Government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showing an overview of the Gippsland Regional Partnership region and its location in Victoria. The Gippsland region is made up of the Bass Coast, South Gippsland, Baw Baw, Wellington and East Gippslad Local Government Areas. "/>
                    <pic:cNvPicPr/>
                  </pic:nvPicPr>
                  <pic:blipFill>
                    <a:blip r:embed="rId10">
                      <a:extLst>
                        <a:ext uri="{28A0092B-C50C-407E-A947-70E740481C1C}">
                          <a14:useLocalDpi xmlns:a14="http://schemas.microsoft.com/office/drawing/2010/main" val="0"/>
                        </a:ext>
                      </a:extLst>
                    </a:blip>
                    <a:stretch>
                      <a:fillRect/>
                    </a:stretch>
                  </pic:blipFill>
                  <pic:spPr>
                    <a:xfrm>
                      <a:off x="0" y="0"/>
                      <a:ext cx="2494809" cy="2510598"/>
                    </a:xfrm>
                    <a:prstGeom prst="rect">
                      <a:avLst/>
                    </a:prstGeom>
                  </pic:spPr>
                </pic:pic>
              </a:graphicData>
            </a:graphic>
          </wp:inline>
        </w:drawing>
      </w:r>
    </w:p>
    <w:p w14:paraId="6341A957" w14:textId="2084C0BA" w:rsidR="00240C90" w:rsidRPr="00670F30" w:rsidRDefault="00240C90"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t>Employment</w:t>
      </w:r>
    </w:p>
    <w:tbl>
      <w:tblPr>
        <w:tblStyle w:val="TableGrid"/>
        <w:tblW w:w="8624" w:type="dxa"/>
        <w:tblLook w:val="04A0" w:firstRow="1" w:lastRow="0" w:firstColumn="1" w:lastColumn="0" w:noHBand="0" w:noVBand="1"/>
      </w:tblPr>
      <w:tblGrid>
        <w:gridCol w:w="4312"/>
        <w:gridCol w:w="4312"/>
      </w:tblGrid>
      <w:tr w:rsidR="00C349FB" w:rsidRPr="00DD7BBC" w14:paraId="2AAD8B5A" w14:textId="77777777" w:rsidTr="00C349FB">
        <w:trPr>
          <w:trHeight w:val="494"/>
          <w:tblHeader/>
        </w:trPr>
        <w:tc>
          <w:tcPr>
            <w:tcW w:w="4312" w:type="dxa"/>
          </w:tcPr>
          <w:p w14:paraId="1E319CAE" w14:textId="45C84252" w:rsidR="00C349FB" w:rsidRPr="00DD7BBC" w:rsidRDefault="00C349FB" w:rsidP="008A00C8">
            <w:pPr>
              <w:pStyle w:val="TableCopy"/>
              <w:tabs>
                <w:tab w:val="right" w:pos="2619"/>
              </w:tabs>
              <w:spacing w:before="100" w:beforeAutospacing="1" w:after="100" w:afterAutospacing="1"/>
              <w:rPr>
                <w:b/>
                <w:bCs/>
              </w:rPr>
            </w:pPr>
            <w:r w:rsidRPr="00DD7BBC">
              <w:rPr>
                <w:b/>
                <w:bCs/>
              </w:rPr>
              <w:t>Unemployment rate (</w:t>
            </w:r>
            <w:r>
              <w:rPr>
                <w:b/>
                <w:bCs/>
              </w:rPr>
              <w:t>September</w:t>
            </w:r>
            <w:r w:rsidRPr="00DD7BBC">
              <w:rPr>
                <w:b/>
                <w:bCs/>
              </w:rPr>
              <w:t xml:space="preserve"> 2021)</w:t>
            </w:r>
          </w:p>
        </w:tc>
        <w:tc>
          <w:tcPr>
            <w:tcW w:w="4312" w:type="dxa"/>
          </w:tcPr>
          <w:p w14:paraId="749246A8" w14:textId="77777777" w:rsidR="00C349FB" w:rsidRPr="00DD7BBC" w:rsidRDefault="00C349FB" w:rsidP="008A00C8">
            <w:pPr>
              <w:pStyle w:val="TableCopy"/>
              <w:spacing w:before="100" w:beforeAutospacing="1" w:after="100" w:afterAutospacing="1"/>
              <w:rPr>
                <w:b/>
                <w:bCs/>
              </w:rPr>
            </w:pPr>
            <w:r w:rsidRPr="00DD7BBC">
              <w:rPr>
                <w:b/>
                <w:bCs/>
              </w:rPr>
              <w:t>Average annual employment growth (2011</w:t>
            </w:r>
            <w:r>
              <w:rPr>
                <w:b/>
                <w:bCs/>
              </w:rPr>
              <w:t>–</w:t>
            </w:r>
            <w:r w:rsidRPr="00DD7BBC">
              <w:rPr>
                <w:b/>
                <w:bCs/>
              </w:rPr>
              <w:t>20)</w:t>
            </w:r>
          </w:p>
        </w:tc>
      </w:tr>
      <w:tr w:rsidR="00C349FB" w:rsidRPr="00E70028" w14:paraId="6BCBB8DB" w14:textId="77777777" w:rsidTr="00D91ACB">
        <w:trPr>
          <w:trHeight w:val="424"/>
        </w:trPr>
        <w:tc>
          <w:tcPr>
            <w:tcW w:w="4312" w:type="dxa"/>
          </w:tcPr>
          <w:p w14:paraId="5EC7B9F6" w14:textId="29463D6F" w:rsidR="00C349FB" w:rsidRPr="00E70028" w:rsidRDefault="00F40813" w:rsidP="008A00C8">
            <w:pPr>
              <w:pStyle w:val="TableCopy"/>
              <w:spacing w:before="100" w:beforeAutospacing="1" w:after="100" w:afterAutospacing="1"/>
            </w:pPr>
            <w:r>
              <w:t>Gippsland</w:t>
            </w:r>
            <w:r w:rsidR="00C349FB" w:rsidRPr="00E70028">
              <w:t xml:space="preserve">: </w:t>
            </w:r>
            <w:r w:rsidR="00A63F99">
              <w:t>6.1</w:t>
            </w:r>
            <w:r w:rsidR="00F56B94">
              <w:t>%</w:t>
            </w:r>
          </w:p>
          <w:p w14:paraId="2F35EA09" w14:textId="77777777" w:rsidR="00C349FB" w:rsidRPr="00E70028" w:rsidRDefault="00C349FB" w:rsidP="008A00C8">
            <w:pPr>
              <w:pStyle w:val="TableCopy"/>
              <w:spacing w:before="100" w:beforeAutospacing="1" w:after="100" w:afterAutospacing="1"/>
            </w:pPr>
            <w:r w:rsidRPr="00E70028">
              <w:lastRenderedPageBreak/>
              <w:t>Regional average: 4.</w:t>
            </w:r>
            <w:r>
              <w:t>2</w:t>
            </w:r>
            <w:r w:rsidRPr="00E70028">
              <w:t>%</w:t>
            </w:r>
          </w:p>
          <w:p w14:paraId="426022AD" w14:textId="77777777" w:rsidR="00C349FB" w:rsidRPr="00E70028" w:rsidRDefault="00C349FB" w:rsidP="008A00C8">
            <w:pPr>
              <w:pStyle w:val="TableCopy"/>
              <w:spacing w:before="100" w:beforeAutospacing="1" w:after="100" w:afterAutospacing="1"/>
            </w:pPr>
            <w:r w:rsidRPr="00E70028">
              <w:t xml:space="preserve">Metropolitan Melbourne: </w:t>
            </w:r>
            <w:r>
              <w:t>6.0</w:t>
            </w:r>
            <w:r w:rsidRPr="00E70028">
              <w:t>%</w:t>
            </w:r>
          </w:p>
        </w:tc>
        <w:tc>
          <w:tcPr>
            <w:tcW w:w="4312" w:type="dxa"/>
          </w:tcPr>
          <w:p w14:paraId="7931D9A7" w14:textId="72B4A348" w:rsidR="00C349FB" w:rsidRPr="00E70028" w:rsidRDefault="00F40813" w:rsidP="008A00C8">
            <w:pPr>
              <w:pStyle w:val="TableCopy"/>
              <w:spacing w:before="100" w:beforeAutospacing="1" w:after="100" w:afterAutospacing="1"/>
            </w:pPr>
            <w:r>
              <w:lastRenderedPageBreak/>
              <w:t>Gippsland</w:t>
            </w:r>
            <w:r w:rsidR="00C349FB" w:rsidRPr="00E70028">
              <w:t xml:space="preserve">: </w:t>
            </w:r>
            <w:r w:rsidR="00A63F99">
              <w:t>0.8</w:t>
            </w:r>
            <w:r w:rsidR="00542B83">
              <w:t>%</w:t>
            </w:r>
          </w:p>
          <w:p w14:paraId="0877CED6" w14:textId="77777777" w:rsidR="00C349FB" w:rsidRPr="00E70028" w:rsidRDefault="00C349FB" w:rsidP="008A00C8">
            <w:pPr>
              <w:pStyle w:val="TableCopy"/>
              <w:spacing w:before="100" w:beforeAutospacing="1" w:after="100" w:afterAutospacing="1"/>
            </w:pPr>
            <w:r w:rsidRPr="00E70028">
              <w:lastRenderedPageBreak/>
              <w:t>Regional average: 1.0%</w:t>
            </w:r>
          </w:p>
          <w:p w14:paraId="7746A242" w14:textId="77777777" w:rsidR="00C349FB" w:rsidRPr="00E70028" w:rsidRDefault="00C349FB" w:rsidP="008A00C8">
            <w:pPr>
              <w:pStyle w:val="TableCopy"/>
              <w:spacing w:before="100" w:beforeAutospacing="1" w:after="100" w:afterAutospacing="1"/>
            </w:pPr>
            <w:r w:rsidRPr="00E70028">
              <w:t>Metropolitan Melbourne: 2.1%</w:t>
            </w:r>
          </w:p>
        </w:tc>
      </w:tr>
    </w:tbl>
    <w:p w14:paraId="4D41AF5C" w14:textId="77B15153" w:rsidR="00240C90" w:rsidRPr="00670F30" w:rsidRDefault="00240C90"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lastRenderedPageBreak/>
        <w:t xml:space="preserve">Top </w:t>
      </w:r>
      <w:r w:rsidR="00C349FB" w:rsidRPr="00670F30">
        <w:rPr>
          <w:rFonts w:ascii="Arial" w:eastAsia="MS Mincho" w:hAnsi="Arial" w:cs="Arial"/>
          <w:b/>
          <w:bCs/>
          <w:color w:val="auto"/>
          <w:sz w:val="32"/>
          <w:szCs w:val="32"/>
          <w:lang w:val="en-AU"/>
        </w:rPr>
        <w:t>employing sectors (2020)</w:t>
      </w:r>
    </w:p>
    <w:tbl>
      <w:tblPr>
        <w:tblStyle w:val="TableGrid"/>
        <w:tblW w:w="9343" w:type="dxa"/>
        <w:tblLook w:val="04A0" w:firstRow="1" w:lastRow="0" w:firstColumn="1" w:lastColumn="0" w:noHBand="0" w:noVBand="1"/>
      </w:tblPr>
      <w:tblGrid>
        <w:gridCol w:w="6675"/>
        <w:gridCol w:w="2668"/>
      </w:tblGrid>
      <w:tr w:rsidR="009E373C" w:rsidRPr="0055442F" w14:paraId="1FB09F46" w14:textId="77777777" w:rsidTr="00ED2699">
        <w:tc>
          <w:tcPr>
            <w:tcW w:w="4248" w:type="dxa"/>
            <w:noWrap/>
            <w:hideMark/>
          </w:tcPr>
          <w:p w14:paraId="7910A203" w14:textId="77777777" w:rsidR="009E373C" w:rsidRPr="0055442F" w:rsidRDefault="009E373C" w:rsidP="008A00C8">
            <w:pPr>
              <w:pStyle w:val="TableCopy"/>
              <w:spacing w:before="100" w:beforeAutospacing="1" w:after="100" w:afterAutospacing="1"/>
              <w:rPr>
                <w:b/>
                <w:bCs/>
              </w:rPr>
            </w:pPr>
            <w:r w:rsidRPr="0055442F">
              <w:rPr>
                <w:b/>
                <w:bCs/>
              </w:rPr>
              <w:t>Industry</w:t>
            </w:r>
          </w:p>
        </w:tc>
        <w:tc>
          <w:tcPr>
            <w:tcW w:w="1698" w:type="dxa"/>
          </w:tcPr>
          <w:p w14:paraId="0E243FCF" w14:textId="77777777" w:rsidR="009E373C" w:rsidRPr="0055442F" w:rsidRDefault="009E373C" w:rsidP="008A00C8">
            <w:pPr>
              <w:pStyle w:val="TableCopy"/>
              <w:spacing w:before="100" w:beforeAutospacing="1" w:after="100" w:afterAutospacing="1"/>
              <w:rPr>
                <w:b/>
                <w:bCs/>
              </w:rPr>
            </w:pPr>
            <w:r w:rsidRPr="0055442F">
              <w:rPr>
                <w:b/>
                <w:bCs/>
              </w:rPr>
              <w:t>Workers</w:t>
            </w:r>
          </w:p>
        </w:tc>
      </w:tr>
      <w:tr w:rsidR="009E373C" w:rsidRPr="00395E30" w14:paraId="782577B5" w14:textId="77777777" w:rsidTr="00ED2699">
        <w:tc>
          <w:tcPr>
            <w:tcW w:w="4248" w:type="dxa"/>
          </w:tcPr>
          <w:p w14:paraId="55DB0750" w14:textId="04A03916" w:rsidR="009E373C" w:rsidRPr="00395E30" w:rsidRDefault="00BB2FE1" w:rsidP="008A00C8">
            <w:pPr>
              <w:pStyle w:val="TableCopy"/>
              <w:spacing w:before="100" w:beforeAutospacing="1" w:after="100" w:afterAutospacing="1"/>
            </w:pPr>
            <w:r>
              <w:t xml:space="preserve">Health care and social assistance </w:t>
            </w:r>
          </w:p>
        </w:tc>
        <w:tc>
          <w:tcPr>
            <w:tcW w:w="1698" w:type="dxa"/>
          </w:tcPr>
          <w:p w14:paraId="4EB45B75" w14:textId="11BAA75C" w:rsidR="009E373C" w:rsidRPr="00395E30" w:rsidRDefault="00714BA1" w:rsidP="008A00C8">
            <w:pPr>
              <w:pStyle w:val="TableCopy"/>
              <w:spacing w:before="100" w:beforeAutospacing="1" w:after="100" w:afterAutospacing="1"/>
              <w:rPr>
                <w:color w:val="000000"/>
              </w:rPr>
            </w:pPr>
            <w:r>
              <w:t>17,100</w:t>
            </w:r>
          </w:p>
        </w:tc>
      </w:tr>
      <w:tr w:rsidR="009E373C" w:rsidRPr="00395E30" w14:paraId="1356B36E" w14:textId="77777777" w:rsidTr="00ED2699">
        <w:tc>
          <w:tcPr>
            <w:tcW w:w="4248" w:type="dxa"/>
          </w:tcPr>
          <w:p w14:paraId="506E63A6" w14:textId="5A36399A" w:rsidR="009E373C" w:rsidRPr="00395E30" w:rsidRDefault="00BB2FE1" w:rsidP="008A00C8">
            <w:pPr>
              <w:pStyle w:val="TableCopy"/>
              <w:spacing w:before="100" w:beforeAutospacing="1" w:after="100" w:afterAutospacing="1"/>
            </w:pPr>
            <w:r>
              <w:t xml:space="preserve">Retail trade </w:t>
            </w:r>
          </w:p>
        </w:tc>
        <w:tc>
          <w:tcPr>
            <w:tcW w:w="1698" w:type="dxa"/>
          </w:tcPr>
          <w:p w14:paraId="35F1ABC0" w14:textId="6D4CB49D" w:rsidR="009E373C" w:rsidRPr="00395E30" w:rsidRDefault="00714BA1" w:rsidP="008A00C8">
            <w:pPr>
              <w:pStyle w:val="TableCopy"/>
              <w:spacing w:before="100" w:beforeAutospacing="1" w:after="100" w:afterAutospacing="1"/>
              <w:rPr>
                <w:color w:val="000000"/>
              </w:rPr>
            </w:pPr>
            <w:r>
              <w:t>11,800</w:t>
            </w:r>
          </w:p>
        </w:tc>
      </w:tr>
      <w:tr w:rsidR="009E373C" w:rsidRPr="00395E30" w14:paraId="3ACF3E57" w14:textId="77777777" w:rsidTr="00ED2699">
        <w:tc>
          <w:tcPr>
            <w:tcW w:w="4248" w:type="dxa"/>
          </w:tcPr>
          <w:p w14:paraId="002E2BCD" w14:textId="007701CA" w:rsidR="009E373C" w:rsidRPr="00395E30" w:rsidRDefault="00BB2FE1" w:rsidP="008A00C8">
            <w:pPr>
              <w:pStyle w:val="TableCopy"/>
              <w:spacing w:before="100" w:beforeAutospacing="1" w:after="100" w:afterAutospacing="1"/>
            </w:pPr>
            <w:r>
              <w:t xml:space="preserve">Construction </w:t>
            </w:r>
          </w:p>
        </w:tc>
        <w:tc>
          <w:tcPr>
            <w:tcW w:w="1698" w:type="dxa"/>
          </w:tcPr>
          <w:p w14:paraId="06530ABA" w14:textId="708C4D9D" w:rsidR="009E373C" w:rsidRPr="00395E30" w:rsidRDefault="00714BA1" w:rsidP="008A00C8">
            <w:pPr>
              <w:pStyle w:val="TableCopy"/>
              <w:spacing w:before="100" w:beforeAutospacing="1" w:after="100" w:afterAutospacing="1"/>
              <w:rPr>
                <w:color w:val="000000"/>
              </w:rPr>
            </w:pPr>
            <w:r>
              <w:t>11,400</w:t>
            </w:r>
          </w:p>
        </w:tc>
      </w:tr>
      <w:tr w:rsidR="009E373C" w:rsidRPr="00395E30" w14:paraId="5FA8F712" w14:textId="77777777" w:rsidTr="00ED2699">
        <w:tc>
          <w:tcPr>
            <w:tcW w:w="4248" w:type="dxa"/>
          </w:tcPr>
          <w:p w14:paraId="3B975D5E" w14:textId="5742FEAD" w:rsidR="009E373C" w:rsidRPr="00395E30" w:rsidRDefault="00BB2FE1" w:rsidP="008A00C8">
            <w:pPr>
              <w:pStyle w:val="TableCopy"/>
              <w:spacing w:before="100" w:beforeAutospacing="1" w:after="100" w:afterAutospacing="1"/>
            </w:pPr>
            <w:r>
              <w:t xml:space="preserve">Agriculture, forestry and fishing </w:t>
            </w:r>
          </w:p>
        </w:tc>
        <w:tc>
          <w:tcPr>
            <w:tcW w:w="1698" w:type="dxa"/>
          </w:tcPr>
          <w:p w14:paraId="38E5B6F7" w14:textId="403113E1" w:rsidR="009E373C" w:rsidRPr="00395E30" w:rsidRDefault="00714BA1" w:rsidP="008A00C8">
            <w:pPr>
              <w:pStyle w:val="TableCopy"/>
              <w:spacing w:before="100" w:beforeAutospacing="1" w:after="100" w:afterAutospacing="1"/>
              <w:rPr>
                <w:color w:val="000000"/>
              </w:rPr>
            </w:pPr>
            <w:r>
              <w:t>10,300</w:t>
            </w:r>
          </w:p>
        </w:tc>
      </w:tr>
      <w:tr w:rsidR="009E373C" w:rsidRPr="00395E30" w14:paraId="2477695D" w14:textId="77777777" w:rsidTr="00ED2699">
        <w:tc>
          <w:tcPr>
            <w:tcW w:w="4248" w:type="dxa"/>
          </w:tcPr>
          <w:p w14:paraId="701B6978" w14:textId="5ABA0E80" w:rsidR="009E373C" w:rsidRPr="00395E30" w:rsidRDefault="00714BA1" w:rsidP="008A00C8">
            <w:pPr>
              <w:pStyle w:val="TableCopy"/>
              <w:spacing w:before="100" w:beforeAutospacing="1" w:after="100" w:afterAutospacing="1"/>
            </w:pPr>
            <w:r>
              <w:t xml:space="preserve">Education and training </w:t>
            </w:r>
          </w:p>
        </w:tc>
        <w:tc>
          <w:tcPr>
            <w:tcW w:w="1698" w:type="dxa"/>
          </w:tcPr>
          <w:p w14:paraId="66AA0B11" w14:textId="2ECB3DCF" w:rsidR="009E373C" w:rsidRPr="00395E30" w:rsidRDefault="00714BA1" w:rsidP="008A00C8">
            <w:pPr>
              <w:pStyle w:val="TableCopy"/>
              <w:spacing w:before="100" w:beforeAutospacing="1" w:after="100" w:afterAutospacing="1"/>
              <w:rPr>
                <w:color w:val="000000"/>
              </w:rPr>
            </w:pPr>
            <w:r>
              <w:t>10,200</w:t>
            </w:r>
          </w:p>
        </w:tc>
      </w:tr>
      <w:tr w:rsidR="009E373C" w:rsidRPr="00395E30" w14:paraId="5E5B40E6" w14:textId="77777777" w:rsidTr="00ED2699">
        <w:tc>
          <w:tcPr>
            <w:tcW w:w="4248" w:type="dxa"/>
          </w:tcPr>
          <w:p w14:paraId="5474ED5C" w14:textId="6EC16075" w:rsidR="009E373C" w:rsidRPr="00395E30" w:rsidRDefault="00BB5610" w:rsidP="008A00C8">
            <w:pPr>
              <w:pStyle w:val="TableCopy"/>
              <w:spacing w:before="100" w:beforeAutospacing="1" w:after="100" w:afterAutospacing="1"/>
            </w:pPr>
            <w:r>
              <w:t xml:space="preserve">Manufacturing </w:t>
            </w:r>
          </w:p>
        </w:tc>
        <w:tc>
          <w:tcPr>
            <w:tcW w:w="1698" w:type="dxa"/>
          </w:tcPr>
          <w:p w14:paraId="24C2C062" w14:textId="0B9E6BB5" w:rsidR="009E373C" w:rsidRPr="00395E30" w:rsidRDefault="00714BA1" w:rsidP="008A00C8">
            <w:pPr>
              <w:pStyle w:val="TableCopy"/>
              <w:spacing w:before="100" w:beforeAutospacing="1" w:after="100" w:afterAutospacing="1"/>
            </w:pPr>
            <w:r>
              <w:t>8,900</w:t>
            </w:r>
          </w:p>
        </w:tc>
      </w:tr>
    </w:tbl>
    <w:p w14:paraId="68C9013B" w14:textId="5541ACEA" w:rsidR="00E1380E" w:rsidRPr="00670F30" w:rsidRDefault="00C349FB"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t>Top sectors by gross value add (2020)</w:t>
      </w:r>
    </w:p>
    <w:tbl>
      <w:tblPr>
        <w:tblStyle w:val="TableGrid"/>
        <w:tblW w:w="9343" w:type="dxa"/>
        <w:tblLook w:val="04A0" w:firstRow="1" w:lastRow="0" w:firstColumn="1" w:lastColumn="0" w:noHBand="0" w:noVBand="1"/>
      </w:tblPr>
      <w:tblGrid>
        <w:gridCol w:w="6675"/>
        <w:gridCol w:w="2668"/>
      </w:tblGrid>
      <w:tr w:rsidR="00C6552B" w:rsidRPr="0055442F" w14:paraId="0412C64F" w14:textId="77777777" w:rsidTr="00ED2699">
        <w:tc>
          <w:tcPr>
            <w:tcW w:w="4248" w:type="dxa"/>
            <w:noWrap/>
            <w:hideMark/>
          </w:tcPr>
          <w:p w14:paraId="2A93C5A4" w14:textId="77777777" w:rsidR="00C6552B" w:rsidRPr="0055442F" w:rsidRDefault="00C6552B" w:rsidP="008A00C8">
            <w:pPr>
              <w:pStyle w:val="TableCopy"/>
              <w:spacing w:before="100" w:beforeAutospacing="1" w:after="100" w:afterAutospacing="1"/>
              <w:rPr>
                <w:b/>
                <w:bCs/>
              </w:rPr>
            </w:pPr>
            <w:r w:rsidRPr="0055442F">
              <w:rPr>
                <w:b/>
                <w:bCs/>
              </w:rPr>
              <w:t>Industry</w:t>
            </w:r>
          </w:p>
        </w:tc>
        <w:tc>
          <w:tcPr>
            <w:tcW w:w="1698" w:type="dxa"/>
          </w:tcPr>
          <w:p w14:paraId="0211E88B" w14:textId="2B0B930A" w:rsidR="00C6552B" w:rsidRPr="0055442F" w:rsidRDefault="00344BD5" w:rsidP="008A00C8">
            <w:pPr>
              <w:pStyle w:val="TableCopy"/>
              <w:spacing w:before="100" w:beforeAutospacing="1" w:after="100" w:afterAutospacing="1"/>
              <w:rPr>
                <w:b/>
                <w:bCs/>
              </w:rPr>
            </w:pPr>
            <w:r>
              <w:rPr>
                <w:b/>
                <w:bCs/>
              </w:rPr>
              <w:t>G</w:t>
            </w:r>
            <w:r w:rsidR="00975E55">
              <w:rPr>
                <w:b/>
                <w:bCs/>
              </w:rPr>
              <w:t>ross value add</w:t>
            </w:r>
          </w:p>
        </w:tc>
      </w:tr>
      <w:tr w:rsidR="00C6552B" w:rsidRPr="00395E30" w14:paraId="0D3E8598" w14:textId="77777777" w:rsidTr="00ED2699">
        <w:tc>
          <w:tcPr>
            <w:tcW w:w="4248" w:type="dxa"/>
          </w:tcPr>
          <w:p w14:paraId="5F4E85D0" w14:textId="13CE9C21" w:rsidR="00C6552B" w:rsidRPr="00395E30" w:rsidRDefault="00455083" w:rsidP="008A00C8">
            <w:pPr>
              <w:pStyle w:val="TableCopy"/>
              <w:spacing w:before="100" w:beforeAutospacing="1" w:after="100" w:afterAutospacing="1"/>
            </w:pPr>
            <w:r>
              <w:t xml:space="preserve">Mining </w:t>
            </w:r>
          </w:p>
        </w:tc>
        <w:tc>
          <w:tcPr>
            <w:tcW w:w="1698" w:type="dxa"/>
          </w:tcPr>
          <w:p w14:paraId="62706779" w14:textId="3B709684" w:rsidR="00C6552B" w:rsidRPr="00395E30" w:rsidRDefault="00D25B82" w:rsidP="008A00C8">
            <w:pPr>
              <w:pStyle w:val="TableCopy"/>
              <w:spacing w:before="100" w:beforeAutospacing="1" w:after="100" w:afterAutospacing="1"/>
              <w:rPr>
                <w:color w:val="000000"/>
              </w:rPr>
            </w:pPr>
            <w:r>
              <w:t>$4.3</w:t>
            </w:r>
            <w:r w:rsidR="00856281">
              <w:t xml:space="preserve"> Billion</w:t>
            </w:r>
          </w:p>
        </w:tc>
      </w:tr>
      <w:tr w:rsidR="00C6552B" w:rsidRPr="00395E30" w14:paraId="6E5D60EB" w14:textId="77777777" w:rsidTr="00ED2699">
        <w:tc>
          <w:tcPr>
            <w:tcW w:w="4248" w:type="dxa"/>
          </w:tcPr>
          <w:p w14:paraId="3297DCA1" w14:textId="5CD7D90B" w:rsidR="00C6552B" w:rsidRPr="00395E30" w:rsidRDefault="00D25B82" w:rsidP="008A00C8">
            <w:pPr>
              <w:pStyle w:val="TableCopy"/>
              <w:spacing w:before="100" w:beforeAutospacing="1" w:after="100" w:afterAutospacing="1"/>
            </w:pPr>
            <w:r>
              <w:t xml:space="preserve">Construction </w:t>
            </w:r>
          </w:p>
        </w:tc>
        <w:tc>
          <w:tcPr>
            <w:tcW w:w="1698" w:type="dxa"/>
          </w:tcPr>
          <w:p w14:paraId="06F7E01D" w14:textId="29A9C76E" w:rsidR="00C6552B" w:rsidRPr="00395E30" w:rsidRDefault="00D25B82" w:rsidP="008A00C8">
            <w:pPr>
              <w:pStyle w:val="TableCopy"/>
              <w:spacing w:before="100" w:beforeAutospacing="1" w:after="100" w:afterAutospacing="1"/>
              <w:rPr>
                <w:color w:val="000000"/>
              </w:rPr>
            </w:pPr>
            <w:r>
              <w:t>$1.4</w:t>
            </w:r>
            <w:r w:rsidR="00856281">
              <w:t xml:space="preserve"> </w:t>
            </w:r>
            <w:r w:rsidR="00856281">
              <w:t>Billion</w:t>
            </w:r>
          </w:p>
        </w:tc>
      </w:tr>
      <w:tr w:rsidR="00C6552B" w:rsidRPr="00395E30" w14:paraId="3CC31164" w14:textId="77777777" w:rsidTr="00ED2699">
        <w:tc>
          <w:tcPr>
            <w:tcW w:w="4248" w:type="dxa"/>
          </w:tcPr>
          <w:p w14:paraId="0F5C13E8" w14:textId="1FB53778" w:rsidR="00C6552B" w:rsidRPr="00395E30" w:rsidRDefault="00D25B82" w:rsidP="008A00C8">
            <w:pPr>
              <w:pStyle w:val="TableCopy"/>
              <w:spacing w:before="100" w:beforeAutospacing="1" w:after="100" w:afterAutospacing="1"/>
            </w:pPr>
            <w:r>
              <w:t xml:space="preserve">Health care and social assistance </w:t>
            </w:r>
          </w:p>
        </w:tc>
        <w:tc>
          <w:tcPr>
            <w:tcW w:w="1698" w:type="dxa"/>
          </w:tcPr>
          <w:p w14:paraId="5A745A8F" w14:textId="67BBA959" w:rsidR="00C6552B" w:rsidRPr="00395E30" w:rsidRDefault="00D25B82" w:rsidP="008A00C8">
            <w:pPr>
              <w:pStyle w:val="TableCopy"/>
              <w:spacing w:before="100" w:beforeAutospacing="1" w:after="100" w:afterAutospacing="1"/>
              <w:rPr>
                <w:color w:val="000000"/>
              </w:rPr>
            </w:pPr>
            <w:r>
              <w:t>$1.2</w:t>
            </w:r>
            <w:r w:rsidR="00856281">
              <w:t xml:space="preserve"> </w:t>
            </w:r>
            <w:r w:rsidR="00856281">
              <w:t>Billion</w:t>
            </w:r>
          </w:p>
        </w:tc>
      </w:tr>
      <w:tr w:rsidR="00C6552B" w:rsidRPr="00395E30" w14:paraId="41869C6B" w14:textId="77777777" w:rsidTr="00ED2699">
        <w:tc>
          <w:tcPr>
            <w:tcW w:w="4248" w:type="dxa"/>
          </w:tcPr>
          <w:p w14:paraId="227F0352" w14:textId="4B320F6D" w:rsidR="00C6552B" w:rsidRPr="00395E30" w:rsidRDefault="00D25B82" w:rsidP="008A00C8">
            <w:pPr>
              <w:pStyle w:val="TableCopy"/>
              <w:spacing w:before="100" w:beforeAutospacing="1" w:after="100" w:afterAutospacing="1"/>
            </w:pPr>
            <w:r>
              <w:t xml:space="preserve">Agriculture, forestry and fishing </w:t>
            </w:r>
          </w:p>
        </w:tc>
        <w:tc>
          <w:tcPr>
            <w:tcW w:w="1698" w:type="dxa"/>
          </w:tcPr>
          <w:p w14:paraId="7DAF1A08" w14:textId="4A9E16EA" w:rsidR="00C6552B" w:rsidRPr="00395E30" w:rsidRDefault="00D25B82" w:rsidP="008A00C8">
            <w:pPr>
              <w:pStyle w:val="TableCopy"/>
              <w:spacing w:before="100" w:beforeAutospacing="1" w:after="100" w:afterAutospacing="1"/>
              <w:rPr>
                <w:color w:val="000000"/>
              </w:rPr>
            </w:pPr>
            <w:r>
              <w:t>$1.0</w:t>
            </w:r>
            <w:r w:rsidR="00856281">
              <w:t xml:space="preserve"> </w:t>
            </w:r>
            <w:r w:rsidR="00856281">
              <w:t>Billion</w:t>
            </w:r>
          </w:p>
        </w:tc>
      </w:tr>
      <w:tr w:rsidR="00C6552B" w:rsidRPr="00395E30" w14:paraId="24926785" w14:textId="77777777" w:rsidTr="00ED2699">
        <w:tc>
          <w:tcPr>
            <w:tcW w:w="4248" w:type="dxa"/>
          </w:tcPr>
          <w:p w14:paraId="642B83EB" w14:textId="77CB8031" w:rsidR="00C6552B" w:rsidRPr="00395E30" w:rsidRDefault="00D25B82" w:rsidP="008A00C8">
            <w:pPr>
              <w:pStyle w:val="TableCopy"/>
              <w:spacing w:before="100" w:beforeAutospacing="1" w:after="100" w:afterAutospacing="1"/>
            </w:pPr>
            <w:r>
              <w:t xml:space="preserve">Electricity, gas, water and waste services </w:t>
            </w:r>
          </w:p>
        </w:tc>
        <w:tc>
          <w:tcPr>
            <w:tcW w:w="1698" w:type="dxa"/>
          </w:tcPr>
          <w:p w14:paraId="7470C069" w14:textId="108D9EB7" w:rsidR="00C6552B" w:rsidRPr="00395E30" w:rsidRDefault="00D25B82" w:rsidP="008A00C8">
            <w:pPr>
              <w:pStyle w:val="TableCopy"/>
              <w:spacing w:before="100" w:beforeAutospacing="1" w:after="100" w:afterAutospacing="1"/>
              <w:rPr>
                <w:color w:val="000000"/>
              </w:rPr>
            </w:pPr>
            <w:r>
              <w:t>$975.7</w:t>
            </w:r>
            <w:r w:rsidR="00856281">
              <w:t xml:space="preserve"> </w:t>
            </w:r>
            <w:r>
              <w:t>M</w:t>
            </w:r>
            <w:r w:rsidR="00856281">
              <w:t>illion</w:t>
            </w:r>
          </w:p>
        </w:tc>
      </w:tr>
      <w:tr w:rsidR="00C6552B" w:rsidRPr="00395E30" w14:paraId="00F182DD" w14:textId="77777777" w:rsidTr="00ED2699">
        <w:tc>
          <w:tcPr>
            <w:tcW w:w="4248" w:type="dxa"/>
          </w:tcPr>
          <w:p w14:paraId="1F9A1809" w14:textId="3115F6BC" w:rsidR="00C6552B" w:rsidRPr="00395E30" w:rsidRDefault="00D25B82" w:rsidP="008A00C8">
            <w:pPr>
              <w:pStyle w:val="TableCopy"/>
              <w:spacing w:before="100" w:beforeAutospacing="1" w:after="100" w:afterAutospacing="1"/>
            </w:pPr>
            <w:r>
              <w:t xml:space="preserve">Manufacturing </w:t>
            </w:r>
          </w:p>
        </w:tc>
        <w:tc>
          <w:tcPr>
            <w:tcW w:w="1698" w:type="dxa"/>
          </w:tcPr>
          <w:p w14:paraId="7598C604" w14:textId="21F44313" w:rsidR="00C6552B" w:rsidRPr="00395E30" w:rsidRDefault="00D25B82" w:rsidP="008A00C8">
            <w:pPr>
              <w:pStyle w:val="TableCopy"/>
              <w:spacing w:before="100" w:beforeAutospacing="1" w:after="100" w:afterAutospacing="1"/>
            </w:pPr>
            <w:r>
              <w:t>$869.9</w:t>
            </w:r>
            <w:r w:rsidR="00856281">
              <w:t xml:space="preserve"> Million</w:t>
            </w:r>
          </w:p>
        </w:tc>
      </w:tr>
    </w:tbl>
    <w:p w14:paraId="37F8325B" w14:textId="176A7973" w:rsidR="00304CB6" w:rsidRDefault="00304CB6" w:rsidP="008A00C8">
      <w:pPr>
        <w:pStyle w:val="Heading1"/>
        <w:spacing w:before="100" w:beforeAutospacing="1" w:after="100" w:afterAutospacing="1"/>
        <w:rPr>
          <w:rFonts w:ascii="Arial" w:hAnsi="Arial" w:cs="Arial"/>
          <w:b/>
          <w:bCs/>
          <w:color w:val="auto"/>
          <w:sz w:val="36"/>
          <w:szCs w:val="36"/>
        </w:rPr>
      </w:pPr>
      <w:r w:rsidRPr="0051145A">
        <w:rPr>
          <w:rFonts w:ascii="Arial" w:hAnsi="Arial" w:cs="Arial"/>
          <w:b/>
          <w:bCs/>
          <w:color w:val="auto"/>
          <w:sz w:val="36"/>
          <w:szCs w:val="36"/>
        </w:rPr>
        <w:t>Strategic Directions</w:t>
      </w:r>
    </w:p>
    <w:p w14:paraId="79E86FC7" w14:textId="753634EA" w:rsidR="00240915" w:rsidRPr="00240915" w:rsidRDefault="00240915" w:rsidP="00240915">
      <w:pPr>
        <w:spacing w:before="100" w:beforeAutospacing="1" w:after="100" w:afterAutospacing="1"/>
        <w:rPr>
          <w:rFonts w:ascii="Arial" w:hAnsi="Arial" w:cs="Arial"/>
          <w:sz w:val="24"/>
          <w:szCs w:val="24"/>
          <w:lang w:val="en-AU"/>
        </w:rPr>
      </w:pPr>
      <w:r w:rsidRPr="00240915">
        <w:rPr>
          <w:rFonts w:ascii="Arial" w:hAnsi="Arial" w:cs="Arial"/>
          <w:sz w:val="24"/>
          <w:szCs w:val="24"/>
          <w:lang w:val="en-AU"/>
        </w:rPr>
        <w:t>Gippsland’s</w:t>
      </w:r>
      <w:r w:rsidRPr="00240915">
        <w:rPr>
          <w:rFonts w:ascii="Arial" w:hAnsi="Arial" w:cs="Arial"/>
          <w:sz w:val="24"/>
          <w:szCs w:val="24"/>
          <w:lang w:val="en-AU"/>
        </w:rPr>
        <w:t xml:space="preserve"> five strategic directions have been identified using an evidence base that considers the region’s unique attributes, existing and emerging industries, and socioeconomic context</w:t>
      </w:r>
      <w:r>
        <w:rPr>
          <w:rFonts w:ascii="Arial" w:hAnsi="Arial" w:cs="Arial"/>
          <w:sz w:val="24"/>
          <w:szCs w:val="24"/>
          <w:lang w:val="en-AU"/>
        </w:rPr>
        <w:t>.</w:t>
      </w:r>
    </w:p>
    <w:p w14:paraId="2E6E6165" w14:textId="65800337" w:rsidR="001245F6" w:rsidRPr="009A3281" w:rsidRDefault="003E19DE" w:rsidP="00E6798B">
      <w:pPr>
        <w:pStyle w:val="Heading2"/>
        <w:spacing w:before="100" w:beforeAutospacing="1" w:after="100" w:afterAutospacing="1"/>
        <w:rPr>
          <w:rFonts w:ascii="Arial" w:hAnsi="Arial" w:cs="Arial"/>
          <w:color w:val="auto"/>
          <w:sz w:val="32"/>
          <w:szCs w:val="32"/>
        </w:rPr>
      </w:pPr>
      <w:r w:rsidRPr="003E19DE">
        <w:rPr>
          <w:rFonts w:ascii="Arial" w:hAnsi="Arial" w:cs="Arial"/>
          <w:color w:val="auto"/>
          <w:sz w:val="32"/>
          <w:szCs w:val="32"/>
        </w:rPr>
        <w:t>1. Maximise the role of the food and fibre industry in the local economy</w:t>
      </w:r>
    </w:p>
    <w:p w14:paraId="68353F0A" w14:textId="5A40D965" w:rsidR="001245F6" w:rsidRPr="001245F6" w:rsidRDefault="001462E5" w:rsidP="008A00C8">
      <w:pPr>
        <w:spacing w:before="100" w:beforeAutospacing="1" w:after="100" w:afterAutospacing="1"/>
        <w:rPr>
          <w:rFonts w:ascii="Arial" w:hAnsi="Arial" w:cs="Arial"/>
          <w:sz w:val="24"/>
          <w:szCs w:val="24"/>
          <w:lang w:val="en-AU"/>
        </w:rPr>
      </w:pPr>
      <w:r w:rsidRPr="001462E5">
        <w:rPr>
          <w:rFonts w:ascii="Arial" w:hAnsi="Arial" w:cs="Arial"/>
          <w:sz w:val="24"/>
          <w:szCs w:val="24"/>
          <w:lang w:val="en-AU"/>
        </w:rPr>
        <w:t>Activating the food and fibre innovation ecosystem through on-farm innovation, local research and development, and attracting a skilled workforce will help to develop future-focused industries and unlock new markets.</w:t>
      </w:r>
    </w:p>
    <w:p w14:paraId="368E7515" w14:textId="2F1E7A17" w:rsidR="001245F6" w:rsidRPr="001245F6" w:rsidRDefault="001462E5" w:rsidP="008A00C8">
      <w:pPr>
        <w:pStyle w:val="Heading2"/>
        <w:spacing w:before="100" w:beforeAutospacing="1" w:after="100" w:afterAutospacing="1"/>
        <w:rPr>
          <w:rFonts w:ascii="Arial" w:hAnsi="Arial" w:cs="Arial"/>
          <w:color w:val="auto"/>
          <w:sz w:val="32"/>
          <w:szCs w:val="32"/>
        </w:rPr>
      </w:pPr>
      <w:r w:rsidRPr="001462E5">
        <w:rPr>
          <w:rFonts w:ascii="Arial" w:hAnsi="Arial" w:cs="Arial"/>
          <w:color w:val="auto"/>
          <w:sz w:val="32"/>
          <w:szCs w:val="32"/>
        </w:rPr>
        <w:lastRenderedPageBreak/>
        <w:t>2. Accelerate advanced manufacturing capabilities in the region</w:t>
      </w:r>
    </w:p>
    <w:p w14:paraId="1AFB04AD" w14:textId="07D1D10C" w:rsidR="001245F6" w:rsidRPr="001245F6" w:rsidRDefault="001462E5" w:rsidP="008A00C8">
      <w:pPr>
        <w:spacing w:before="100" w:beforeAutospacing="1" w:after="100" w:afterAutospacing="1"/>
        <w:rPr>
          <w:rFonts w:ascii="Arial" w:hAnsi="Arial" w:cs="Arial"/>
          <w:sz w:val="24"/>
          <w:szCs w:val="24"/>
          <w:lang w:val="en-AU"/>
        </w:rPr>
      </w:pPr>
      <w:r w:rsidRPr="001462E5">
        <w:rPr>
          <w:rFonts w:ascii="Arial" w:hAnsi="Arial" w:cs="Arial"/>
          <w:sz w:val="24"/>
          <w:szCs w:val="24"/>
          <w:lang w:val="en-AU"/>
        </w:rPr>
        <w:t>Immediate opportunities in food product manufacturing, energy supply chains and health manufacturing can be linked to collaborative research and digitalisation to encourage innovation and investment.</w:t>
      </w:r>
    </w:p>
    <w:p w14:paraId="3366C93F" w14:textId="57E99938" w:rsidR="001245F6" w:rsidRPr="001245F6" w:rsidRDefault="00F56E00" w:rsidP="008A00C8">
      <w:pPr>
        <w:pStyle w:val="Heading2"/>
        <w:spacing w:before="100" w:beforeAutospacing="1" w:after="100" w:afterAutospacing="1"/>
        <w:rPr>
          <w:rFonts w:ascii="Arial" w:hAnsi="Arial" w:cs="Arial"/>
          <w:lang w:val="en-AU"/>
        </w:rPr>
      </w:pPr>
      <w:r w:rsidRPr="00F56E00">
        <w:rPr>
          <w:rFonts w:ascii="Arial" w:hAnsi="Arial" w:cs="Arial"/>
          <w:color w:val="auto"/>
          <w:sz w:val="32"/>
          <w:szCs w:val="32"/>
        </w:rPr>
        <w:t>3. Pursue opportunities emerging from energy industry transition, including in clean and renewable energy and earth resources</w:t>
      </w:r>
    </w:p>
    <w:p w14:paraId="7203B608" w14:textId="380A8690" w:rsidR="001245F6" w:rsidRPr="001245F6" w:rsidRDefault="00F56E00" w:rsidP="008A00C8">
      <w:pPr>
        <w:spacing w:before="100" w:beforeAutospacing="1" w:after="100" w:afterAutospacing="1"/>
        <w:rPr>
          <w:rFonts w:ascii="Arial" w:hAnsi="Arial" w:cs="Arial"/>
          <w:sz w:val="24"/>
          <w:szCs w:val="24"/>
          <w:lang w:val="en-AU"/>
        </w:rPr>
      </w:pPr>
      <w:r w:rsidRPr="00F56E00">
        <w:rPr>
          <w:rFonts w:ascii="Arial" w:hAnsi="Arial" w:cs="Arial"/>
          <w:sz w:val="24"/>
          <w:szCs w:val="24"/>
          <w:lang w:val="en-AU"/>
        </w:rPr>
        <w:t>The international and domestic focus on renewable energy and climate change mitigation is driving opportunities to activate clean energy and carbon capture and storage potential, and positions the region to supplement existing strengths in energy production with hydrogen and earth resources.</w:t>
      </w:r>
    </w:p>
    <w:p w14:paraId="13507C2C" w14:textId="356996CB" w:rsidR="001245F6" w:rsidRPr="001245F6" w:rsidRDefault="003E4EB3" w:rsidP="008A00C8">
      <w:pPr>
        <w:pStyle w:val="Heading2"/>
        <w:spacing w:before="100" w:beforeAutospacing="1" w:after="100" w:afterAutospacing="1"/>
        <w:rPr>
          <w:rFonts w:ascii="Arial" w:hAnsi="Arial" w:cs="Arial"/>
          <w:color w:val="auto"/>
          <w:sz w:val="32"/>
          <w:szCs w:val="32"/>
        </w:rPr>
      </w:pPr>
      <w:r w:rsidRPr="003E4EB3">
        <w:rPr>
          <w:rFonts w:ascii="Arial" w:hAnsi="Arial" w:cs="Arial"/>
          <w:color w:val="auto"/>
          <w:sz w:val="32"/>
          <w:szCs w:val="32"/>
        </w:rPr>
        <w:t>4. Support growth and diversification in the visitor economy</w:t>
      </w:r>
    </w:p>
    <w:p w14:paraId="67DABD38" w14:textId="357418D7" w:rsidR="001245F6" w:rsidRPr="001245F6" w:rsidRDefault="003E4EB3" w:rsidP="008A00C8">
      <w:pPr>
        <w:spacing w:before="100" w:beforeAutospacing="1" w:after="100" w:afterAutospacing="1"/>
        <w:rPr>
          <w:rFonts w:ascii="Arial" w:hAnsi="Arial" w:cs="Arial"/>
          <w:sz w:val="24"/>
          <w:szCs w:val="24"/>
          <w:lang w:val="en-AU"/>
        </w:rPr>
      </w:pPr>
      <w:r w:rsidRPr="003E4EB3">
        <w:rPr>
          <w:rFonts w:ascii="Arial" w:hAnsi="Arial" w:cs="Arial"/>
          <w:sz w:val="24"/>
          <w:szCs w:val="24"/>
          <w:lang w:val="en-AU"/>
        </w:rPr>
        <w:t>Creating experiences that enable year-round visitation and promoting the region’s Aboriginal heritage and agritourism will be central to driving growth in the tourism industry and creating further opportunities to showcase the region’s significant attractions.</w:t>
      </w:r>
    </w:p>
    <w:p w14:paraId="267D0E45" w14:textId="71987790" w:rsidR="001245F6" w:rsidRPr="001245F6" w:rsidRDefault="00117C3D" w:rsidP="008A00C8">
      <w:pPr>
        <w:pStyle w:val="Heading2"/>
        <w:spacing w:before="100" w:beforeAutospacing="1" w:after="100" w:afterAutospacing="1"/>
        <w:rPr>
          <w:rFonts w:ascii="Arial" w:hAnsi="Arial" w:cs="Arial"/>
          <w:lang w:val="en-AU"/>
        </w:rPr>
      </w:pPr>
      <w:r w:rsidRPr="00117C3D">
        <w:rPr>
          <w:rFonts w:ascii="Arial" w:hAnsi="Arial" w:cs="Arial"/>
          <w:color w:val="auto"/>
          <w:sz w:val="32"/>
          <w:szCs w:val="32"/>
        </w:rPr>
        <w:t>5. Enhance regional specialisation in health care and social assistance</w:t>
      </w:r>
    </w:p>
    <w:p w14:paraId="2699403D" w14:textId="371EE601" w:rsidR="001245F6" w:rsidRPr="001245F6" w:rsidRDefault="00117C3D" w:rsidP="008A00C8">
      <w:pPr>
        <w:spacing w:before="100" w:beforeAutospacing="1" w:after="100" w:afterAutospacing="1"/>
        <w:rPr>
          <w:rFonts w:ascii="Arial" w:hAnsi="Arial" w:cs="Arial"/>
          <w:sz w:val="24"/>
          <w:szCs w:val="24"/>
          <w:lang w:val="en-AU"/>
        </w:rPr>
      </w:pPr>
      <w:r w:rsidRPr="00117C3D">
        <w:rPr>
          <w:rFonts w:ascii="Arial" w:hAnsi="Arial" w:cs="Arial"/>
          <w:sz w:val="24"/>
          <w:szCs w:val="24"/>
          <w:lang w:val="en-AU"/>
        </w:rPr>
        <w:t xml:space="preserve">Stronger partnerships between industry and education and training providers will facilitate career pathways in health care and social assistance, supporting labour market inclusion and meeting the increasing demand for services.  </w:t>
      </w:r>
    </w:p>
    <w:p w14:paraId="6D23E3A4" w14:textId="14EA353C" w:rsidR="007B6470" w:rsidRPr="00392AB8" w:rsidRDefault="007B6470" w:rsidP="00A91195">
      <w:pPr>
        <w:pStyle w:val="FootnoteText"/>
      </w:pPr>
      <w:r w:rsidRPr="00392AB8">
        <w:t xml:space="preserve">Please refer to the </w:t>
      </w:r>
      <w:r w:rsidR="00F40813">
        <w:t>Gippsland</w:t>
      </w:r>
      <w:r w:rsidRPr="00392AB8">
        <w:t xml:space="preserve"> REDS and Supporting Analysis for further detail and sources.</w:t>
      </w:r>
    </w:p>
    <w:p w14:paraId="49400477" w14:textId="5D49A3F5" w:rsidR="00304CB6" w:rsidRPr="00392AB8" w:rsidRDefault="007B6470" w:rsidP="00A91195">
      <w:pPr>
        <w:pStyle w:val="FootnoteText"/>
      </w:pPr>
      <w:r w:rsidRPr="00392AB8">
        <w:t>Prepared by the Department of Jobs, Precincts and Regions, May 2022. For more information see: rdv.vic.gov.au.</w:t>
      </w:r>
    </w:p>
    <w:p w14:paraId="0EFAF151" w14:textId="77777777" w:rsidR="00F35DC3" w:rsidRPr="001245F6" w:rsidRDefault="00F35DC3" w:rsidP="008A00C8">
      <w:pPr>
        <w:spacing w:before="100" w:beforeAutospacing="1" w:after="100" w:afterAutospacing="1"/>
        <w:rPr>
          <w:rFonts w:ascii="Arial" w:hAnsi="Arial" w:cs="Arial"/>
          <w:lang w:val="en-AU"/>
        </w:rPr>
      </w:pPr>
    </w:p>
    <w:p w14:paraId="2D922527" w14:textId="77777777" w:rsidR="00C71B7A" w:rsidRPr="001245F6" w:rsidRDefault="00C71B7A" w:rsidP="008A00C8">
      <w:pPr>
        <w:spacing w:before="100" w:beforeAutospacing="1" w:after="100" w:afterAutospacing="1"/>
        <w:rPr>
          <w:rFonts w:ascii="Arial" w:hAnsi="Arial" w:cs="Arial"/>
          <w:lang w:val="en-AU"/>
        </w:rPr>
      </w:pPr>
    </w:p>
    <w:p w14:paraId="2C078E63" w14:textId="77777777" w:rsidR="00163928" w:rsidRPr="001245F6" w:rsidRDefault="00163928" w:rsidP="008A00C8">
      <w:pPr>
        <w:spacing w:before="100" w:beforeAutospacing="1" w:after="100" w:afterAutospacing="1"/>
        <w:rPr>
          <w:rFonts w:ascii="Arial" w:hAnsi="Arial" w:cs="Arial"/>
        </w:rPr>
      </w:pPr>
    </w:p>
    <w:sectPr w:rsidR="00163928" w:rsidRPr="001245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D08C" w14:textId="77777777" w:rsidR="00DF52B6" w:rsidRDefault="00DF52B6" w:rsidP="009D5328">
      <w:pPr>
        <w:spacing w:after="0" w:line="240" w:lineRule="auto"/>
      </w:pPr>
      <w:r>
        <w:separator/>
      </w:r>
    </w:p>
  </w:endnote>
  <w:endnote w:type="continuationSeparator" w:id="0">
    <w:p w14:paraId="2DCD84B6" w14:textId="77777777" w:rsidR="00DF52B6" w:rsidRDefault="00DF52B6" w:rsidP="009D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B632" w14:textId="77777777" w:rsidR="00DF52B6" w:rsidRDefault="00DF52B6" w:rsidP="009D5328">
      <w:pPr>
        <w:spacing w:after="0" w:line="240" w:lineRule="auto"/>
      </w:pPr>
      <w:r>
        <w:separator/>
      </w:r>
    </w:p>
  </w:footnote>
  <w:footnote w:type="continuationSeparator" w:id="0">
    <w:p w14:paraId="19FE568E" w14:textId="77777777" w:rsidR="00DF52B6" w:rsidRDefault="00DF52B6" w:rsidP="009D5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3003F1"/>
    <w:rsid w:val="000237B7"/>
    <w:rsid w:val="00032B2C"/>
    <w:rsid w:val="00043CFE"/>
    <w:rsid w:val="00047184"/>
    <w:rsid w:val="00064FF3"/>
    <w:rsid w:val="00087E72"/>
    <w:rsid w:val="00110FD5"/>
    <w:rsid w:val="00117C3D"/>
    <w:rsid w:val="001245F6"/>
    <w:rsid w:val="001462E5"/>
    <w:rsid w:val="00163928"/>
    <w:rsid w:val="001765A2"/>
    <w:rsid w:val="001C2593"/>
    <w:rsid w:val="001D2BD3"/>
    <w:rsid w:val="00224BFB"/>
    <w:rsid w:val="00226367"/>
    <w:rsid w:val="00237C71"/>
    <w:rsid w:val="00240915"/>
    <w:rsid w:val="00240C90"/>
    <w:rsid w:val="00241A94"/>
    <w:rsid w:val="00265016"/>
    <w:rsid w:val="002D0776"/>
    <w:rsid w:val="00304CB6"/>
    <w:rsid w:val="00344BD5"/>
    <w:rsid w:val="00372AAE"/>
    <w:rsid w:val="00384431"/>
    <w:rsid w:val="00392AB8"/>
    <w:rsid w:val="003C5975"/>
    <w:rsid w:val="003D50F9"/>
    <w:rsid w:val="003E19DE"/>
    <w:rsid w:val="003E29EB"/>
    <w:rsid w:val="003E4EB3"/>
    <w:rsid w:val="0040436C"/>
    <w:rsid w:val="00421CBF"/>
    <w:rsid w:val="004258C8"/>
    <w:rsid w:val="00433E8C"/>
    <w:rsid w:val="00455083"/>
    <w:rsid w:val="004C1FA3"/>
    <w:rsid w:val="004E2623"/>
    <w:rsid w:val="0051145A"/>
    <w:rsid w:val="00535344"/>
    <w:rsid w:val="00542953"/>
    <w:rsid w:val="00542B83"/>
    <w:rsid w:val="00562DCA"/>
    <w:rsid w:val="005D5CAA"/>
    <w:rsid w:val="005E40BC"/>
    <w:rsid w:val="00617C67"/>
    <w:rsid w:val="00670F30"/>
    <w:rsid w:val="006F5A41"/>
    <w:rsid w:val="00714BA1"/>
    <w:rsid w:val="007254CF"/>
    <w:rsid w:val="00790976"/>
    <w:rsid w:val="007B6470"/>
    <w:rsid w:val="00826A4F"/>
    <w:rsid w:val="00856281"/>
    <w:rsid w:val="00864E5F"/>
    <w:rsid w:val="008816D7"/>
    <w:rsid w:val="00894C22"/>
    <w:rsid w:val="008A00C8"/>
    <w:rsid w:val="008B5C2D"/>
    <w:rsid w:val="0097034F"/>
    <w:rsid w:val="00975E55"/>
    <w:rsid w:val="00981469"/>
    <w:rsid w:val="009949E7"/>
    <w:rsid w:val="009A3281"/>
    <w:rsid w:val="009B327E"/>
    <w:rsid w:val="009D5328"/>
    <w:rsid w:val="009E373C"/>
    <w:rsid w:val="009E3AD7"/>
    <w:rsid w:val="00A039B4"/>
    <w:rsid w:val="00A63F99"/>
    <w:rsid w:val="00A91195"/>
    <w:rsid w:val="00AC35F6"/>
    <w:rsid w:val="00B34475"/>
    <w:rsid w:val="00B74E41"/>
    <w:rsid w:val="00B815BC"/>
    <w:rsid w:val="00BB2FE1"/>
    <w:rsid w:val="00BB5610"/>
    <w:rsid w:val="00C349FB"/>
    <w:rsid w:val="00C6552B"/>
    <w:rsid w:val="00C71B7A"/>
    <w:rsid w:val="00CC083F"/>
    <w:rsid w:val="00D25B82"/>
    <w:rsid w:val="00D91ACB"/>
    <w:rsid w:val="00DF52B6"/>
    <w:rsid w:val="00E1380E"/>
    <w:rsid w:val="00E31A35"/>
    <w:rsid w:val="00E6798B"/>
    <w:rsid w:val="00E70E24"/>
    <w:rsid w:val="00E90A51"/>
    <w:rsid w:val="00EA14E8"/>
    <w:rsid w:val="00ED70A3"/>
    <w:rsid w:val="00F07A02"/>
    <w:rsid w:val="00F35DC3"/>
    <w:rsid w:val="00F40813"/>
    <w:rsid w:val="00F56B94"/>
    <w:rsid w:val="00F56E00"/>
    <w:rsid w:val="00FE3CC8"/>
    <w:rsid w:val="4730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003F1"/>
  <w15:chartTrackingRefBased/>
  <w15:docId w15:val="{85A4E1F5-7743-40F3-ABB0-FD01851D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3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3A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7B6470"/>
    <w:pPr>
      <w:keepNext/>
      <w:keepLines/>
      <w:spacing w:before="200" w:after="200" w:line="240" w:lineRule="auto"/>
      <w:outlineLvl w:val="2"/>
    </w:pPr>
    <w:rPr>
      <w:rFonts w:ascii="Arial" w:eastAsia="MS Gothic" w:hAnsi="Arial" w:cs="Arial"/>
      <w:b/>
      <w:bCs/>
      <w:spacing w:val="-4"/>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328"/>
  </w:style>
  <w:style w:type="paragraph" w:styleId="Footer">
    <w:name w:val="footer"/>
    <w:basedOn w:val="Normal"/>
    <w:link w:val="FooterChar"/>
    <w:uiPriority w:val="99"/>
    <w:unhideWhenUsed/>
    <w:rsid w:val="009D5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328"/>
  </w:style>
  <w:style w:type="paragraph" w:styleId="Title">
    <w:name w:val="Title"/>
    <w:basedOn w:val="Normal"/>
    <w:next w:val="Normal"/>
    <w:link w:val="TitleChar"/>
    <w:uiPriority w:val="10"/>
    <w:qFormat/>
    <w:rsid w:val="009D5328"/>
    <w:pPr>
      <w:pBdr>
        <w:bottom w:val="single" w:sz="8" w:space="4" w:color="4F81BD"/>
      </w:pBdr>
      <w:spacing w:after="300" w:line="240" w:lineRule="auto"/>
      <w:contextualSpacing/>
    </w:pPr>
    <w:rPr>
      <w:rFonts w:ascii="Arial" w:eastAsia="MS Gothic" w:hAnsi="Arial" w:cs="Arial"/>
      <w:b/>
      <w:spacing w:val="5"/>
      <w:kern w:val="28"/>
      <w:sz w:val="52"/>
      <w:szCs w:val="52"/>
      <w:lang w:val="en-AU"/>
    </w:rPr>
  </w:style>
  <w:style w:type="character" w:customStyle="1" w:styleId="TitleChar">
    <w:name w:val="Title Char"/>
    <w:basedOn w:val="DefaultParagraphFont"/>
    <w:link w:val="Title"/>
    <w:uiPriority w:val="10"/>
    <w:rsid w:val="009D5328"/>
    <w:rPr>
      <w:rFonts w:ascii="Arial" w:eastAsia="MS Gothic" w:hAnsi="Arial" w:cs="Arial"/>
      <w:b/>
      <w:spacing w:val="5"/>
      <w:kern w:val="28"/>
      <w:sz w:val="52"/>
      <w:szCs w:val="52"/>
      <w:lang w:val="en-AU"/>
    </w:rPr>
  </w:style>
  <w:style w:type="paragraph" w:styleId="Subtitle">
    <w:name w:val="Subtitle"/>
    <w:basedOn w:val="Heading1"/>
    <w:next w:val="Normal"/>
    <w:link w:val="SubtitleChar"/>
    <w:uiPriority w:val="11"/>
    <w:qFormat/>
    <w:rsid w:val="009D5328"/>
    <w:pPr>
      <w:spacing w:before="480" w:after="200" w:line="240" w:lineRule="auto"/>
    </w:pPr>
    <w:rPr>
      <w:rFonts w:ascii="Arial" w:eastAsia="MS Gothic" w:hAnsi="Arial" w:cs="Times New Roman"/>
      <w:b/>
      <w:bCs/>
      <w:color w:val="auto"/>
      <w:spacing w:val="-4"/>
      <w:sz w:val="36"/>
      <w:lang w:val="en-AU"/>
    </w:rPr>
  </w:style>
  <w:style w:type="character" w:customStyle="1" w:styleId="SubtitleChar">
    <w:name w:val="Subtitle Char"/>
    <w:basedOn w:val="DefaultParagraphFont"/>
    <w:link w:val="Subtitle"/>
    <w:uiPriority w:val="11"/>
    <w:rsid w:val="009D5328"/>
    <w:rPr>
      <w:rFonts w:ascii="Arial" w:eastAsia="MS Gothic" w:hAnsi="Arial" w:cs="Times New Roman"/>
      <w:b/>
      <w:bCs/>
      <w:spacing w:val="-4"/>
      <w:sz w:val="36"/>
      <w:szCs w:val="32"/>
      <w:lang w:val="en-AU"/>
    </w:rPr>
  </w:style>
  <w:style w:type="character" w:customStyle="1" w:styleId="Heading1Char">
    <w:name w:val="Heading 1 Char"/>
    <w:basedOn w:val="DefaultParagraphFont"/>
    <w:link w:val="Heading1"/>
    <w:uiPriority w:val="9"/>
    <w:rsid w:val="009D5328"/>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087E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7E72"/>
    <w:rPr>
      <w:sz w:val="20"/>
      <w:szCs w:val="20"/>
    </w:rPr>
  </w:style>
  <w:style w:type="character" w:styleId="EndnoteReference">
    <w:name w:val="endnote reference"/>
    <w:basedOn w:val="DefaultParagraphFont"/>
    <w:uiPriority w:val="99"/>
    <w:semiHidden/>
    <w:unhideWhenUsed/>
    <w:rsid w:val="00087E72"/>
    <w:rPr>
      <w:vertAlign w:val="superscript"/>
    </w:rPr>
  </w:style>
  <w:style w:type="character" w:customStyle="1" w:styleId="Heading3Char">
    <w:name w:val="Heading 3 Char"/>
    <w:basedOn w:val="DefaultParagraphFont"/>
    <w:link w:val="Heading3"/>
    <w:uiPriority w:val="9"/>
    <w:rsid w:val="007B6470"/>
    <w:rPr>
      <w:rFonts w:ascii="Arial" w:eastAsia="MS Gothic" w:hAnsi="Arial" w:cs="Arial"/>
      <w:b/>
      <w:bCs/>
      <w:spacing w:val="-4"/>
      <w:sz w:val="28"/>
      <w:szCs w:val="24"/>
      <w:lang w:val="en-AU"/>
    </w:rPr>
  </w:style>
  <w:style w:type="character" w:customStyle="1" w:styleId="Heading2Char">
    <w:name w:val="Heading 2 Char"/>
    <w:basedOn w:val="DefaultParagraphFont"/>
    <w:link w:val="Heading2"/>
    <w:uiPriority w:val="9"/>
    <w:rsid w:val="009E3AD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E29EB"/>
    <w:pPr>
      <w:spacing w:after="0" w:line="240" w:lineRule="auto"/>
    </w:pPr>
    <w:rPr>
      <w:rFonts w:ascii="Cambria" w:eastAsia="MS Mincho" w:hAnsi="Cambria"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29EB"/>
    <w:pPr>
      <w:spacing w:before="60" w:after="60" w:line="240" w:lineRule="auto"/>
    </w:pPr>
    <w:rPr>
      <w:rFonts w:ascii="Arial" w:eastAsia="MS Mincho" w:hAnsi="Arial" w:cs="Arial"/>
      <w:spacing w:val="-4"/>
      <w:sz w:val="24"/>
      <w:szCs w:val="24"/>
      <w:lang w:val="en-AU"/>
    </w:rPr>
  </w:style>
  <w:style w:type="paragraph" w:styleId="FootnoteText">
    <w:name w:val="footnote text"/>
    <w:basedOn w:val="Normal"/>
    <w:link w:val="FootnoteTextChar"/>
    <w:uiPriority w:val="99"/>
    <w:unhideWhenUsed/>
    <w:rsid w:val="00E1380E"/>
    <w:pPr>
      <w:spacing w:after="60" w:line="240" w:lineRule="auto"/>
    </w:pPr>
    <w:rPr>
      <w:rFonts w:ascii="Arial" w:eastAsia="MS Mincho" w:hAnsi="Arial" w:cs="Arial"/>
      <w:spacing w:val="-4"/>
      <w:sz w:val="16"/>
      <w:szCs w:val="24"/>
      <w:lang w:val="en-AU"/>
    </w:rPr>
  </w:style>
  <w:style w:type="character" w:customStyle="1" w:styleId="FootnoteTextChar">
    <w:name w:val="Footnote Text Char"/>
    <w:basedOn w:val="DefaultParagraphFont"/>
    <w:link w:val="FootnoteText"/>
    <w:uiPriority w:val="99"/>
    <w:rsid w:val="00E1380E"/>
    <w:rPr>
      <w:rFonts w:ascii="Arial" w:eastAsia="MS Mincho" w:hAnsi="Arial" w:cs="Arial"/>
      <w:spacing w:val="-4"/>
      <w:sz w:val="16"/>
      <w:szCs w:val="24"/>
      <w:lang w:val="en-AU"/>
    </w:rPr>
  </w:style>
  <w:style w:type="character" w:styleId="FootnoteReference">
    <w:name w:val="footnote reference"/>
    <w:uiPriority w:val="99"/>
    <w:unhideWhenUsed/>
    <w:rsid w:val="00E1380E"/>
    <w:rPr>
      <w:rFonts w:ascii="Arial" w:hAnsi="Arial"/>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3994">
      <w:bodyDiv w:val="1"/>
      <w:marLeft w:val="0"/>
      <w:marRight w:val="0"/>
      <w:marTop w:val="0"/>
      <w:marBottom w:val="0"/>
      <w:divBdr>
        <w:top w:val="none" w:sz="0" w:space="0" w:color="auto"/>
        <w:left w:val="none" w:sz="0" w:space="0" w:color="auto"/>
        <w:bottom w:val="none" w:sz="0" w:space="0" w:color="auto"/>
        <w:right w:val="none" w:sz="0" w:space="0" w:color="auto"/>
      </w:divBdr>
    </w:div>
    <w:div w:id="302807033">
      <w:bodyDiv w:val="1"/>
      <w:marLeft w:val="0"/>
      <w:marRight w:val="0"/>
      <w:marTop w:val="0"/>
      <w:marBottom w:val="0"/>
      <w:divBdr>
        <w:top w:val="none" w:sz="0" w:space="0" w:color="auto"/>
        <w:left w:val="none" w:sz="0" w:space="0" w:color="auto"/>
        <w:bottom w:val="none" w:sz="0" w:space="0" w:color="auto"/>
        <w:right w:val="none" w:sz="0" w:space="0" w:color="auto"/>
      </w:divBdr>
    </w:div>
    <w:div w:id="400636449">
      <w:bodyDiv w:val="1"/>
      <w:marLeft w:val="0"/>
      <w:marRight w:val="0"/>
      <w:marTop w:val="0"/>
      <w:marBottom w:val="0"/>
      <w:divBdr>
        <w:top w:val="none" w:sz="0" w:space="0" w:color="auto"/>
        <w:left w:val="none" w:sz="0" w:space="0" w:color="auto"/>
        <w:bottom w:val="none" w:sz="0" w:space="0" w:color="auto"/>
        <w:right w:val="none" w:sz="0" w:space="0" w:color="auto"/>
      </w:divBdr>
    </w:div>
    <w:div w:id="544101764">
      <w:bodyDiv w:val="1"/>
      <w:marLeft w:val="0"/>
      <w:marRight w:val="0"/>
      <w:marTop w:val="0"/>
      <w:marBottom w:val="0"/>
      <w:divBdr>
        <w:top w:val="none" w:sz="0" w:space="0" w:color="auto"/>
        <w:left w:val="none" w:sz="0" w:space="0" w:color="auto"/>
        <w:bottom w:val="none" w:sz="0" w:space="0" w:color="auto"/>
        <w:right w:val="none" w:sz="0" w:space="0" w:color="auto"/>
      </w:divBdr>
    </w:div>
    <w:div w:id="547229341">
      <w:bodyDiv w:val="1"/>
      <w:marLeft w:val="0"/>
      <w:marRight w:val="0"/>
      <w:marTop w:val="0"/>
      <w:marBottom w:val="0"/>
      <w:divBdr>
        <w:top w:val="none" w:sz="0" w:space="0" w:color="auto"/>
        <w:left w:val="none" w:sz="0" w:space="0" w:color="auto"/>
        <w:bottom w:val="none" w:sz="0" w:space="0" w:color="auto"/>
        <w:right w:val="none" w:sz="0" w:space="0" w:color="auto"/>
      </w:divBdr>
    </w:div>
    <w:div w:id="605575459">
      <w:bodyDiv w:val="1"/>
      <w:marLeft w:val="0"/>
      <w:marRight w:val="0"/>
      <w:marTop w:val="0"/>
      <w:marBottom w:val="0"/>
      <w:divBdr>
        <w:top w:val="none" w:sz="0" w:space="0" w:color="auto"/>
        <w:left w:val="none" w:sz="0" w:space="0" w:color="auto"/>
        <w:bottom w:val="none" w:sz="0" w:space="0" w:color="auto"/>
        <w:right w:val="none" w:sz="0" w:space="0" w:color="auto"/>
      </w:divBdr>
    </w:div>
    <w:div w:id="645285316">
      <w:bodyDiv w:val="1"/>
      <w:marLeft w:val="0"/>
      <w:marRight w:val="0"/>
      <w:marTop w:val="0"/>
      <w:marBottom w:val="0"/>
      <w:divBdr>
        <w:top w:val="none" w:sz="0" w:space="0" w:color="auto"/>
        <w:left w:val="none" w:sz="0" w:space="0" w:color="auto"/>
        <w:bottom w:val="none" w:sz="0" w:space="0" w:color="auto"/>
        <w:right w:val="none" w:sz="0" w:space="0" w:color="auto"/>
      </w:divBdr>
    </w:div>
    <w:div w:id="676542827">
      <w:bodyDiv w:val="1"/>
      <w:marLeft w:val="0"/>
      <w:marRight w:val="0"/>
      <w:marTop w:val="0"/>
      <w:marBottom w:val="0"/>
      <w:divBdr>
        <w:top w:val="none" w:sz="0" w:space="0" w:color="auto"/>
        <w:left w:val="none" w:sz="0" w:space="0" w:color="auto"/>
        <w:bottom w:val="none" w:sz="0" w:space="0" w:color="auto"/>
        <w:right w:val="none" w:sz="0" w:space="0" w:color="auto"/>
      </w:divBdr>
    </w:div>
    <w:div w:id="722631705">
      <w:bodyDiv w:val="1"/>
      <w:marLeft w:val="0"/>
      <w:marRight w:val="0"/>
      <w:marTop w:val="0"/>
      <w:marBottom w:val="0"/>
      <w:divBdr>
        <w:top w:val="none" w:sz="0" w:space="0" w:color="auto"/>
        <w:left w:val="none" w:sz="0" w:space="0" w:color="auto"/>
        <w:bottom w:val="none" w:sz="0" w:space="0" w:color="auto"/>
        <w:right w:val="none" w:sz="0" w:space="0" w:color="auto"/>
      </w:divBdr>
    </w:div>
    <w:div w:id="730732299">
      <w:bodyDiv w:val="1"/>
      <w:marLeft w:val="0"/>
      <w:marRight w:val="0"/>
      <w:marTop w:val="0"/>
      <w:marBottom w:val="0"/>
      <w:divBdr>
        <w:top w:val="none" w:sz="0" w:space="0" w:color="auto"/>
        <w:left w:val="none" w:sz="0" w:space="0" w:color="auto"/>
        <w:bottom w:val="none" w:sz="0" w:space="0" w:color="auto"/>
        <w:right w:val="none" w:sz="0" w:space="0" w:color="auto"/>
      </w:divBdr>
    </w:div>
    <w:div w:id="841622296">
      <w:bodyDiv w:val="1"/>
      <w:marLeft w:val="0"/>
      <w:marRight w:val="0"/>
      <w:marTop w:val="0"/>
      <w:marBottom w:val="0"/>
      <w:divBdr>
        <w:top w:val="none" w:sz="0" w:space="0" w:color="auto"/>
        <w:left w:val="none" w:sz="0" w:space="0" w:color="auto"/>
        <w:bottom w:val="none" w:sz="0" w:space="0" w:color="auto"/>
        <w:right w:val="none" w:sz="0" w:space="0" w:color="auto"/>
      </w:divBdr>
    </w:div>
    <w:div w:id="852306065">
      <w:bodyDiv w:val="1"/>
      <w:marLeft w:val="0"/>
      <w:marRight w:val="0"/>
      <w:marTop w:val="0"/>
      <w:marBottom w:val="0"/>
      <w:divBdr>
        <w:top w:val="none" w:sz="0" w:space="0" w:color="auto"/>
        <w:left w:val="none" w:sz="0" w:space="0" w:color="auto"/>
        <w:bottom w:val="none" w:sz="0" w:space="0" w:color="auto"/>
        <w:right w:val="none" w:sz="0" w:space="0" w:color="auto"/>
      </w:divBdr>
    </w:div>
    <w:div w:id="875847111">
      <w:bodyDiv w:val="1"/>
      <w:marLeft w:val="0"/>
      <w:marRight w:val="0"/>
      <w:marTop w:val="0"/>
      <w:marBottom w:val="0"/>
      <w:divBdr>
        <w:top w:val="none" w:sz="0" w:space="0" w:color="auto"/>
        <w:left w:val="none" w:sz="0" w:space="0" w:color="auto"/>
        <w:bottom w:val="none" w:sz="0" w:space="0" w:color="auto"/>
        <w:right w:val="none" w:sz="0" w:space="0" w:color="auto"/>
      </w:divBdr>
    </w:div>
    <w:div w:id="1241014890">
      <w:bodyDiv w:val="1"/>
      <w:marLeft w:val="0"/>
      <w:marRight w:val="0"/>
      <w:marTop w:val="0"/>
      <w:marBottom w:val="0"/>
      <w:divBdr>
        <w:top w:val="none" w:sz="0" w:space="0" w:color="auto"/>
        <w:left w:val="none" w:sz="0" w:space="0" w:color="auto"/>
        <w:bottom w:val="none" w:sz="0" w:space="0" w:color="auto"/>
        <w:right w:val="none" w:sz="0" w:space="0" w:color="auto"/>
      </w:divBdr>
    </w:div>
    <w:div w:id="1311520442">
      <w:bodyDiv w:val="1"/>
      <w:marLeft w:val="0"/>
      <w:marRight w:val="0"/>
      <w:marTop w:val="0"/>
      <w:marBottom w:val="0"/>
      <w:divBdr>
        <w:top w:val="none" w:sz="0" w:space="0" w:color="auto"/>
        <w:left w:val="none" w:sz="0" w:space="0" w:color="auto"/>
        <w:bottom w:val="none" w:sz="0" w:space="0" w:color="auto"/>
        <w:right w:val="none" w:sz="0" w:space="0" w:color="auto"/>
      </w:divBdr>
    </w:div>
    <w:div w:id="1379166901">
      <w:bodyDiv w:val="1"/>
      <w:marLeft w:val="0"/>
      <w:marRight w:val="0"/>
      <w:marTop w:val="0"/>
      <w:marBottom w:val="0"/>
      <w:divBdr>
        <w:top w:val="none" w:sz="0" w:space="0" w:color="auto"/>
        <w:left w:val="none" w:sz="0" w:space="0" w:color="auto"/>
        <w:bottom w:val="none" w:sz="0" w:space="0" w:color="auto"/>
        <w:right w:val="none" w:sz="0" w:space="0" w:color="auto"/>
      </w:divBdr>
    </w:div>
    <w:div w:id="1522275610">
      <w:bodyDiv w:val="1"/>
      <w:marLeft w:val="0"/>
      <w:marRight w:val="0"/>
      <w:marTop w:val="0"/>
      <w:marBottom w:val="0"/>
      <w:divBdr>
        <w:top w:val="none" w:sz="0" w:space="0" w:color="auto"/>
        <w:left w:val="none" w:sz="0" w:space="0" w:color="auto"/>
        <w:bottom w:val="none" w:sz="0" w:space="0" w:color="auto"/>
        <w:right w:val="none" w:sz="0" w:space="0" w:color="auto"/>
      </w:divBdr>
    </w:div>
    <w:div w:id="1615210848">
      <w:bodyDiv w:val="1"/>
      <w:marLeft w:val="0"/>
      <w:marRight w:val="0"/>
      <w:marTop w:val="0"/>
      <w:marBottom w:val="0"/>
      <w:divBdr>
        <w:top w:val="none" w:sz="0" w:space="0" w:color="auto"/>
        <w:left w:val="none" w:sz="0" w:space="0" w:color="auto"/>
        <w:bottom w:val="none" w:sz="0" w:space="0" w:color="auto"/>
        <w:right w:val="none" w:sz="0" w:space="0" w:color="auto"/>
      </w:divBdr>
    </w:div>
    <w:div w:id="1632857571">
      <w:bodyDiv w:val="1"/>
      <w:marLeft w:val="0"/>
      <w:marRight w:val="0"/>
      <w:marTop w:val="0"/>
      <w:marBottom w:val="0"/>
      <w:divBdr>
        <w:top w:val="none" w:sz="0" w:space="0" w:color="auto"/>
        <w:left w:val="none" w:sz="0" w:space="0" w:color="auto"/>
        <w:bottom w:val="none" w:sz="0" w:space="0" w:color="auto"/>
        <w:right w:val="none" w:sz="0" w:space="0" w:color="auto"/>
      </w:divBdr>
    </w:div>
    <w:div w:id="1643079934">
      <w:bodyDiv w:val="1"/>
      <w:marLeft w:val="0"/>
      <w:marRight w:val="0"/>
      <w:marTop w:val="0"/>
      <w:marBottom w:val="0"/>
      <w:divBdr>
        <w:top w:val="none" w:sz="0" w:space="0" w:color="auto"/>
        <w:left w:val="none" w:sz="0" w:space="0" w:color="auto"/>
        <w:bottom w:val="none" w:sz="0" w:space="0" w:color="auto"/>
        <w:right w:val="none" w:sz="0" w:space="0" w:color="auto"/>
      </w:divBdr>
    </w:div>
    <w:div w:id="1646397984">
      <w:bodyDiv w:val="1"/>
      <w:marLeft w:val="0"/>
      <w:marRight w:val="0"/>
      <w:marTop w:val="0"/>
      <w:marBottom w:val="0"/>
      <w:divBdr>
        <w:top w:val="none" w:sz="0" w:space="0" w:color="auto"/>
        <w:left w:val="none" w:sz="0" w:space="0" w:color="auto"/>
        <w:bottom w:val="none" w:sz="0" w:space="0" w:color="auto"/>
        <w:right w:val="none" w:sz="0" w:space="0" w:color="auto"/>
      </w:divBdr>
    </w:div>
    <w:div w:id="1791128622">
      <w:bodyDiv w:val="1"/>
      <w:marLeft w:val="0"/>
      <w:marRight w:val="0"/>
      <w:marTop w:val="0"/>
      <w:marBottom w:val="0"/>
      <w:divBdr>
        <w:top w:val="none" w:sz="0" w:space="0" w:color="auto"/>
        <w:left w:val="none" w:sz="0" w:space="0" w:color="auto"/>
        <w:bottom w:val="none" w:sz="0" w:space="0" w:color="auto"/>
        <w:right w:val="none" w:sz="0" w:space="0" w:color="auto"/>
      </w:divBdr>
    </w:div>
    <w:div w:id="2023891437">
      <w:bodyDiv w:val="1"/>
      <w:marLeft w:val="0"/>
      <w:marRight w:val="0"/>
      <w:marTop w:val="0"/>
      <w:marBottom w:val="0"/>
      <w:divBdr>
        <w:top w:val="none" w:sz="0" w:space="0" w:color="auto"/>
        <w:left w:val="none" w:sz="0" w:space="0" w:color="auto"/>
        <w:bottom w:val="none" w:sz="0" w:space="0" w:color="auto"/>
        <w:right w:val="none" w:sz="0" w:space="0" w:color="auto"/>
      </w:divBdr>
    </w:div>
    <w:div w:id="2035113383">
      <w:bodyDiv w:val="1"/>
      <w:marLeft w:val="0"/>
      <w:marRight w:val="0"/>
      <w:marTop w:val="0"/>
      <w:marBottom w:val="0"/>
      <w:divBdr>
        <w:top w:val="none" w:sz="0" w:space="0" w:color="auto"/>
        <w:left w:val="none" w:sz="0" w:space="0" w:color="auto"/>
        <w:bottom w:val="none" w:sz="0" w:space="0" w:color="auto"/>
        <w:right w:val="none" w:sz="0" w:space="0" w:color="auto"/>
      </w:divBdr>
    </w:div>
    <w:div w:id="204532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1C124DEDA69E9741A93FEE8CEDDD8130" ma:contentTypeVersion="29" ma:contentTypeDescription="DEDJTR Document" ma:contentTypeScope="" ma:versionID="c62ccc16d1defa3e2e3d23a9469e44bc">
  <xsd:schema xmlns:xsd="http://www.w3.org/2001/XMLSchema" xmlns:xs="http://www.w3.org/2001/XMLSchema" xmlns:p="http://schemas.microsoft.com/office/2006/metadata/properties" xmlns:ns2="1970f3ff-c7c3-4b73-8f0c-0bc260d159f3" xmlns:ns3="620eb5da-c6d3-451c-9903-f568d8f02820" xmlns:ns4="029c08ca-17ba-47d3-a4d3-5c72257ad7c4" targetNamespace="http://schemas.microsoft.com/office/2006/metadata/properties" ma:root="true" ma:fieldsID="ac40016c9f0656421e16f24990aa5977" ns2:_="" ns3:_="" ns4:_="">
    <xsd:import namespace="1970f3ff-c7c3-4b73-8f0c-0bc260d159f3"/>
    <xsd:import namespace="620eb5da-c6d3-451c-9903-f568d8f02820"/>
    <xsd:import namespace="029c08ca-17ba-47d3-a4d3-5c72257ad7c4"/>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0eb5da-c6d3-451c-9903-f568d8f0282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a190c1d-006d-4a7f-81da-7ce67af7bc86}" ma:internalName="TaxCatchAll" ma:showField="CatchAllData" ma:web="620eb5da-c6d3-451c-9903-f568d8f028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a190c1d-006d-4a7f-81da-7ce67af7bc86}" ma:internalName="TaxCatchAllLabel" ma:readOnly="true" ma:showField="CatchAllDataLabel" ma:web="620eb5da-c6d3-451c-9903-f568d8f028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c08ca-17ba-47d3-a4d3-5c72257ad7c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TaxCatchAll xmlns="620eb5da-c6d3-451c-9903-f568d8f02820" xsi:nil="true"/>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lcf76f155ced4ddcb4097134ff3c332f xmlns="029c08ca-17ba-47d3-a4d3-5c72257ad7c4">
      <Terms xmlns="http://schemas.microsoft.com/office/infopath/2007/PartnerControls"/>
    </lcf76f155ced4ddcb4097134ff3c332f>
    <g46a9f61d38540a784cfecbd3da27bca xmlns="1970f3ff-c7c3-4b73-8f0c-0bc260d159f3">
      <Terms xmlns="http://schemas.microsoft.com/office/infopath/2007/PartnerControls"/>
    </g46a9f61d38540a784cfecbd3da27bca>
    <SharedWithUsers xmlns="620eb5da-c6d3-451c-9903-f568d8f02820">
      <UserInfo>
        <DisplayName>Darcy O Osborne (DJSIR)</DisplayName>
        <AccountId>1379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C823B-4FA3-4F80-A68A-FCD8531F2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620eb5da-c6d3-451c-9903-f568d8f02820"/>
    <ds:schemaRef ds:uri="029c08ca-17ba-47d3-a4d3-5c72257ad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152BC-B96A-4DA2-B063-D2549209999D}">
  <ds:schemaRefs>
    <ds:schemaRef ds:uri="620eb5da-c6d3-451c-9903-f568d8f02820"/>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29c08ca-17ba-47d3-a4d3-5c72257ad7c4"/>
    <ds:schemaRef ds:uri="http://purl.org/dc/elements/1.1/"/>
    <ds:schemaRef ds:uri="http://schemas.microsoft.com/office/2006/metadata/properties"/>
    <ds:schemaRef ds:uri="1970f3ff-c7c3-4b73-8f0c-0bc260d159f3"/>
    <ds:schemaRef ds:uri="http://www.w3.org/XML/1998/namespace"/>
    <ds:schemaRef ds:uri="http://purl.org/dc/dcmitype/"/>
  </ds:schemaRefs>
</ds:datastoreItem>
</file>

<file path=customXml/itemProps3.xml><?xml version="1.0" encoding="utf-8"?>
<ds:datastoreItem xmlns:ds="http://schemas.openxmlformats.org/officeDocument/2006/customXml" ds:itemID="{B6C18351-E4F6-458C-8CAD-F05FAB72B3C0}">
  <ds:schemaRefs>
    <ds:schemaRef ds:uri="http://schemas.microsoft.com/sharepoint/v3/contenttype/forms"/>
  </ds:schemaRefs>
</ds:datastoreItem>
</file>

<file path=customXml/itemProps4.xml><?xml version="1.0" encoding="utf-8"?>
<ds:datastoreItem xmlns:ds="http://schemas.openxmlformats.org/officeDocument/2006/customXml" ds:itemID="{784C3AB7-DF65-4096-A870-CA81358E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S Sihombing (DJSIR)</dc:creator>
  <cp:keywords/>
  <dc:description/>
  <cp:lastModifiedBy>Rui S Sihombing (DJSIR)</cp:lastModifiedBy>
  <cp:revision>101</cp:revision>
  <dcterms:created xsi:type="dcterms:W3CDTF">2023-10-06T00:54:00Z</dcterms:created>
  <dcterms:modified xsi:type="dcterms:W3CDTF">2023-10-25T04:47:00Z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0x010100611F6414DFB111E7BA88F9DF1743E317001C124DEDA69E9741A93FEE8CEDDD8130</vt:lpwstr>
  </property>
  <property fmtid="{D5CDD505-2E9C-101B-9397-08002B2CF9AE}" pid="3" name="MSIP_Label_d00a4df9-c942-4b09-b23a-6c1023f6de27_Enabled">
    <vt:lpwstr>true</vt:lpwstr>
  </property>
  <property fmtid="{D5CDD505-2E9C-101B-9397-08002B2CF9AE}" pid="4" name="MSIP_Label_d00a4df9-c942-4b09-b23a-6c1023f6de27_SetDate">
    <vt:lpwstr>2023-10-06T01:02:29Z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2b686eac-47fc-49b3-82b4-5ed2079b22ea</vt:lpwstr>
  </property>
  <property fmtid="{D5CDD505-2E9C-101B-9397-08002B2CF9AE}" pid="9" name="MSIP_Label_d00a4df9-c942-4b09-b23a-6c1023f6de27_ContentBits">
    <vt:lpwstr>3</vt:lpwstr>
  </property>
  <property fmtid="{D5CDD505-2E9C-101B-9397-08002B2CF9AE}" pid="10" name="MediaServiceImageTags">
    <vt:lpwstr/>
  </property>
  <property fmtid="{D5CDD505-2E9C-101B-9397-08002B2CF9AE}" pid="11" name="DEDJTRSection">
    <vt:lpwstr/>
  </property>
  <property fmtid="{D5CDD505-2E9C-101B-9397-08002B2CF9AE}" pid="12" name="DEDJTRGroup">
    <vt:lpwstr/>
  </property>
  <property fmtid="{D5CDD505-2E9C-101B-9397-08002B2CF9AE}" pid="13" name="DEDJTRSecurityClassification">
    <vt:lpwstr/>
  </property>
  <property fmtid="{D5CDD505-2E9C-101B-9397-08002B2CF9AE}" pid="14" name="DEDJTRDivision">
    <vt:lpwstr/>
  </property>
  <property fmtid="{D5CDD505-2E9C-101B-9397-08002B2CF9AE}" pid="15" name="DEDJTRBranch">
    <vt:lpwstr/>
  </property>
</Properties>
</file>