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7D2AC3ED" w:rsidR="009D5328" w:rsidRPr="001245F6" w:rsidRDefault="001E544A" w:rsidP="008A00C8">
      <w:pPr>
        <w:pStyle w:val="Title"/>
        <w:spacing w:before="100" w:beforeAutospacing="1" w:after="100" w:afterAutospacing="1"/>
      </w:pPr>
      <w:r>
        <w:t>Great South Coast</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013FB450"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1E544A">
        <w:rPr>
          <w:b w:val="0"/>
          <w:bCs w:val="0"/>
          <w:sz w:val="24"/>
          <w:szCs w:val="24"/>
        </w:rPr>
        <w:t>Great South Coast</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6B304EAB" w:rsidR="00B815BC" w:rsidRPr="00670F30" w:rsidRDefault="001E544A"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Great South Coast</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7066" w:type="dxa"/>
        <w:tblLook w:val="04A0" w:firstRow="1" w:lastRow="0" w:firstColumn="1" w:lastColumn="0" w:noHBand="0" w:noVBand="1"/>
      </w:tblPr>
      <w:tblGrid>
        <w:gridCol w:w="3533"/>
        <w:gridCol w:w="3533"/>
      </w:tblGrid>
      <w:tr w:rsidR="006A47AA" w:rsidRPr="00206BCF" w14:paraId="61327294" w14:textId="77777777" w:rsidTr="006A47AA">
        <w:trPr>
          <w:trHeight w:val="195"/>
        </w:trPr>
        <w:tc>
          <w:tcPr>
            <w:tcW w:w="3533" w:type="dxa"/>
            <w:vAlign w:val="center"/>
          </w:tcPr>
          <w:p w14:paraId="06856409" w14:textId="0429B6A7" w:rsidR="006A47AA" w:rsidRDefault="006A47AA" w:rsidP="006A47AA">
            <w:pPr>
              <w:pStyle w:val="TableCopy"/>
              <w:spacing w:before="100" w:beforeAutospacing="1" w:after="100" w:afterAutospacing="1"/>
            </w:pPr>
            <w:r w:rsidRPr="00206BCF">
              <w:t>Population (2020)</w:t>
            </w:r>
          </w:p>
        </w:tc>
        <w:tc>
          <w:tcPr>
            <w:tcW w:w="3533" w:type="dxa"/>
            <w:vAlign w:val="center"/>
          </w:tcPr>
          <w:p w14:paraId="453F8387" w14:textId="4E1B407A" w:rsidR="006A47AA" w:rsidRPr="00206BCF" w:rsidRDefault="006A47AA" w:rsidP="006A47AA">
            <w:pPr>
              <w:pStyle w:val="TableCopy"/>
              <w:spacing w:before="100" w:beforeAutospacing="1" w:after="100" w:afterAutospacing="1"/>
            </w:pPr>
            <w:r>
              <w:t>104,200</w:t>
            </w:r>
          </w:p>
        </w:tc>
      </w:tr>
      <w:tr w:rsidR="006A47AA" w:rsidRPr="00206BCF" w14:paraId="41F4F6A6" w14:textId="77777777" w:rsidTr="006A47AA">
        <w:trPr>
          <w:trHeight w:val="296"/>
        </w:trPr>
        <w:tc>
          <w:tcPr>
            <w:tcW w:w="3533" w:type="dxa"/>
            <w:vAlign w:val="center"/>
          </w:tcPr>
          <w:p w14:paraId="750CF964" w14:textId="4F50CB8E" w:rsidR="006A47AA" w:rsidRDefault="006A47AA" w:rsidP="006A47AA">
            <w:pPr>
              <w:pStyle w:val="TableCopy"/>
              <w:spacing w:before="100" w:beforeAutospacing="1" w:after="100" w:afterAutospacing="1"/>
            </w:pPr>
            <w:r w:rsidRPr="00206BCF">
              <w:t>Population growth (2011-20)</w:t>
            </w:r>
          </w:p>
        </w:tc>
        <w:tc>
          <w:tcPr>
            <w:tcW w:w="3533" w:type="dxa"/>
            <w:vAlign w:val="center"/>
          </w:tcPr>
          <w:p w14:paraId="6762877B" w14:textId="51B70378" w:rsidR="006A47AA" w:rsidRPr="00206BCF" w:rsidRDefault="006A47AA" w:rsidP="006A47AA">
            <w:pPr>
              <w:pStyle w:val="TableCopy"/>
              <w:spacing w:before="100" w:beforeAutospacing="1" w:after="100" w:afterAutospacing="1"/>
            </w:pPr>
            <w:r>
              <w:t>2.4%</w:t>
            </w:r>
          </w:p>
        </w:tc>
      </w:tr>
      <w:tr w:rsidR="006A47AA" w:rsidRPr="00206BCF" w14:paraId="3928B135" w14:textId="77777777" w:rsidTr="006A47AA">
        <w:trPr>
          <w:trHeight w:val="195"/>
        </w:trPr>
        <w:tc>
          <w:tcPr>
            <w:tcW w:w="3533" w:type="dxa"/>
            <w:vAlign w:val="center"/>
          </w:tcPr>
          <w:p w14:paraId="7959F30B" w14:textId="699DEAD6" w:rsidR="006A47AA" w:rsidRDefault="006A47AA" w:rsidP="006A47AA">
            <w:pPr>
              <w:pStyle w:val="TableCopy"/>
              <w:spacing w:before="100" w:beforeAutospacing="1" w:after="100" w:afterAutospacing="1"/>
            </w:pPr>
            <w:r w:rsidRPr="00206BCF">
              <w:t>Gross regional product (2020)</w:t>
            </w:r>
          </w:p>
        </w:tc>
        <w:tc>
          <w:tcPr>
            <w:tcW w:w="3533" w:type="dxa"/>
            <w:vAlign w:val="center"/>
          </w:tcPr>
          <w:p w14:paraId="0CD69990" w14:textId="0636A4B9" w:rsidR="006A47AA" w:rsidRPr="00206BCF" w:rsidRDefault="006A47AA" w:rsidP="006A47AA">
            <w:pPr>
              <w:pStyle w:val="TableCopy"/>
              <w:spacing w:before="100" w:beforeAutospacing="1" w:after="100" w:afterAutospacing="1"/>
            </w:pPr>
            <w:r>
              <w:t>$5.8 Billion</w:t>
            </w:r>
          </w:p>
        </w:tc>
      </w:tr>
    </w:tbl>
    <w:p w14:paraId="0731A137" w14:textId="19BA89D1"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1E544A">
        <w:rPr>
          <w:rFonts w:ascii="Arial" w:hAnsi="Arial" w:cs="Arial"/>
          <w:b/>
          <w:bCs/>
          <w:sz w:val="24"/>
          <w:szCs w:val="24"/>
        </w:rPr>
        <w:t>Great South Coast</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6511FEA2">
            <wp:extent cx="2478415" cy="2705100"/>
            <wp:effectExtent l="0" t="0" r="0" b="0"/>
            <wp:docPr id="1" name="Picture 1" descr="Map showing an overview of the Great South Coast Regional Partnership region and its location in Victoria. The Great South Coast region is made up of the Glenelg, Southern Grampians, Moyne, Warrnambool and Corangamite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Great South Coast Regional Partnership region and its location in Victoria. The Great South Coast region is made up of the Glenelg, Southern Grampians, Moyne, Warrnambool and Corangamite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78415" cy="2705100"/>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79C5AE1A" w:rsidR="00C349FB" w:rsidRPr="00E70028" w:rsidRDefault="001E544A" w:rsidP="008A00C8">
            <w:pPr>
              <w:pStyle w:val="TableCopy"/>
              <w:spacing w:before="100" w:beforeAutospacing="1" w:after="100" w:afterAutospacing="1"/>
            </w:pPr>
            <w:r>
              <w:t>Great South Coast</w:t>
            </w:r>
            <w:r w:rsidR="00C349FB" w:rsidRPr="00E70028">
              <w:t xml:space="preserve">: </w:t>
            </w:r>
            <w:r w:rsidR="007514C9">
              <w:t>3.9</w:t>
            </w:r>
            <w:r w:rsidR="00F56B94">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12F7A25C" w:rsidR="00C349FB" w:rsidRPr="00E70028" w:rsidRDefault="001E544A" w:rsidP="008A00C8">
            <w:pPr>
              <w:pStyle w:val="TableCopy"/>
              <w:spacing w:before="100" w:beforeAutospacing="1" w:after="100" w:afterAutospacing="1"/>
            </w:pPr>
            <w:r>
              <w:t>Great South Coast</w:t>
            </w:r>
            <w:r w:rsidR="00C349FB" w:rsidRPr="00E70028">
              <w:t xml:space="preserve">: </w:t>
            </w:r>
            <w:r w:rsidR="007514C9">
              <w:t>0.2</w:t>
            </w:r>
            <w:r w:rsidR="00542B83">
              <w:t>%</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58968DA9" w:rsidR="009E373C" w:rsidRPr="00395E30" w:rsidRDefault="00473AEC"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4EB45B75" w14:textId="22C55F91" w:rsidR="009E373C" w:rsidRPr="00395E30" w:rsidRDefault="00CF4D48" w:rsidP="008A00C8">
            <w:pPr>
              <w:pStyle w:val="TableCopy"/>
              <w:spacing w:before="100" w:beforeAutospacing="1" w:after="100" w:afterAutospacing="1"/>
              <w:rPr>
                <w:color w:val="000000"/>
              </w:rPr>
            </w:pPr>
            <w:r>
              <w:t>10,700</w:t>
            </w:r>
          </w:p>
        </w:tc>
      </w:tr>
      <w:tr w:rsidR="009E373C" w:rsidRPr="00395E30" w14:paraId="1356B36E" w14:textId="77777777" w:rsidTr="00ED2699">
        <w:tc>
          <w:tcPr>
            <w:tcW w:w="4248" w:type="dxa"/>
          </w:tcPr>
          <w:p w14:paraId="506E63A6" w14:textId="29D338BA" w:rsidR="009E373C" w:rsidRPr="00395E30" w:rsidRDefault="00473AEC" w:rsidP="008A00C8">
            <w:pPr>
              <w:pStyle w:val="TableCopy"/>
              <w:spacing w:before="100" w:beforeAutospacing="1" w:after="100" w:afterAutospacing="1"/>
            </w:pPr>
            <w:r>
              <w:t xml:space="preserve">Health care and social assistance </w:t>
            </w:r>
          </w:p>
        </w:tc>
        <w:tc>
          <w:tcPr>
            <w:tcW w:w="1698" w:type="dxa"/>
          </w:tcPr>
          <w:p w14:paraId="35F1ABC0" w14:textId="273409EB" w:rsidR="009E373C" w:rsidRPr="00395E30" w:rsidRDefault="00CF4D48" w:rsidP="008A00C8">
            <w:pPr>
              <w:pStyle w:val="TableCopy"/>
              <w:spacing w:before="100" w:beforeAutospacing="1" w:after="100" w:afterAutospacing="1"/>
              <w:rPr>
                <w:color w:val="000000"/>
              </w:rPr>
            </w:pPr>
            <w:r>
              <w:t>7,200</w:t>
            </w:r>
          </w:p>
        </w:tc>
      </w:tr>
      <w:tr w:rsidR="009E373C" w:rsidRPr="00395E30" w14:paraId="3ACF3E57" w14:textId="77777777" w:rsidTr="00ED2699">
        <w:tc>
          <w:tcPr>
            <w:tcW w:w="4248" w:type="dxa"/>
          </w:tcPr>
          <w:p w14:paraId="002E2BCD" w14:textId="43874660" w:rsidR="009E373C" w:rsidRPr="00395E30" w:rsidRDefault="00473AEC" w:rsidP="008A00C8">
            <w:pPr>
              <w:pStyle w:val="TableCopy"/>
              <w:spacing w:before="100" w:beforeAutospacing="1" w:after="100" w:afterAutospacing="1"/>
            </w:pPr>
            <w:r>
              <w:t xml:space="preserve">Retail trade </w:t>
            </w:r>
          </w:p>
        </w:tc>
        <w:tc>
          <w:tcPr>
            <w:tcW w:w="1698" w:type="dxa"/>
          </w:tcPr>
          <w:p w14:paraId="06530ABA" w14:textId="37A3A386" w:rsidR="009E373C" w:rsidRPr="00395E30" w:rsidRDefault="00CF4D48" w:rsidP="008A00C8">
            <w:pPr>
              <w:pStyle w:val="TableCopy"/>
              <w:spacing w:before="100" w:beforeAutospacing="1" w:after="100" w:afterAutospacing="1"/>
              <w:rPr>
                <w:color w:val="000000"/>
              </w:rPr>
            </w:pPr>
            <w:r>
              <w:t>4,800</w:t>
            </w:r>
          </w:p>
        </w:tc>
      </w:tr>
      <w:tr w:rsidR="009E373C" w:rsidRPr="00395E30" w14:paraId="5FA8F712" w14:textId="77777777" w:rsidTr="00ED2699">
        <w:tc>
          <w:tcPr>
            <w:tcW w:w="4248" w:type="dxa"/>
          </w:tcPr>
          <w:p w14:paraId="3B975D5E" w14:textId="55F575B5" w:rsidR="009E373C" w:rsidRPr="00395E30" w:rsidRDefault="00473AEC" w:rsidP="008A00C8">
            <w:pPr>
              <w:pStyle w:val="TableCopy"/>
              <w:spacing w:before="100" w:beforeAutospacing="1" w:after="100" w:afterAutospacing="1"/>
            </w:pPr>
            <w:r>
              <w:t xml:space="preserve">Manufacturing </w:t>
            </w:r>
          </w:p>
        </w:tc>
        <w:tc>
          <w:tcPr>
            <w:tcW w:w="1698" w:type="dxa"/>
          </w:tcPr>
          <w:p w14:paraId="38E5B6F7" w14:textId="44B18BAD" w:rsidR="009E373C" w:rsidRPr="00395E30" w:rsidRDefault="00CF4D48" w:rsidP="008A00C8">
            <w:pPr>
              <w:pStyle w:val="TableCopy"/>
              <w:spacing w:before="100" w:beforeAutospacing="1" w:after="100" w:afterAutospacing="1"/>
              <w:rPr>
                <w:color w:val="000000"/>
              </w:rPr>
            </w:pPr>
            <w:r>
              <w:t>4,600</w:t>
            </w:r>
          </w:p>
        </w:tc>
      </w:tr>
      <w:tr w:rsidR="009E373C" w:rsidRPr="00395E30" w14:paraId="2477695D" w14:textId="77777777" w:rsidTr="00ED2699">
        <w:tc>
          <w:tcPr>
            <w:tcW w:w="4248" w:type="dxa"/>
          </w:tcPr>
          <w:p w14:paraId="701B6978" w14:textId="70AACECC" w:rsidR="009E373C" w:rsidRPr="00395E30" w:rsidRDefault="00542BBC" w:rsidP="008A00C8">
            <w:pPr>
              <w:pStyle w:val="TableCopy"/>
              <w:spacing w:before="100" w:beforeAutospacing="1" w:after="100" w:afterAutospacing="1"/>
            </w:pPr>
            <w:r>
              <w:t xml:space="preserve">Education and training </w:t>
            </w:r>
          </w:p>
        </w:tc>
        <w:tc>
          <w:tcPr>
            <w:tcW w:w="1698" w:type="dxa"/>
          </w:tcPr>
          <w:p w14:paraId="66AA0B11" w14:textId="63CC5CEC" w:rsidR="009E373C" w:rsidRPr="00395E30" w:rsidRDefault="00CF4D48" w:rsidP="008A00C8">
            <w:pPr>
              <w:pStyle w:val="TableCopy"/>
              <w:spacing w:before="100" w:beforeAutospacing="1" w:after="100" w:afterAutospacing="1"/>
              <w:rPr>
                <w:color w:val="000000"/>
              </w:rPr>
            </w:pPr>
            <w:r>
              <w:t>4,000</w:t>
            </w:r>
          </w:p>
        </w:tc>
      </w:tr>
      <w:tr w:rsidR="009E373C" w:rsidRPr="00395E30" w14:paraId="5E5B40E6" w14:textId="77777777" w:rsidTr="00ED2699">
        <w:tc>
          <w:tcPr>
            <w:tcW w:w="4248" w:type="dxa"/>
          </w:tcPr>
          <w:p w14:paraId="5474ED5C" w14:textId="2D90903C" w:rsidR="009E373C" w:rsidRPr="00395E30" w:rsidRDefault="00542BBC" w:rsidP="008A00C8">
            <w:pPr>
              <w:pStyle w:val="TableCopy"/>
              <w:spacing w:before="100" w:beforeAutospacing="1" w:after="100" w:afterAutospacing="1"/>
            </w:pPr>
            <w:r>
              <w:t xml:space="preserve">Construction </w:t>
            </w:r>
          </w:p>
        </w:tc>
        <w:tc>
          <w:tcPr>
            <w:tcW w:w="1698" w:type="dxa"/>
          </w:tcPr>
          <w:p w14:paraId="24C2C062" w14:textId="1DFA1821" w:rsidR="009E373C" w:rsidRPr="00395E30" w:rsidRDefault="00CF4D48" w:rsidP="008A00C8">
            <w:pPr>
              <w:pStyle w:val="TableCopy"/>
              <w:spacing w:before="100" w:beforeAutospacing="1" w:after="100" w:afterAutospacing="1"/>
            </w:pPr>
            <w:r>
              <w:t>3,500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442B521F" w:rsidR="00C6552B" w:rsidRPr="0055442F" w:rsidRDefault="00344BD5" w:rsidP="008A00C8">
            <w:pPr>
              <w:pStyle w:val="TableCopy"/>
              <w:spacing w:before="100" w:beforeAutospacing="1" w:after="100" w:afterAutospacing="1"/>
              <w:rPr>
                <w:b/>
                <w:bCs/>
              </w:rPr>
            </w:pPr>
            <w:r>
              <w:rPr>
                <w:b/>
                <w:bCs/>
              </w:rPr>
              <w:t>G</w:t>
            </w:r>
            <w:r w:rsidR="00892E96">
              <w:rPr>
                <w:b/>
                <w:bCs/>
              </w:rPr>
              <w:t xml:space="preserve">ross value </w:t>
            </w:r>
            <w:proofErr w:type="gramStart"/>
            <w:r w:rsidR="00892E96">
              <w:rPr>
                <w:b/>
                <w:bCs/>
              </w:rPr>
              <w:t>add</w:t>
            </w:r>
            <w:proofErr w:type="gramEnd"/>
          </w:p>
        </w:tc>
      </w:tr>
      <w:tr w:rsidR="00C6552B" w:rsidRPr="00395E30" w14:paraId="0D3E8598" w14:textId="77777777" w:rsidTr="00ED2699">
        <w:tc>
          <w:tcPr>
            <w:tcW w:w="4248" w:type="dxa"/>
          </w:tcPr>
          <w:p w14:paraId="5F4E85D0" w14:textId="7FAB7FCF" w:rsidR="00C6552B" w:rsidRPr="00395E30" w:rsidRDefault="00542BBC" w:rsidP="008A00C8">
            <w:pPr>
              <w:pStyle w:val="TableCopy"/>
              <w:spacing w:before="100" w:beforeAutospacing="1" w:after="100" w:afterAutospacing="1"/>
            </w:pPr>
            <w:r>
              <w:t xml:space="preserve">Agriculture, </w:t>
            </w:r>
            <w:proofErr w:type="gramStart"/>
            <w:r>
              <w:t>forestry</w:t>
            </w:r>
            <w:proofErr w:type="gramEnd"/>
            <w:r>
              <w:t xml:space="preserve"> and fishing </w:t>
            </w:r>
          </w:p>
        </w:tc>
        <w:tc>
          <w:tcPr>
            <w:tcW w:w="1698" w:type="dxa"/>
          </w:tcPr>
          <w:p w14:paraId="62706779" w14:textId="3F575EE8" w:rsidR="00C6552B" w:rsidRPr="00395E30" w:rsidRDefault="00CF4D48" w:rsidP="008A00C8">
            <w:pPr>
              <w:pStyle w:val="TableCopy"/>
              <w:spacing w:before="100" w:beforeAutospacing="1" w:after="100" w:afterAutospacing="1"/>
              <w:rPr>
                <w:color w:val="000000"/>
              </w:rPr>
            </w:pPr>
            <w:r>
              <w:t>$1.2</w:t>
            </w:r>
            <w:r w:rsidR="00892E96">
              <w:t xml:space="preserve"> Billion</w:t>
            </w:r>
          </w:p>
        </w:tc>
      </w:tr>
      <w:tr w:rsidR="00C6552B" w:rsidRPr="00395E30" w14:paraId="6E5D60EB" w14:textId="77777777" w:rsidTr="00ED2699">
        <w:tc>
          <w:tcPr>
            <w:tcW w:w="4248" w:type="dxa"/>
          </w:tcPr>
          <w:p w14:paraId="3297DCA1" w14:textId="3C86C791" w:rsidR="00C6552B" w:rsidRPr="00395E30" w:rsidRDefault="00542BBC" w:rsidP="008A00C8">
            <w:pPr>
              <w:pStyle w:val="TableCopy"/>
              <w:spacing w:before="100" w:beforeAutospacing="1" w:after="100" w:afterAutospacing="1"/>
            </w:pPr>
            <w:r>
              <w:t xml:space="preserve">Health care and social assistance </w:t>
            </w:r>
          </w:p>
        </w:tc>
        <w:tc>
          <w:tcPr>
            <w:tcW w:w="1698" w:type="dxa"/>
          </w:tcPr>
          <w:p w14:paraId="06F7E01D" w14:textId="5B4B3B30" w:rsidR="00C6552B" w:rsidRPr="00395E30" w:rsidRDefault="00CF4D48" w:rsidP="008A00C8">
            <w:pPr>
              <w:pStyle w:val="TableCopy"/>
              <w:spacing w:before="100" w:beforeAutospacing="1" w:after="100" w:afterAutospacing="1"/>
              <w:rPr>
                <w:color w:val="000000"/>
              </w:rPr>
            </w:pPr>
            <w:r>
              <w:t>$530.4</w:t>
            </w:r>
            <w:r w:rsidR="00892E96">
              <w:t xml:space="preserve"> Million</w:t>
            </w:r>
          </w:p>
        </w:tc>
      </w:tr>
      <w:tr w:rsidR="00C6552B" w:rsidRPr="00395E30" w14:paraId="3CC31164" w14:textId="77777777" w:rsidTr="00ED2699">
        <w:tc>
          <w:tcPr>
            <w:tcW w:w="4248" w:type="dxa"/>
          </w:tcPr>
          <w:p w14:paraId="0F5C13E8" w14:textId="75AD3923" w:rsidR="00C6552B" w:rsidRPr="00395E30" w:rsidRDefault="00542BBC" w:rsidP="008A00C8">
            <w:pPr>
              <w:pStyle w:val="TableCopy"/>
              <w:spacing w:before="100" w:beforeAutospacing="1" w:after="100" w:afterAutospacing="1"/>
            </w:pPr>
            <w:r>
              <w:t xml:space="preserve">Manufacturing </w:t>
            </w:r>
          </w:p>
        </w:tc>
        <w:tc>
          <w:tcPr>
            <w:tcW w:w="1698" w:type="dxa"/>
          </w:tcPr>
          <w:p w14:paraId="5A745A8F" w14:textId="3FF14E35" w:rsidR="00C6552B" w:rsidRPr="00395E30" w:rsidRDefault="00CF4D48" w:rsidP="008A00C8">
            <w:pPr>
              <w:pStyle w:val="TableCopy"/>
              <w:spacing w:before="100" w:beforeAutospacing="1" w:after="100" w:afterAutospacing="1"/>
              <w:rPr>
                <w:color w:val="000000"/>
              </w:rPr>
            </w:pPr>
            <w:r>
              <w:t>$477.0</w:t>
            </w:r>
            <w:r w:rsidR="00892E96">
              <w:t xml:space="preserve"> Million</w:t>
            </w:r>
          </w:p>
        </w:tc>
      </w:tr>
      <w:tr w:rsidR="00C6552B" w:rsidRPr="00395E30" w14:paraId="41869C6B" w14:textId="77777777" w:rsidTr="00ED2699">
        <w:tc>
          <w:tcPr>
            <w:tcW w:w="4248" w:type="dxa"/>
          </w:tcPr>
          <w:p w14:paraId="227F0352" w14:textId="3E788FD5" w:rsidR="00C6552B" w:rsidRPr="00395E30" w:rsidRDefault="00542BBC" w:rsidP="008A00C8">
            <w:pPr>
              <w:pStyle w:val="TableCopy"/>
              <w:spacing w:before="100" w:beforeAutospacing="1" w:after="100" w:afterAutospacing="1"/>
            </w:pPr>
            <w:r>
              <w:t xml:space="preserve">Construction </w:t>
            </w:r>
          </w:p>
        </w:tc>
        <w:tc>
          <w:tcPr>
            <w:tcW w:w="1698" w:type="dxa"/>
          </w:tcPr>
          <w:p w14:paraId="7DAF1A08" w14:textId="23BD159E" w:rsidR="00C6552B" w:rsidRPr="00395E30" w:rsidRDefault="00CF4D48" w:rsidP="008A00C8">
            <w:pPr>
              <w:pStyle w:val="TableCopy"/>
              <w:spacing w:before="100" w:beforeAutospacing="1" w:after="100" w:afterAutospacing="1"/>
              <w:rPr>
                <w:color w:val="000000"/>
              </w:rPr>
            </w:pPr>
            <w:r>
              <w:t>$324.4</w:t>
            </w:r>
            <w:r w:rsidR="00892E96">
              <w:t xml:space="preserve"> Million</w:t>
            </w:r>
          </w:p>
        </w:tc>
      </w:tr>
      <w:tr w:rsidR="00C6552B" w:rsidRPr="00395E30" w14:paraId="24926785" w14:textId="77777777" w:rsidTr="00ED2699">
        <w:tc>
          <w:tcPr>
            <w:tcW w:w="4248" w:type="dxa"/>
          </w:tcPr>
          <w:p w14:paraId="642B83EB" w14:textId="6C21C609" w:rsidR="00C6552B" w:rsidRPr="00395E30" w:rsidRDefault="00542BBC" w:rsidP="008A00C8">
            <w:pPr>
              <w:pStyle w:val="TableCopy"/>
              <w:spacing w:before="100" w:beforeAutospacing="1" w:after="100" w:afterAutospacing="1"/>
            </w:pPr>
            <w:r>
              <w:t xml:space="preserve">Education and training </w:t>
            </w:r>
          </w:p>
        </w:tc>
        <w:tc>
          <w:tcPr>
            <w:tcW w:w="1698" w:type="dxa"/>
          </w:tcPr>
          <w:p w14:paraId="7470C069" w14:textId="401AA92B" w:rsidR="00C6552B" w:rsidRPr="00395E30" w:rsidRDefault="00CF4D48" w:rsidP="008A00C8">
            <w:pPr>
              <w:pStyle w:val="TableCopy"/>
              <w:spacing w:before="100" w:beforeAutospacing="1" w:after="100" w:afterAutospacing="1"/>
              <w:rPr>
                <w:color w:val="000000"/>
              </w:rPr>
            </w:pPr>
            <w:r>
              <w:t>$321.3</w:t>
            </w:r>
            <w:r w:rsidR="00892E96">
              <w:t xml:space="preserve"> Million</w:t>
            </w:r>
          </w:p>
        </w:tc>
      </w:tr>
      <w:tr w:rsidR="00C6552B" w:rsidRPr="00395E30" w14:paraId="00F182DD" w14:textId="77777777" w:rsidTr="00ED2699">
        <w:tc>
          <w:tcPr>
            <w:tcW w:w="4248" w:type="dxa"/>
          </w:tcPr>
          <w:p w14:paraId="1F9A1809" w14:textId="7593AC8A" w:rsidR="00C6552B" w:rsidRPr="00395E30" w:rsidRDefault="00542BBC" w:rsidP="008A00C8">
            <w:pPr>
              <w:pStyle w:val="TableCopy"/>
              <w:spacing w:before="100" w:beforeAutospacing="1" w:after="100" w:afterAutospacing="1"/>
            </w:pPr>
            <w:r>
              <w:t xml:space="preserve">Retail Trade </w:t>
            </w:r>
          </w:p>
        </w:tc>
        <w:tc>
          <w:tcPr>
            <w:tcW w:w="1698" w:type="dxa"/>
          </w:tcPr>
          <w:p w14:paraId="7598C604" w14:textId="3BFF1380" w:rsidR="00C6552B" w:rsidRPr="00395E30" w:rsidRDefault="00CF4D48" w:rsidP="008A00C8">
            <w:pPr>
              <w:pStyle w:val="TableCopy"/>
              <w:spacing w:before="100" w:beforeAutospacing="1" w:after="100" w:afterAutospacing="1"/>
            </w:pPr>
            <w:r>
              <w:t>$269.8</w:t>
            </w:r>
            <w:r w:rsidR="00892E96">
              <w:t xml:space="preserve">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704DFB4D" w14:textId="3A6F8EC0" w:rsidR="00B170E4" w:rsidRPr="001A2D16" w:rsidRDefault="001A2D16" w:rsidP="001A2D16">
      <w:pPr>
        <w:spacing w:before="100" w:beforeAutospacing="1" w:after="100" w:afterAutospacing="1"/>
        <w:rPr>
          <w:rFonts w:ascii="Arial" w:hAnsi="Arial" w:cs="Arial"/>
          <w:sz w:val="24"/>
          <w:szCs w:val="24"/>
          <w:lang w:val="en-AU"/>
        </w:rPr>
      </w:pPr>
      <w:r w:rsidRPr="001A2D16">
        <w:rPr>
          <w:rFonts w:ascii="Arial" w:hAnsi="Arial" w:cs="Arial"/>
          <w:sz w:val="24"/>
          <w:szCs w:val="24"/>
          <w:lang w:val="en-AU"/>
        </w:rPr>
        <w:t>Great South Coast’s five strategic directions have been identified using an evidence base that considers the region’s unique attributes, existing and emerging industries, and socioeconomic context.</w:t>
      </w:r>
    </w:p>
    <w:p w14:paraId="2E6E6165" w14:textId="122441F1" w:rsidR="001245F6" w:rsidRPr="009A3281" w:rsidRDefault="00E87DA0" w:rsidP="00E6798B">
      <w:pPr>
        <w:pStyle w:val="Heading2"/>
        <w:spacing w:before="100" w:beforeAutospacing="1" w:after="100" w:afterAutospacing="1"/>
        <w:rPr>
          <w:rFonts w:ascii="Arial" w:hAnsi="Arial" w:cs="Arial"/>
          <w:color w:val="auto"/>
          <w:sz w:val="32"/>
          <w:szCs w:val="32"/>
        </w:rPr>
      </w:pPr>
      <w:r w:rsidRPr="00E87DA0">
        <w:rPr>
          <w:rFonts w:ascii="Arial" w:hAnsi="Arial" w:cs="Arial"/>
          <w:color w:val="auto"/>
          <w:sz w:val="32"/>
          <w:szCs w:val="32"/>
        </w:rPr>
        <w:t xml:space="preserve">1. Add value to and diversify within </w:t>
      </w:r>
      <w:r w:rsidRPr="005B4044">
        <w:rPr>
          <w:rFonts w:ascii="Arial" w:hAnsi="Arial" w:cs="Arial"/>
          <w:color w:val="auto"/>
          <w:sz w:val="32"/>
          <w:szCs w:val="32"/>
        </w:rPr>
        <w:t>the agri-food supply chain</w:t>
      </w:r>
    </w:p>
    <w:p w14:paraId="68353F0A" w14:textId="68F4CB33" w:rsidR="001245F6" w:rsidRPr="001245F6" w:rsidRDefault="0015685F" w:rsidP="008A00C8">
      <w:pPr>
        <w:spacing w:before="100" w:beforeAutospacing="1" w:after="100" w:afterAutospacing="1"/>
        <w:rPr>
          <w:rFonts w:ascii="Arial" w:hAnsi="Arial" w:cs="Arial"/>
          <w:sz w:val="24"/>
          <w:szCs w:val="24"/>
          <w:lang w:val="en-AU"/>
        </w:rPr>
      </w:pPr>
      <w:r w:rsidRPr="0015685F">
        <w:rPr>
          <w:rFonts w:ascii="Arial" w:hAnsi="Arial" w:cs="Arial"/>
          <w:sz w:val="24"/>
          <w:szCs w:val="24"/>
          <w:lang w:val="en-AU"/>
        </w:rPr>
        <w:t>Diversification of the region’s agricultural commodities, investment in advanced manufacturing capabilities and an increase in local value add will ensure the region is adaptive and responsive to new opportunities.</w:t>
      </w:r>
    </w:p>
    <w:p w14:paraId="368E7515" w14:textId="0602F103" w:rsidR="001245F6" w:rsidRPr="001245F6" w:rsidRDefault="00C964C7" w:rsidP="008A00C8">
      <w:pPr>
        <w:pStyle w:val="Heading2"/>
        <w:spacing w:before="100" w:beforeAutospacing="1" w:after="100" w:afterAutospacing="1"/>
        <w:rPr>
          <w:rFonts w:ascii="Arial" w:hAnsi="Arial" w:cs="Arial"/>
          <w:color w:val="auto"/>
          <w:sz w:val="32"/>
          <w:szCs w:val="32"/>
        </w:rPr>
      </w:pPr>
      <w:r w:rsidRPr="00C964C7">
        <w:rPr>
          <w:rFonts w:ascii="Arial" w:hAnsi="Arial" w:cs="Arial"/>
          <w:color w:val="auto"/>
          <w:sz w:val="32"/>
          <w:szCs w:val="32"/>
        </w:rPr>
        <w:lastRenderedPageBreak/>
        <w:t>2. Maximise the potential of the region’s energy resources</w:t>
      </w:r>
    </w:p>
    <w:p w14:paraId="1AFB04AD" w14:textId="03FFC3B0" w:rsidR="001245F6" w:rsidRPr="001245F6" w:rsidRDefault="0015685F" w:rsidP="008A00C8">
      <w:pPr>
        <w:spacing w:before="100" w:beforeAutospacing="1" w:after="100" w:afterAutospacing="1"/>
        <w:rPr>
          <w:rFonts w:ascii="Arial" w:hAnsi="Arial" w:cs="Arial"/>
          <w:sz w:val="24"/>
          <w:szCs w:val="24"/>
          <w:lang w:val="en-AU"/>
        </w:rPr>
      </w:pPr>
      <w:r w:rsidRPr="0015685F">
        <w:rPr>
          <w:rFonts w:ascii="Arial" w:hAnsi="Arial" w:cs="Arial"/>
          <w:sz w:val="24"/>
          <w:szCs w:val="24"/>
          <w:lang w:val="en-AU"/>
        </w:rPr>
        <w:t>Growth in wind, solar and bioenergy generation capabilities position the region to harness opportunities to develop renewable hydrogen technology and embed renewable energy sources across the local economy. The region also benefits from new opportunities in natural gas exploration and production.</w:t>
      </w:r>
    </w:p>
    <w:p w14:paraId="3366C93F" w14:textId="2EEEA4AD" w:rsidR="001245F6" w:rsidRPr="001245F6" w:rsidRDefault="00C964C7" w:rsidP="008A00C8">
      <w:pPr>
        <w:pStyle w:val="Heading2"/>
        <w:spacing w:before="100" w:beforeAutospacing="1" w:after="100" w:afterAutospacing="1"/>
        <w:rPr>
          <w:rFonts w:ascii="Arial" w:hAnsi="Arial" w:cs="Arial"/>
          <w:lang w:val="en-AU"/>
        </w:rPr>
      </w:pPr>
      <w:r w:rsidRPr="00C964C7">
        <w:rPr>
          <w:rFonts w:ascii="Arial" w:hAnsi="Arial" w:cs="Arial"/>
          <w:color w:val="auto"/>
          <w:sz w:val="32"/>
          <w:szCs w:val="32"/>
        </w:rPr>
        <w:t>3. Grow and equip the workforce needed to enable future economic opportunities</w:t>
      </w:r>
    </w:p>
    <w:p w14:paraId="7203B608" w14:textId="30032531" w:rsidR="001245F6" w:rsidRPr="001245F6" w:rsidRDefault="00EC3CFE" w:rsidP="008A00C8">
      <w:pPr>
        <w:spacing w:before="100" w:beforeAutospacing="1" w:after="100" w:afterAutospacing="1"/>
        <w:rPr>
          <w:rFonts w:ascii="Arial" w:hAnsi="Arial" w:cs="Arial"/>
          <w:sz w:val="24"/>
          <w:szCs w:val="24"/>
          <w:lang w:val="en-AU"/>
        </w:rPr>
      </w:pPr>
      <w:r w:rsidRPr="00EC3CFE">
        <w:rPr>
          <w:rFonts w:ascii="Arial" w:hAnsi="Arial" w:cs="Arial"/>
          <w:sz w:val="24"/>
          <w:szCs w:val="24"/>
          <w:lang w:val="en-AU"/>
        </w:rPr>
        <w:t>Specialised research and skills, harnessing technological change, inclusive employment and stimulating migration will ensure a workforce able to both capitalise on growth opportunities and meet the needs of an ageing population.</w:t>
      </w:r>
    </w:p>
    <w:p w14:paraId="13507C2C" w14:textId="185A932A" w:rsidR="001245F6" w:rsidRPr="001245F6" w:rsidRDefault="00C964C7" w:rsidP="008A00C8">
      <w:pPr>
        <w:pStyle w:val="Heading2"/>
        <w:spacing w:before="100" w:beforeAutospacing="1" w:after="100" w:afterAutospacing="1"/>
        <w:rPr>
          <w:rFonts w:ascii="Arial" w:hAnsi="Arial" w:cs="Arial"/>
          <w:color w:val="auto"/>
          <w:sz w:val="32"/>
          <w:szCs w:val="32"/>
        </w:rPr>
      </w:pPr>
      <w:r w:rsidRPr="00C964C7">
        <w:rPr>
          <w:rFonts w:ascii="Arial" w:hAnsi="Arial" w:cs="Arial"/>
          <w:color w:val="auto"/>
          <w:sz w:val="32"/>
          <w:szCs w:val="32"/>
        </w:rPr>
        <w:t>4. Expand existing strengths in cultural and nature-based visitation</w:t>
      </w:r>
    </w:p>
    <w:p w14:paraId="67DABD38" w14:textId="40291C63" w:rsidR="001245F6" w:rsidRPr="001245F6" w:rsidRDefault="003052AD" w:rsidP="008A00C8">
      <w:pPr>
        <w:spacing w:before="100" w:beforeAutospacing="1" w:after="100" w:afterAutospacing="1"/>
        <w:rPr>
          <w:rFonts w:ascii="Arial" w:hAnsi="Arial" w:cs="Arial"/>
          <w:sz w:val="24"/>
          <w:szCs w:val="24"/>
          <w:lang w:val="en-AU"/>
        </w:rPr>
      </w:pPr>
      <w:r w:rsidRPr="003052AD">
        <w:rPr>
          <w:rFonts w:ascii="Arial" w:hAnsi="Arial" w:cs="Arial"/>
          <w:sz w:val="24"/>
          <w:szCs w:val="24"/>
          <w:lang w:val="en-AU"/>
        </w:rPr>
        <w:t xml:space="preserve">Investment in agritourism, ‘hero experiences’, natural </w:t>
      </w:r>
      <w:proofErr w:type="gramStart"/>
      <w:r w:rsidRPr="003052AD">
        <w:rPr>
          <w:rFonts w:ascii="Arial" w:hAnsi="Arial" w:cs="Arial"/>
          <w:sz w:val="24"/>
          <w:szCs w:val="24"/>
          <w:lang w:val="en-AU"/>
        </w:rPr>
        <w:t>attractions</w:t>
      </w:r>
      <w:proofErr w:type="gramEnd"/>
      <w:r w:rsidRPr="003052AD">
        <w:rPr>
          <w:rFonts w:ascii="Arial" w:hAnsi="Arial" w:cs="Arial"/>
          <w:sz w:val="24"/>
          <w:szCs w:val="24"/>
          <w:lang w:val="en-AU"/>
        </w:rPr>
        <w:t xml:space="preserve"> and Aboriginal heritage such as Budj Bim Cultural Landscape will allow the region to encourage longer stays and take advantage of changing visitation trends towards domestic travel.</w:t>
      </w:r>
    </w:p>
    <w:p w14:paraId="267D0E45" w14:textId="731EF453" w:rsidR="001245F6" w:rsidRPr="001245F6" w:rsidRDefault="00C964C7" w:rsidP="008A00C8">
      <w:pPr>
        <w:pStyle w:val="Heading2"/>
        <w:spacing w:before="100" w:beforeAutospacing="1" w:after="100" w:afterAutospacing="1"/>
        <w:rPr>
          <w:rFonts w:ascii="Arial" w:hAnsi="Arial" w:cs="Arial"/>
          <w:lang w:val="en-AU"/>
        </w:rPr>
      </w:pPr>
      <w:r w:rsidRPr="00C964C7">
        <w:rPr>
          <w:rFonts w:ascii="Arial" w:hAnsi="Arial" w:cs="Arial"/>
          <w:color w:val="auto"/>
          <w:sz w:val="32"/>
          <w:szCs w:val="32"/>
        </w:rPr>
        <w:t>5. Capture the greater potential of the ‘Green Triangle’ cross-border economic zone</w:t>
      </w:r>
    </w:p>
    <w:p w14:paraId="2699403D" w14:textId="4A0D1657" w:rsidR="001245F6" w:rsidRPr="001245F6" w:rsidRDefault="00F14C39" w:rsidP="008A00C8">
      <w:pPr>
        <w:spacing w:before="100" w:beforeAutospacing="1" w:after="100" w:afterAutospacing="1"/>
        <w:rPr>
          <w:rFonts w:ascii="Arial" w:hAnsi="Arial" w:cs="Arial"/>
          <w:sz w:val="24"/>
          <w:szCs w:val="24"/>
          <w:lang w:val="en-AU"/>
        </w:rPr>
      </w:pPr>
      <w:r w:rsidRPr="00F14C39">
        <w:rPr>
          <w:rFonts w:ascii="Arial" w:hAnsi="Arial" w:cs="Arial"/>
          <w:sz w:val="24"/>
          <w:szCs w:val="24"/>
          <w:lang w:val="en-AU"/>
        </w:rPr>
        <w:t>Improving cross-border collaboration and the flow of goods, services and people will bolster the region’s economic potential. Great South Coast’s existing forestry supply chain positions the region to capitalise on increasing global demand for wood fibre and to grow into a world-leading sustainable forestry hub.</w:t>
      </w:r>
    </w:p>
    <w:p w14:paraId="6D23E3A4" w14:textId="3FE459C0" w:rsidR="007B6470" w:rsidRPr="00392AB8" w:rsidRDefault="007B6470" w:rsidP="00A91195">
      <w:pPr>
        <w:pStyle w:val="FootnoteText"/>
      </w:pPr>
      <w:r w:rsidRPr="00392AB8">
        <w:t xml:space="preserve">Please refer to the </w:t>
      </w:r>
      <w:r w:rsidR="001E544A">
        <w:t>Great South Coast</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0308E"/>
    <w:rsid w:val="000237B7"/>
    <w:rsid w:val="00032B2C"/>
    <w:rsid w:val="00043CFE"/>
    <w:rsid w:val="00047184"/>
    <w:rsid w:val="00064FF3"/>
    <w:rsid w:val="00087E72"/>
    <w:rsid w:val="00110FD5"/>
    <w:rsid w:val="001245F6"/>
    <w:rsid w:val="0015685F"/>
    <w:rsid w:val="00163928"/>
    <w:rsid w:val="001765A2"/>
    <w:rsid w:val="001A2D16"/>
    <w:rsid w:val="001C2593"/>
    <w:rsid w:val="001E544A"/>
    <w:rsid w:val="00224BFB"/>
    <w:rsid w:val="00226367"/>
    <w:rsid w:val="00237C71"/>
    <w:rsid w:val="00240C90"/>
    <w:rsid w:val="00241A94"/>
    <w:rsid w:val="00265016"/>
    <w:rsid w:val="002D0776"/>
    <w:rsid w:val="00304CB6"/>
    <w:rsid w:val="003052AD"/>
    <w:rsid w:val="00344BD5"/>
    <w:rsid w:val="00372AAE"/>
    <w:rsid w:val="00384431"/>
    <w:rsid w:val="00392AB8"/>
    <w:rsid w:val="003C5975"/>
    <w:rsid w:val="003D50F9"/>
    <w:rsid w:val="003E29EB"/>
    <w:rsid w:val="0040436C"/>
    <w:rsid w:val="00421CBF"/>
    <w:rsid w:val="004258C8"/>
    <w:rsid w:val="00473AEC"/>
    <w:rsid w:val="004C1FA3"/>
    <w:rsid w:val="004E2623"/>
    <w:rsid w:val="0051145A"/>
    <w:rsid w:val="00535344"/>
    <w:rsid w:val="00542953"/>
    <w:rsid w:val="00542B83"/>
    <w:rsid w:val="00542BBC"/>
    <w:rsid w:val="00562DCA"/>
    <w:rsid w:val="005B4044"/>
    <w:rsid w:val="005D5CAA"/>
    <w:rsid w:val="00670F30"/>
    <w:rsid w:val="00671278"/>
    <w:rsid w:val="006A47AA"/>
    <w:rsid w:val="006F5A41"/>
    <w:rsid w:val="007254CF"/>
    <w:rsid w:val="007514C9"/>
    <w:rsid w:val="00790976"/>
    <w:rsid w:val="007B6470"/>
    <w:rsid w:val="00826A4F"/>
    <w:rsid w:val="00864E5F"/>
    <w:rsid w:val="00892E96"/>
    <w:rsid w:val="00894C22"/>
    <w:rsid w:val="008A00C8"/>
    <w:rsid w:val="008B5C2D"/>
    <w:rsid w:val="0097034F"/>
    <w:rsid w:val="009949E7"/>
    <w:rsid w:val="009A3281"/>
    <w:rsid w:val="009B327E"/>
    <w:rsid w:val="009D5328"/>
    <w:rsid w:val="009E373C"/>
    <w:rsid w:val="009E3AD7"/>
    <w:rsid w:val="00A039B4"/>
    <w:rsid w:val="00A91195"/>
    <w:rsid w:val="00AC35F6"/>
    <w:rsid w:val="00B03EC2"/>
    <w:rsid w:val="00B170E4"/>
    <w:rsid w:val="00B34475"/>
    <w:rsid w:val="00B67844"/>
    <w:rsid w:val="00B74E41"/>
    <w:rsid w:val="00B815BC"/>
    <w:rsid w:val="00C349FB"/>
    <w:rsid w:val="00C6552B"/>
    <w:rsid w:val="00C71B7A"/>
    <w:rsid w:val="00C83238"/>
    <w:rsid w:val="00C964C7"/>
    <w:rsid w:val="00CC083F"/>
    <w:rsid w:val="00CF4D48"/>
    <w:rsid w:val="00D834B7"/>
    <w:rsid w:val="00DF52B6"/>
    <w:rsid w:val="00E1380E"/>
    <w:rsid w:val="00E6798B"/>
    <w:rsid w:val="00E70E24"/>
    <w:rsid w:val="00E87DA0"/>
    <w:rsid w:val="00E90A51"/>
    <w:rsid w:val="00EA14E8"/>
    <w:rsid w:val="00EC3CFE"/>
    <w:rsid w:val="00F07A02"/>
    <w:rsid w:val="00F14C39"/>
    <w:rsid w:val="00F35DC3"/>
    <w:rsid w:val="00F56B94"/>
    <w:rsid w:val="00FD5B06"/>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263996739">
      <w:bodyDiv w:val="1"/>
      <w:marLeft w:val="0"/>
      <w:marRight w:val="0"/>
      <w:marTop w:val="0"/>
      <w:marBottom w:val="0"/>
      <w:divBdr>
        <w:top w:val="none" w:sz="0" w:space="0" w:color="auto"/>
        <w:left w:val="none" w:sz="0" w:space="0" w:color="auto"/>
        <w:bottom w:val="none" w:sz="0" w:space="0" w:color="auto"/>
        <w:right w:val="none" w:sz="0" w:space="0" w:color="auto"/>
      </w:divBdr>
    </w:div>
    <w:div w:id="416833321">
      <w:bodyDiv w:val="1"/>
      <w:marLeft w:val="0"/>
      <w:marRight w:val="0"/>
      <w:marTop w:val="0"/>
      <w:marBottom w:val="0"/>
      <w:divBdr>
        <w:top w:val="none" w:sz="0" w:space="0" w:color="auto"/>
        <w:left w:val="none" w:sz="0" w:space="0" w:color="auto"/>
        <w:bottom w:val="none" w:sz="0" w:space="0" w:color="auto"/>
        <w:right w:val="none" w:sz="0" w:space="0" w:color="auto"/>
      </w:divBdr>
    </w:div>
    <w:div w:id="441924647">
      <w:bodyDiv w:val="1"/>
      <w:marLeft w:val="0"/>
      <w:marRight w:val="0"/>
      <w:marTop w:val="0"/>
      <w:marBottom w:val="0"/>
      <w:divBdr>
        <w:top w:val="none" w:sz="0" w:space="0" w:color="auto"/>
        <w:left w:val="none" w:sz="0" w:space="0" w:color="auto"/>
        <w:bottom w:val="none" w:sz="0" w:space="0" w:color="auto"/>
        <w:right w:val="none" w:sz="0" w:space="0" w:color="auto"/>
      </w:divBdr>
    </w:div>
    <w:div w:id="474686433">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549616529">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38813766">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42208744">
      <w:bodyDiv w:val="1"/>
      <w:marLeft w:val="0"/>
      <w:marRight w:val="0"/>
      <w:marTop w:val="0"/>
      <w:marBottom w:val="0"/>
      <w:divBdr>
        <w:top w:val="none" w:sz="0" w:space="0" w:color="auto"/>
        <w:left w:val="none" w:sz="0" w:space="0" w:color="auto"/>
        <w:bottom w:val="none" w:sz="0" w:space="0" w:color="auto"/>
        <w:right w:val="none" w:sz="0" w:space="0" w:color="auto"/>
      </w:divBdr>
    </w:div>
    <w:div w:id="1135483452">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1646425709">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152BC-B96A-4DA2-B063-D2549209999D}">
  <ds:schemaRefs>
    <ds:schemaRef ds:uri="http://purl.org/dc/terms/"/>
    <ds:schemaRef ds:uri="http://schemas.microsoft.com/office/2006/documentManagement/types"/>
    <ds:schemaRef ds:uri="1970f3ff-c7c3-4b73-8f0c-0bc260d159f3"/>
    <ds:schemaRef ds:uri="http://purl.org/dc/elements/1.1/"/>
    <ds:schemaRef ds:uri="http://schemas.microsoft.com/office/2006/metadata/properties"/>
    <ds:schemaRef ds:uri="620eb5da-c6d3-451c-9903-f568d8f02820"/>
    <ds:schemaRef ds:uri="029c08ca-17ba-47d3-a4d3-5c72257ad7c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customXml/itemProps4.xml><?xml version="1.0" encoding="utf-8"?>
<ds:datastoreItem xmlns:ds="http://schemas.openxmlformats.org/officeDocument/2006/customXml" ds:itemID="{B6C18351-E4F6-458C-8CAD-F05FAB72B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98</cp:revision>
  <dcterms:created xsi:type="dcterms:W3CDTF">2023-10-06T00:54:00Z</dcterms:created>
  <dcterms:modified xsi:type="dcterms:W3CDTF">2023-10-25T04:55:00Z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