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00D6012C" w:rsidR="009D5328" w:rsidRPr="001245F6" w:rsidRDefault="008B4D1B" w:rsidP="008A00C8">
      <w:pPr>
        <w:pStyle w:val="Title"/>
        <w:spacing w:before="100" w:beforeAutospacing="1" w:after="100" w:afterAutospacing="1"/>
      </w:pPr>
      <w:r>
        <w:t>Loddon Campaspe</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3CC8CE79"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8B4D1B">
        <w:rPr>
          <w:b w:val="0"/>
          <w:bCs w:val="0"/>
          <w:sz w:val="24"/>
          <w:szCs w:val="24"/>
        </w:rPr>
        <w:t>Loddon Campaspe</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399C7A39" w:rsidR="00B815BC" w:rsidRPr="00670F30" w:rsidRDefault="008B4D1B"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Loddon Campaspe</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6580" w:type="dxa"/>
        <w:tblLook w:val="04A0" w:firstRow="1" w:lastRow="0" w:firstColumn="1" w:lastColumn="0" w:noHBand="0" w:noVBand="1"/>
      </w:tblPr>
      <w:tblGrid>
        <w:gridCol w:w="3290"/>
        <w:gridCol w:w="3290"/>
      </w:tblGrid>
      <w:tr w:rsidR="00F13234" w:rsidRPr="00206BCF" w14:paraId="61327294" w14:textId="77777777" w:rsidTr="00F13234">
        <w:trPr>
          <w:trHeight w:val="201"/>
        </w:trPr>
        <w:tc>
          <w:tcPr>
            <w:tcW w:w="3290" w:type="dxa"/>
            <w:vAlign w:val="center"/>
          </w:tcPr>
          <w:p w14:paraId="645E8694" w14:textId="05367892" w:rsidR="00F13234" w:rsidRDefault="00F13234" w:rsidP="00F13234">
            <w:pPr>
              <w:pStyle w:val="TableCopy"/>
              <w:spacing w:before="100" w:beforeAutospacing="1" w:after="100" w:afterAutospacing="1"/>
            </w:pPr>
            <w:r w:rsidRPr="00206BCF">
              <w:t>Population (2020)</w:t>
            </w:r>
          </w:p>
        </w:tc>
        <w:tc>
          <w:tcPr>
            <w:tcW w:w="3290" w:type="dxa"/>
            <w:vAlign w:val="center"/>
          </w:tcPr>
          <w:p w14:paraId="453F8387" w14:textId="01563C93" w:rsidR="00F13234" w:rsidRPr="00206BCF" w:rsidRDefault="00F13234" w:rsidP="00F13234">
            <w:pPr>
              <w:pStyle w:val="TableCopy"/>
              <w:spacing w:before="100" w:beforeAutospacing="1" w:after="100" w:afterAutospacing="1"/>
            </w:pPr>
            <w:r>
              <w:t>249,200</w:t>
            </w:r>
          </w:p>
        </w:tc>
      </w:tr>
      <w:tr w:rsidR="00F13234" w:rsidRPr="00206BCF" w14:paraId="41F4F6A6" w14:textId="77777777" w:rsidTr="00F13234">
        <w:trPr>
          <w:trHeight w:val="295"/>
        </w:trPr>
        <w:tc>
          <w:tcPr>
            <w:tcW w:w="3290" w:type="dxa"/>
            <w:vAlign w:val="center"/>
          </w:tcPr>
          <w:p w14:paraId="4BF6DF2F" w14:textId="15BC3DC0" w:rsidR="00F13234" w:rsidRDefault="00F13234" w:rsidP="00F13234">
            <w:pPr>
              <w:pStyle w:val="TableCopy"/>
              <w:spacing w:before="100" w:beforeAutospacing="1" w:after="100" w:afterAutospacing="1"/>
            </w:pPr>
            <w:r w:rsidRPr="00206BCF">
              <w:t>Population growth (2011-20)</w:t>
            </w:r>
          </w:p>
        </w:tc>
        <w:tc>
          <w:tcPr>
            <w:tcW w:w="3290" w:type="dxa"/>
            <w:vAlign w:val="center"/>
          </w:tcPr>
          <w:p w14:paraId="6762877B" w14:textId="515F3165" w:rsidR="00F13234" w:rsidRPr="00206BCF" w:rsidRDefault="00F13234" w:rsidP="00F13234">
            <w:pPr>
              <w:pStyle w:val="TableCopy"/>
              <w:spacing w:before="100" w:beforeAutospacing="1" w:after="100" w:afterAutospacing="1"/>
            </w:pPr>
            <w:r>
              <w:t>13.4%</w:t>
            </w:r>
          </w:p>
        </w:tc>
      </w:tr>
      <w:tr w:rsidR="00F13234" w:rsidRPr="00206BCF" w14:paraId="3928B135" w14:textId="77777777" w:rsidTr="00F13234">
        <w:trPr>
          <w:trHeight w:val="201"/>
        </w:trPr>
        <w:tc>
          <w:tcPr>
            <w:tcW w:w="3290" w:type="dxa"/>
            <w:vAlign w:val="center"/>
          </w:tcPr>
          <w:p w14:paraId="2077B05F" w14:textId="7199B7E1" w:rsidR="00F13234" w:rsidRDefault="00F13234" w:rsidP="00F13234">
            <w:pPr>
              <w:pStyle w:val="TableCopy"/>
              <w:spacing w:before="100" w:beforeAutospacing="1" w:after="100" w:afterAutospacing="1"/>
            </w:pPr>
            <w:r w:rsidRPr="00206BCF">
              <w:t>Gross regional product (2020)</w:t>
            </w:r>
          </w:p>
        </w:tc>
        <w:tc>
          <w:tcPr>
            <w:tcW w:w="3290" w:type="dxa"/>
            <w:vAlign w:val="center"/>
          </w:tcPr>
          <w:p w14:paraId="0CD69990" w14:textId="53AFF5DB" w:rsidR="00F13234" w:rsidRPr="00206BCF" w:rsidRDefault="00F13234" w:rsidP="00F13234">
            <w:pPr>
              <w:pStyle w:val="TableCopy"/>
              <w:spacing w:before="100" w:beforeAutospacing="1" w:after="100" w:afterAutospacing="1"/>
            </w:pPr>
            <w:r>
              <w:t>$11.7 billion</w:t>
            </w:r>
          </w:p>
        </w:tc>
      </w:tr>
    </w:tbl>
    <w:p w14:paraId="0731A137" w14:textId="5C364AA9"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8B4D1B">
        <w:rPr>
          <w:rFonts w:ascii="Arial" w:hAnsi="Arial" w:cs="Arial"/>
          <w:b/>
          <w:bCs/>
          <w:sz w:val="24"/>
          <w:szCs w:val="24"/>
        </w:rPr>
        <w:t>Loddon Campaspe</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25B6F32C">
            <wp:extent cx="2169009" cy="2705100"/>
            <wp:effectExtent l="0" t="0" r="3175" b="0"/>
            <wp:docPr id="1" name="Picture 1" descr="Map showing an overview of the Loddon Campaspe Regional Partnership region and its location in Victoria. The Loddon Campaspe region is made up of the Loddon, Campaspe, Bendigo, Central Goldfields, Mount Alexander, and Macedon Ranges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Loddon Campaspe Regional Partnership region and its location in Victoria. The Loddon Campaspe region is made up of the Loddon, Campaspe, Bendigo, Central Goldfields, Mount Alexander, and Macedon Ranges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169009"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4FAFABB9" w:rsidR="00C349FB" w:rsidRPr="00E70028" w:rsidRDefault="008B4D1B" w:rsidP="008A00C8">
            <w:pPr>
              <w:pStyle w:val="TableCopy"/>
              <w:spacing w:before="100" w:beforeAutospacing="1" w:after="100" w:afterAutospacing="1"/>
            </w:pPr>
            <w:r>
              <w:t>Loddon Campaspe</w:t>
            </w:r>
            <w:r w:rsidR="00C349FB" w:rsidRPr="00E70028">
              <w:t xml:space="preserve">: </w:t>
            </w:r>
            <w:r w:rsidR="006C7A47">
              <w:t>4.1</w:t>
            </w:r>
            <w:r w:rsidR="00F56B94">
              <w:t>%</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01B316AB" w:rsidR="00C349FB" w:rsidRPr="00E70028" w:rsidRDefault="008B4D1B" w:rsidP="008A00C8">
            <w:pPr>
              <w:pStyle w:val="TableCopy"/>
              <w:spacing w:before="100" w:beforeAutospacing="1" w:after="100" w:afterAutospacing="1"/>
            </w:pPr>
            <w:r>
              <w:t>Loddon Campaspe</w:t>
            </w:r>
            <w:r w:rsidR="00C349FB" w:rsidRPr="00E70028">
              <w:t xml:space="preserve">: </w:t>
            </w:r>
            <w:r w:rsidR="006C7A47">
              <w:t>1.3</w:t>
            </w:r>
            <w:r w:rsidR="00542B83">
              <w:t>%</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569A26AA" w:rsidR="009E373C" w:rsidRPr="00395E30" w:rsidRDefault="00576E23" w:rsidP="008A00C8">
            <w:pPr>
              <w:pStyle w:val="TableCopy"/>
              <w:spacing w:before="100" w:beforeAutospacing="1" w:after="100" w:afterAutospacing="1"/>
            </w:pPr>
            <w:r>
              <w:t>Health care and social assistance</w:t>
            </w:r>
          </w:p>
        </w:tc>
        <w:tc>
          <w:tcPr>
            <w:tcW w:w="1698" w:type="dxa"/>
          </w:tcPr>
          <w:p w14:paraId="4EB45B75" w14:textId="2CE86886" w:rsidR="009E373C" w:rsidRPr="00395E30" w:rsidRDefault="00B35BC9" w:rsidP="008A00C8">
            <w:pPr>
              <w:pStyle w:val="TableCopy"/>
              <w:spacing w:before="100" w:beforeAutospacing="1" w:after="100" w:afterAutospacing="1"/>
              <w:rPr>
                <w:color w:val="000000"/>
              </w:rPr>
            </w:pPr>
            <w:r>
              <w:t>17,300</w:t>
            </w:r>
          </w:p>
        </w:tc>
      </w:tr>
      <w:tr w:rsidR="009E373C" w:rsidRPr="00395E30" w14:paraId="1356B36E" w14:textId="77777777" w:rsidTr="00ED2699">
        <w:tc>
          <w:tcPr>
            <w:tcW w:w="4248" w:type="dxa"/>
          </w:tcPr>
          <w:p w14:paraId="506E63A6" w14:textId="2948C564" w:rsidR="009E373C" w:rsidRPr="00395E30" w:rsidRDefault="00576E23" w:rsidP="008A00C8">
            <w:pPr>
              <w:pStyle w:val="TableCopy"/>
              <w:spacing w:before="100" w:beforeAutospacing="1" w:after="100" w:afterAutospacing="1"/>
            </w:pPr>
            <w:r>
              <w:t>Retail trade</w:t>
            </w:r>
          </w:p>
        </w:tc>
        <w:tc>
          <w:tcPr>
            <w:tcW w:w="1698" w:type="dxa"/>
          </w:tcPr>
          <w:p w14:paraId="35F1ABC0" w14:textId="7AF09DB4" w:rsidR="009E373C" w:rsidRPr="00395E30" w:rsidRDefault="00B35BC9" w:rsidP="008A00C8">
            <w:pPr>
              <w:pStyle w:val="TableCopy"/>
              <w:spacing w:before="100" w:beforeAutospacing="1" w:after="100" w:afterAutospacing="1"/>
              <w:rPr>
                <w:color w:val="000000"/>
              </w:rPr>
            </w:pPr>
            <w:r>
              <w:t>12,000</w:t>
            </w:r>
          </w:p>
        </w:tc>
      </w:tr>
      <w:tr w:rsidR="009E373C" w:rsidRPr="00395E30" w14:paraId="3ACF3E57" w14:textId="77777777" w:rsidTr="00ED2699">
        <w:tc>
          <w:tcPr>
            <w:tcW w:w="4248" w:type="dxa"/>
          </w:tcPr>
          <w:p w14:paraId="002E2BCD" w14:textId="0EB7360B" w:rsidR="009E373C" w:rsidRPr="00395E30" w:rsidRDefault="00576E23" w:rsidP="008A00C8">
            <w:pPr>
              <w:pStyle w:val="TableCopy"/>
              <w:spacing w:before="100" w:beforeAutospacing="1" w:after="100" w:afterAutospacing="1"/>
            </w:pPr>
            <w:r>
              <w:t>Manufacturing</w:t>
            </w:r>
          </w:p>
        </w:tc>
        <w:tc>
          <w:tcPr>
            <w:tcW w:w="1698" w:type="dxa"/>
          </w:tcPr>
          <w:p w14:paraId="06530ABA" w14:textId="199EE409" w:rsidR="009E373C" w:rsidRPr="00395E30" w:rsidRDefault="00256565" w:rsidP="008A00C8">
            <w:pPr>
              <w:pStyle w:val="TableCopy"/>
              <w:spacing w:before="100" w:beforeAutospacing="1" w:after="100" w:afterAutospacing="1"/>
              <w:rPr>
                <w:color w:val="000000"/>
              </w:rPr>
            </w:pPr>
            <w:r>
              <w:t>11,000</w:t>
            </w:r>
          </w:p>
        </w:tc>
      </w:tr>
      <w:tr w:rsidR="009E373C" w:rsidRPr="00395E30" w14:paraId="5FA8F712" w14:textId="77777777" w:rsidTr="00ED2699">
        <w:tc>
          <w:tcPr>
            <w:tcW w:w="4248" w:type="dxa"/>
          </w:tcPr>
          <w:p w14:paraId="3B975D5E" w14:textId="013667E2" w:rsidR="009E373C" w:rsidRPr="00395E30" w:rsidRDefault="00576E23" w:rsidP="008A00C8">
            <w:pPr>
              <w:pStyle w:val="TableCopy"/>
              <w:spacing w:before="100" w:beforeAutospacing="1" w:after="100" w:afterAutospacing="1"/>
            </w:pPr>
            <w:r>
              <w:t>Construction</w:t>
            </w:r>
          </w:p>
        </w:tc>
        <w:tc>
          <w:tcPr>
            <w:tcW w:w="1698" w:type="dxa"/>
          </w:tcPr>
          <w:p w14:paraId="38E5B6F7" w14:textId="58B7CAEC" w:rsidR="009E373C" w:rsidRPr="00395E30" w:rsidRDefault="00256565" w:rsidP="008A00C8">
            <w:pPr>
              <w:pStyle w:val="TableCopy"/>
              <w:spacing w:before="100" w:beforeAutospacing="1" w:after="100" w:afterAutospacing="1"/>
              <w:rPr>
                <w:color w:val="000000"/>
              </w:rPr>
            </w:pPr>
            <w:r>
              <w:t>9,800</w:t>
            </w:r>
          </w:p>
        </w:tc>
      </w:tr>
      <w:tr w:rsidR="009E373C" w:rsidRPr="00395E30" w14:paraId="2477695D" w14:textId="77777777" w:rsidTr="00ED2699">
        <w:tc>
          <w:tcPr>
            <w:tcW w:w="4248" w:type="dxa"/>
          </w:tcPr>
          <w:p w14:paraId="701B6978" w14:textId="61AA2948" w:rsidR="009E373C" w:rsidRPr="00395E30" w:rsidRDefault="00576E23" w:rsidP="008A00C8">
            <w:pPr>
              <w:pStyle w:val="TableCopy"/>
              <w:spacing w:before="100" w:beforeAutospacing="1" w:after="100" w:afterAutospacing="1"/>
            </w:pPr>
            <w:r>
              <w:t>Education and training</w:t>
            </w:r>
          </w:p>
        </w:tc>
        <w:tc>
          <w:tcPr>
            <w:tcW w:w="1698" w:type="dxa"/>
          </w:tcPr>
          <w:p w14:paraId="66AA0B11" w14:textId="1841B4B7" w:rsidR="009E373C" w:rsidRPr="00395E30" w:rsidRDefault="00256565" w:rsidP="008A00C8">
            <w:pPr>
              <w:pStyle w:val="TableCopy"/>
              <w:spacing w:before="100" w:beforeAutospacing="1" w:after="100" w:afterAutospacing="1"/>
              <w:rPr>
                <w:color w:val="000000"/>
              </w:rPr>
            </w:pPr>
            <w:r>
              <w:t>8,500</w:t>
            </w:r>
          </w:p>
        </w:tc>
      </w:tr>
      <w:tr w:rsidR="009E373C" w:rsidRPr="00395E30" w14:paraId="5E5B40E6" w14:textId="77777777" w:rsidTr="00ED2699">
        <w:tc>
          <w:tcPr>
            <w:tcW w:w="4248" w:type="dxa"/>
          </w:tcPr>
          <w:p w14:paraId="5474ED5C" w14:textId="2899A713" w:rsidR="009E373C" w:rsidRPr="00395E30" w:rsidRDefault="00576E23" w:rsidP="008A00C8">
            <w:pPr>
              <w:pStyle w:val="TableCopy"/>
              <w:spacing w:before="100" w:beforeAutospacing="1" w:after="100" w:afterAutospacing="1"/>
            </w:pPr>
            <w:r>
              <w:t xml:space="preserve">Agriculture, </w:t>
            </w:r>
            <w:proofErr w:type="gramStart"/>
            <w:r>
              <w:t>forestry</w:t>
            </w:r>
            <w:proofErr w:type="gramEnd"/>
            <w:r>
              <w:t xml:space="preserve"> and fishing</w:t>
            </w:r>
          </w:p>
        </w:tc>
        <w:tc>
          <w:tcPr>
            <w:tcW w:w="1698" w:type="dxa"/>
          </w:tcPr>
          <w:p w14:paraId="24C2C062" w14:textId="1D983D10" w:rsidR="009E373C" w:rsidRPr="00395E30" w:rsidRDefault="00256565" w:rsidP="008A00C8">
            <w:pPr>
              <w:pStyle w:val="TableCopy"/>
              <w:spacing w:before="100" w:beforeAutospacing="1" w:after="100" w:afterAutospacing="1"/>
            </w:pPr>
            <w:r>
              <w:t>8,200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2873DB41" w:rsidR="00C6552B" w:rsidRPr="0055442F" w:rsidRDefault="00344BD5" w:rsidP="008A00C8">
            <w:pPr>
              <w:pStyle w:val="TableCopy"/>
              <w:spacing w:before="100" w:beforeAutospacing="1" w:after="100" w:afterAutospacing="1"/>
              <w:rPr>
                <w:b/>
                <w:bCs/>
              </w:rPr>
            </w:pPr>
            <w:r>
              <w:rPr>
                <w:b/>
                <w:bCs/>
              </w:rPr>
              <w:t>G</w:t>
            </w:r>
            <w:r w:rsidR="000662F2">
              <w:rPr>
                <w:b/>
                <w:bCs/>
              </w:rPr>
              <w:t xml:space="preserve">ross value </w:t>
            </w:r>
            <w:proofErr w:type="gramStart"/>
            <w:r w:rsidR="000662F2">
              <w:rPr>
                <w:b/>
                <w:bCs/>
              </w:rPr>
              <w:t>add</w:t>
            </w:r>
            <w:proofErr w:type="gramEnd"/>
          </w:p>
        </w:tc>
      </w:tr>
      <w:tr w:rsidR="00C6552B" w:rsidRPr="00395E30" w14:paraId="0D3E8598" w14:textId="77777777" w:rsidTr="00ED2699">
        <w:tc>
          <w:tcPr>
            <w:tcW w:w="4248" w:type="dxa"/>
          </w:tcPr>
          <w:p w14:paraId="5F4E85D0" w14:textId="5A1EC49A" w:rsidR="00C6552B" w:rsidRPr="00395E30" w:rsidRDefault="00E72BBE" w:rsidP="008A00C8">
            <w:pPr>
              <w:pStyle w:val="TableCopy"/>
              <w:spacing w:before="100" w:beforeAutospacing="1" w:after="100" w:afterAutospacing="1"/>
            </w:pPr>
            <w:r>
              <w:t>Health care and social assistance</w:t>
            </w:r>
          </w:p>
        </w:tc>
        <w:tc>
          <w:tcPr>
            <w:tcW w:w="1698" w:type="dxa"/>
          </w:tcPr>
          <w:p w14:paraId="62706779" w14:textId="7D0CC5B0" w:rsidR="00C6552B" w:rsidRPr="00395E30" w:rsidRDefault="00F947D7" w:rsidP="008A00C8">
            <w:pPr>
              <w:pStyle w:val="TableCopy"/>
              <w:spacing w:before="100" w:beforeAutospacing="1" w:after="100" w:afterAutospacing="1"/>
              <w:rPr>
                <w:color w:val="000000"/>
              </w:rPr>
            </w:pPr>
            <w:r>
              <w:t>$1,298.5</w:t>
            </w:r>
            <w:r w:rsidR="000662F2">
              <w:t xml:space="preserve"> Million</w:t>
            </w:r>
          </w:p>
        </w:tc>
      </w:tr>
      <w:tr w:rsidR="00C6552B" w:rsidRPr="00395E30" w14:paraId="6E5D60EB" w14:textId="77777777" w:rsidTr="00ED2699">
        <w:tc>
          <w:tcPr>
            <w:tcW w:w="4248" w:type="dxa"/>
          </w:tcPr>
          <w:p w14:paraId="3297DCA1" w14:textId="4630666B" w:rsidR="00C6552B" w:rsidRPr="00395E30" w:rsidRDefault="00E72BBE" w:rsidP="008A00C8">
            <w:pPr>
              <w:pStyle w:val="TableCopy"/>
              <w:spacing w:before="100" w:beforeAutospacing="1" w:after="100" w:afterAutospacing="1"/>
            </w:pPr>
            <w:r>
              <w:t>Financial and insurance services</w:t>
            </w:r>
          </w:p>
        </w:tc>
        <w:tc>
          <w:tcPr>
            <w:tcW w:w="1698" w:type="dxa"/>
          </w:tcPr>
          <w:p w14:paraId="06F7E01D" w14:textId="3BE530F7" w:rsidR="00C6552B" w:rsidRPr="00395E30" w:rsidRDefault="00F947D7" w:rsidP="008A00C8">
            <w:pPr>
              <w:pStyle w:val="TableCopy"/>
              <w:spacing w:before="100" w:beforeAutospacing="1" w:after="100" w:afterAutospacing="1"/>
              <w:rPr>
                <w:color w:val="000000"/>
              </w:rPr>
            </w:pPr>
            <w:r>
              <w:t>$979.9</w:t>
            </w:r>
            <w:r w:rsidR="000662F2">
              <w:t xml:space="preserve"> Million</w:t>
            </w:r>
          </w:p>
        </w:tc>
      </w:tr>
      <w:tr w:rsidR="00C6552B" w:rsidRPr="00395E30" w14:paraId="3CC31164" w14:textId="77777777" w:rsidTr="00ED2699">
        <w:tc>
          <w:tcPr>
            <w:tcW w:w="4248" w:type="dxa"/>
          </w:tcPr>
          <w:p w14:paraId="0F5C13E8" w14:textId="041B7206" w:rsidR="00C6552B" w:rsidRPr="00395E30" w:rsidRDefault="00E72BBE" w:rsidP="008A00C8">
            <w:pPr>
              <w:pStyle w:val="TableCopy"/>
              <w:spacing w:before="100" w:beforeAutospacing="1" w:after="100" w:afterAutospacing="1"/>
            </w:pPr>
            <w:r>
              <w:t>Manufacturing</w:t>
            </w:r>
          </w:p>
        </w:tc>
        <w:tc>
          <w:tcPr>
            <w:tcW w:w="1698" w:type="dxa"/>
          </w:tcPr>
          <w:p w14:paraId="5A745A8F" w14:textId="3EA8D380" w:rsidR="00C6552B" w:rsidRPr="00395E30" w:rsidRDefault="00E62132" w:rsidP="008A00C8">
            <w:pPr>
              <w:pStyle w:val="TableCopy"/>
              <w:spacing w:before="100" w:beforeAutospacing="1" w:after="100" w:afterAutospacing="1"/>
              <w:rPr>
                <w:color w:val="000000"/>
              </w:rPr>
            </w:pPr>
            <w:r>
              <w:t>$974.8</w:t>
            </w:r>
            <w:r w:rsidR="000662F2">
              <w:t xml:space="preserve"> Million</w:t>
            </w:r>
          </w:p>
        </w:tc>
      </w:tr>
      <w:tr w:rsidR="00C6552B" w:rsidRPr="00395E30" w14:paraId="41869C6B" w14:textId="77777777" w:rsidTr="00ED2699">
        <w:tc>
          <w:tcPr>
            <w:tcW w:w="4248" w:type="dxa"/>
          </w:tcPr>
          <w:p w14:paraId="227F0352" w14:textId="3C8D8D8C" w:rsidR="00C6552B" w:rsidRPr="00395E30" w:rsidRDefault="00E72BBE" w:rsidP="008A00C8">
            <w:pPr>
              <w:pStyle w:val="TableCopy"/>
              <w:spacing w:before="100" w:beforeAutospacing="1" w:after="100" w:afterAutospacing="1"/>
            </w:pPr>
            <w:r>
              <w:t>Construction</w:t>
            </w:r>
          </w:p>
        </w:tc>
        <w:tc>
          <w:tcPr>
            <w:tcW w:w="1698" w:type="dxa"/>
          </w:tcPr>
          <w:p w14:paraId="7DAF1A08" w14:textId="766F3905" w:rsidR="00C6552B" w:rsidRPr="00395E30" w:rsidRDefault="00E62132" w:rsidP="008A00C8">
            <w:pPr>
              <w:pStyle w:val="TableCopy"/>
              <w:spacing w:before="100" w:beforeAutospacing="1" w:after="100" w:afterAutospacing="1"/>
              <w:rPr>
                <w:color w:val="000000"/>
              </w:rPr>
            </w:pPr>
            <w:r>
              <w:t>$920.4</w:t>
            </w:r>
            <w:r w:rsidR="000662F2">
              <w:t xml:space="preserve"> Million</w:t>
            </w:r>
          </w:p>
        </w:tc>
      </w:tr>
      <w:tr w:rsidR="00C6552B" w:rsidRPr="00395E30" w14:paraId="24926785" w14:textId="77777777" w:rsidTr="00ED2699">
        <w:tc>
          <w:tcPr>
            <w:tcW w:w="4248" w:type="dxa"/>
          </w:tcPr>
          <w:p w14:paraId="642B83EB" w14:textId="3D4D1292" w:rsidR="00C6552B" w:rsidRPr="00395E30" w:rsidRDefault="00E72BBE" w:rsidP="008A00C8">
            <w:pPr>
              <w:pStyle w:val="TableCopy"/>
              <w:spacing w:before="100" w:beforeAutospacing="1" w:after="100" w:afterAutospacing="1"/>
            </w:pPr>
            <w:r>
              <w:t>Education and training</w:t>
            </w:r>
          </w:p>
        </w:tc>
        <w:tc>
          <w:tcPr>
            <w:tcW w:w="1698" w:type="dxa"/>
          </w:tcPr>
          <w:p w14:paraId="7470C069" w14:textId="2587F0BB" w:rsidR="00C6552B" w:rsidRPr="00395E30" w:rsidRDefault="00E62132" w:rsidP="008A00C8">
            <w:pPr>
              <w:pStyle w:val="TableCopy"/>
              <w:spacing w:before="100" w:beforeAutospacing="1" w:after="100" w:afterAutospacing="1"/>
              <w:rPr>
                <w:color w:val="000000"/>
              </w:rPr>
            </w:pPr>
            <w:r>
              <w:t>$656.6</w:t>
            </w:r>
            <w:r w:rsidR="000662F2">
              <w:t xml:space="preserve"> Million</w:t>
            </w:r>
          </w:p>
        </w:tc>
      </w:tr>
      <w:tr w:rsidR="00C6552B" w:rsidRPr="00395E30" w14:paraId="00F182DD" w14:textId="77777777" w:rsidTr="00ED2699">
        <w:tc>
          <w:tcPr>
            <w:tcW w:w="4248" w:type="dxa"/>
          </w:tcPr>
          <w:p w14:paraId="1F9A1809" w14:textId="29AF5AAD" w:rsidR="00C6552B" w:rsidRPr="00395E30" w:rsidRDefault="00E72BBE" w:rsidP="008A00C8">
            <w:pPr>
              <w:pStyle w:val="TableCopy"/>
              <w:spacing w:before="100" w:beforeAutospacing="1" w:after="100" w:afterAutospacing="1"/>
            </w:pPr>
            <w:r>
              <w:t xml:space="preserve">Agriculture, </w:t>
            </w:r>
            <w:proofErr w:type="gramStart"/>
            <w:r>
              <w:t>forestry</w:t>
            </w:r>
            <w:proofErr w:type="gramEnd"/>
            <w:r>
              <w:t xml:space="preserve"> and fishing</w:t>
            </w:r>
          </w:p>
        </w:tc>
        <w:tc>
          <w:tcPr>
            <w:tcW w:w="1698" w:type="dxa"/>
          </w:tcPr>
          <w:p w14:paraId="7598C604" w14:textId="588DC29C" w:rsidR="00C6552B" w:rsidRPr="00395E30" w:rsidRDefault="00E62132" w:rsidP="008A00C8">
            <w:pPr>
              <w:pStyle w:val="TableCopy"/>
              <w:spacing w:before="100" w:beforeAutospacing="1" w:after="100" w:afterAutospacing="1"/>
            </w:pPr>
            <w:r>
              <w:t>$648.9</w:t>
            </w:r>
            <w:r w:rsidR="000662F2">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2A389D64" w14:textId="0A8CEBA5" w:rsidR="00791C11" w:rsidRPr="00F24485" w:rsidRDefault="00F24485" w:rsidP="00F24485">
      <w:pPr>
        <w:spacing w:before="100" w:beforeAutospacing="1" w:after="100" w:afterAutospacing="1"/>
        <w:rPr>
          <w:rFonts w:ascii="Arial" w:hAnsi="Arial" w:cs="Arial"/>
          <w:sz w:val="24"/>
          <w:szCs w:val="24"/>
          <w:lang w:val="en-AU"/>
        </w:rPr>
      </w:pPr>
      <w:r w:rsidRPr="00F24485">
        <w:rPr>
          <w:rFonts w:ascii="Arial" w:hAnsi="Arial" w:cs="Arial"/>
          <w:sz w:val="24"/>
          <w:szCs w:val="24"/>
          <w:lang w:val="en-AU"/>
        </w:rPr>
        <w:t>Loddon Campaspe’s five strategic directions have been identified using an evidence base that considers the region’s unique attributes, existing and emerging industries, and socioeconomic context.</w:t>
      </w:r>
    </w:p>
    <w:p w14:paraId="2E6E6165" w14:textId="39A06409" w:rsidR="001245F6" w:rsidRPr="009A3281" w:rsidRDefault="00E87DA0" w:rsidP="005F2D47">
      <w:pPr>
        <w:pStyle w:val="Heading2"/>
        <w:spacing w:before="100" w:beforeAutospacing="1" w:after="100" w:afterAutospacing="1"/>
        <w:rPr>
          <w:rFonts w:ascii="Arial" w:hAnsi="Arial" w:cs="Arial"/>
          <w:color w:val="auto"/>
          <w:sz w:val="32"/>
          <w:szCs w:val="32"/>
        </w:rPr>
      </w:pPr>
      <w:r w:rsidRPr="00E87DA0">
        <w:rPr>
          <w:rFonts w:ascii="Arial" w:hAnsi="Arial" w:cs="Arial"/>
          <w:color w:val="auto"/>
          <w:sz w:val="32"/>
          <w:szCs w:val="32"/>
        </w:rPr>
        <w:t xml:space="preserve">1. </w:t>
      </w:r>
      <w:r w:rsidR="005F2D47" w:rsidRPr="005F2D47">
        <w:rPr>
          <w:rFonts w:ascii="Arial" w:hAnsi="Arial" w:cs="Arial"/>
          <w:color w:val="auto"/>
          <w:sz w:val="32"/>
          <w:szCs w:val="32"/>
        </w:rPr>
        <w:t>Support growth in agriculture and food</w:t>
      </w:r>
      <w:r w:rsidR="005F2D47">
        <w:rPr>
          <w:rFonts w:ascii="Arial" w:hAnsi="Arial" w:cs="Arial"/>
          <w:color w:val="auto"/>
          <w:sz w:val="32"/>
          <w:szCs w:val="32"/>
        </w:rPr>
        <w:t xml:space="preserve"> </w:t>
      </w:r>
      <w:r w:rsidR="005F2D47" w:rsidRPr="005F2D47">
        <w:rPr>
          <w:rFonts w:ascii="Arial" w:hAnsi="Arial" w:cs="Arial"/>
          <w:color w:val="auto"/>
          <w:sz w:val="32"/>
          <w:szCs w:val="32"/>
        </w:rPr>
        <w:t>product manufacturing to enhance value</w:t>
      </w:r>
      <w:r w:rsidR="005F2D47">
        <w:rPr>
          <w:rFonts w:ascii="Arial" w:hAnsi="Arial" w:cs="Arial"/>
          <w:color w:val="auto"/>
          <w:sz w:val="32"/>
          <w:szCs w:val="32"/>
        </w:rPr>
        <w:t xml:space="preserve"> </w:t>
      </w:r>
      <w:r w:rsidR="005F2D47" w:rsidRPr="005F2D47">
        <w:rPr>
          <w:rFonts w:ascii="Arial" w:hAnsi="Arial" w:cs="Arial"/>
          <w:color w:val="auto"/>
          <w:sz w:val="32"/>
          <w:szCs w:val="32"/>
        </w:rPr>
        <w:t>adding throughout the supply chain</w:t>
      </w:r>
    </w:p>
    <w:p w14:paraId="68353F0A" w14:textId="3893521E" w:rsidR="001245F6" w:rsidRPr="001245F6" w:rsidRDefault="00D2648A" w:rsidP="008A00C8">
      <w:pPr>
        <w:spacing w:before="100" w:beforeAutospacing="1" w:after="100" w:afterAutospacing="1"/>
        <w:rPr>
          <w:rFonts w:ascii="Arial" w:hAnsi="Arial" w:cs="Arial"/>
          <w:sz w:val="24"/>
          <w:szCs w:val="24"/>
          <w:lang w:val="en-AU"/>
        </w:rPr>
      </w:pPr>
      <w:r w:rsidRPr="00D2648A">
        <w:rPr>
          <w:rFonts w:ascii="Arial" w:hAnsi="Arial" w:cs="Arial"/>
          <w:sz w:val="24"/>
          <w:szCs w:val="24"/>
          <w:lang w:val="en-AU"/>
        </w:rPr>
        <w:t>New technologies and advanced manufacturing capabilities provide opportunities for the region to increase the value of local supply chains and take advantage of changing consumer preferences for safe and healthy food products</w:t>
      </w:r>
      <w:r w:rsidR="0015685F" w:rsidRPr="0015685F">
        <w:rPr>
          <w:rFonts w:ascii="Arial" w:hAnsi="Arial" w:cs="Arial"/>
          <w:sz w:val="24"/>
          <w:szCs w:val="24"/>
          <w:lang w:val="en-AU"/>
        </w:rPr>
        <w:t>.</w:t>
      </w:r>
    </w:p>
    <w:p w14:paraId="368E7515" w14:textId="0818FFC3" w:rsidR="001245F6" w:rsidRPr="001245F6" w:rsidRDefault="00C964C7" w:rsidP="008A00C8">
      <w:pPr>
        <w:pStyle w:val="Heading2"/>
        <w:spacing w:before="100" w:beforeAutospacing="1" w:after="100" w:afterAutospacing="1"/>
        <w:rPr>
          <w:rFonts w:ascii="Arial" w:hAnsi="Arial" w:cs="Arial"/>
          <w:color w:val="auto"/>
          <w:sz w:val="32"/>
          <w:szCs w:val="32"/>
        </w:rPr>
      </w:pPr>
      <w:r w:rsidRPr="00C964C7">
        <w:rPr>
          <w:rFonts w:ascii="Arial" w:hAnsi="Arial" w:cs="Arial"/>
          <w:color w:val="auto"/>
          <w:sz w:val="32"/>
          <w:szCs w:val="32"/>
        </w:rPr>
        <w:lastRenderedPageBreak/>
        <w:t xml:space="preserve">2. </w:t>
      </w:r>
      <w:r w:rsidR="00134CB0" w:rsidRPr="00134CB0">
        <w:rPr>
          <w:rFonts w:ascii="Arial" w:hAnsi="Arial" w:cs="Arial"/>
          <w:color w:val="auto"/>
          <w:sz w:val="32"/>
          <w:szCs w:val="32"/>
        </w:rPr>
        <w:t>Further pursue diversification of the tourism sector by leveraging natural, cultural, and built endowments</w:t>
      </w:r>
    </w:p>
    <w:p w14:paraId="1AFB04AD" w14:textId="69A0B5C4" w:rsidR="001245F6" w:rsidRPr="001245F6" w:rsidRDefault="00134CB0" w:rsidP="008A00C8">
      <w:pPr>
        <w:spacing w:before="100" w:beforeAutospacing="1" w:after="100" w:afterAutospacing="1"/>
        <w:rPr>
          <w:rFonts w:ascii="Arial" w:hAnsi="Arial" w:cs="Arial"/>
          <w:sz w:val="24"/>
          <w:szCs w:val="24"/>
          <w:lang w:val="en-AU"/>
        </w:rPr>
      </w:pPr>
      <w:r w:rsidRPr="00134CB0">
        <w:rPr>
          <w:rFonts w:ascii="Arial" w:hAnsi="Arial" w:cs="Arial"/>
          <w:sz w:val="24"/>
          <w:szCs w:val="24"/>
          <w:lang w:val="en-AU"/>
        </w:rPr>
        <w:t xml:space="preserve">Cultural tourism, heritage and food and gastronomy will shape the tourism industry, providing opportunities to showcase the region’s unique experiences, including Aboriginal culture and knowledge, local </w:t>
      </w:r>
      <w:proofErr w:type="gramStart"/>
      <w:r w:rsidRPr="00134CB0">
        <w:rPr>
          <w:rFonts w:ascii="Arial" w:hAnsi="Arial" w:cs="Arial"/>
          <w:sz w:val="24"/>
          <w:szCs w:val="24"/>
          <w:lang w:val="en-AU"/>
        </w:rPr>
        <w:t>creativity</w:t>
      </w:r>
      <w:proofErr w:type="gramEnd"/>
      <w:r w:rsidRPr="00134CB0">
        <w:rPr>
          <w:rFonts w:ascii="Arial" w:hAnsi="Arial" w:cs="Arial"/>
          <w:sz w:val="24"/>
          <w:szCs w:val="24"/>
          <w:lang w:val="en-AU"/>
        </w:rPr>
        <w:t xml:space="preserve"> and natural landscapes.</w:t>
      </w:r>
    </w:p>
    <w:p w14:paraId="3366C93F" w14:textId="571DE182" w:rsidR="001245F6" w:rsidRPr="001245F6" w:rsidRDefault="003264F0" w:rsidP="008A00C8">
      <w:pPr>
        <w:pStyle w:val="Heading2"/>
        <w:spacing w:before="100" w:beforeAutospacing="1" w:after="100" w:afterAutospacing="1"/>
        <w:rPr>
          <w:rFonts w:ascii="Arial" w:hAnsi="Arial" w:cs="Arial"/>
          <w:lang w:val="en-AU"/>
        </w:rPr>
      </w:pPr>
      <w:r w:rsidRPr="003264F0">
        <w:rPr>
          <w:rFonts w:ascii="Arial" w:hAnsi="Arial" w:cs="Arial"/>
          <w:color w:val="auto"/>
          <w:sz w:val="32"/>
          <w:szCs w:val="32"/>
        </w:rPr>
        <w:t>3. Maximise gains in the ‘employment and innovation corridor’ to attract professional services workers and entrepreneurial activity</w:t>
      </w:r>
    </w:p>
    <w:p w14:paraId="7203B608" w14:textId="6F9B472C" w:rsidR="001245F6" w:rsidRPr="001245F6" w:rsidRDefault="003264F0" w:rsidP="008A00C8">
      <w:pPr>
        <w:spacing w:before="100" w:beforeAutospacing="1" w:after="100" w:afterAutospacing="1"/>
        <w:rPr>
          <w:rFonts w:ascii="Arial" w:hAnsi="Arial" w:cs="Arial"/>
          <w:sz w:val="24"/>
          <w:szCs w:val="24"/>
          <w:lang w:val="en-AU"/>
        </w:rPr>
      </w:pPr>
      <w:r w:rsidRPr="003264F0">
        <w:rPr>
          <w:rFonts w:ascii="Arial" w:hAnsi="Arial" w:cs="Arial"/>
          <w:sz w:val="24"/>
          <w:szCs w:val="24"/>
          <w:lang w:val="en-AU"/>
        </w:rPr>
        <w:t xml:space="preserve">Entrepreneurship, business collaboration and higher levels of population movement will drive opportunities to attract and retain professionals and continue to develop the region as a finance hub. </w:t>
      </w:r>
    </w:p>
    <w:p w14:paraId="13507C2C" w14:textId="0B570285" w:rsidR="001245F6" w:rsidRPr="001245F6" w:rsidRDefault="001601A9" w:rsidP="008A00C8">
      <w:pPr>
        <w:pStyle w:val="Heading2"/>
        <w:spacing w:before="100" w:beforeAutospacing="1" w:after="100" w:afterAutospacing="1"/>
        <w:rPr>
          <w:rFonts w:ascii="Arial" w:hAnsi="Arial" w:cs="Arial"/>
          <w:color w:val="auto"/>
          <w:sz w:val="32"/>
          <w:szCs w:val="32"/>
        </w:rPr>
      </w:pPr>
      <w:r w:rsidRPr="001601A9">
        <w:rPr>
          <w:rFonts w:ascii="Arial" w:hAnsi="Arial" w:cs="Arial"/>
          <w:color w:val="auto"/>
          <w:sz w:val="32"/>
          <w:szCs w:val="32"/>
        </w:rPr>
        <w:t xml:space="preserve">4. Foster better links between education providers, industry, research, </w:t>
      </w:r>
      <w:proofErr w:type="gramStart"/>
      <w:r w:rsidRPr="001601A9">
        <w:rPr>
          <w:rFonts w:ascii="Arial" w:hAnsi="Arial" w:cs="Arial"/>
          <w:color w:val="auto"/>
          <w:sz w:val="32"/>
          <w:szCs w:val="32"/>
        </w:rPr>
        <w:t>employers</w:t>
      </w:r>
      <w:proofErr w:type="gramEnd"/>
      <w:r w:rsidRPr="001601A9">
        <w:rPr>
          <w:rFonts w:ascii="Arial" w:hAnsi="Arial" w:cs="Arial"/>
          <w:color w:val="auto"/>
          <w:sz w:val="32"/>
          <w:szCs w:val="32"/>
        </w:rPr>
        <w:t xml:space="preserve"> and students to develop career pathways and a workforce that meets the future needs of the region</w:t>
      </w:r>
    </w:p>
    <w:p w14:paraId="67DABD38" w14:textId="6C0B9C2B" w:rsidR="001245F6" w:rsidRPr="001245F6" w:rsidRDefault="001601A9" w:rsidP="008A00C8">
      <w:pPr>
        <w:spacing w:before="100" w:beforeAutospacing="1" w:after="100" w:afterAutospacing="1"/>
        <w:rPr>
          <w:rFonts w:ascii="Arial" w:hAnsi="Arial" w:cs="Arial"/>
          <w:sz w:val="24"/>
          <w:szCs w:val="24"/>
          <w:lang w:val="en-AU"/>
        </w:rPr>
      </w:pPr>
      <w:r w:rsidRPr="001601A9">
        <w:rPr>
          <w:rFonts w:ascii="Arial" w:hAnsi="Arial" w:cs="Arial"/>
          <w:sz w:val="24"/>
          <w:szCs w:val="24"/>
          <w:lang w:val="en-AU"/>
        </w:rPr>
        <w:t>Regional coordination and collaboration between education and industry offers opportunities to embrace new workplace practices and the growth of health care and social assistance sectors to drive inclusive employment and workforce diversity.</w:t>
      </w:r>
    </w:p>
    <w:p w14:paraId="267D0E45" w14:textId="2F6AF634" w:rsidR="001245F6" w:rsidRPr="001245F6" w:rsidRDefault="001601A9" w:rsidP="008A00C8">
      <w:pPr>
        <w:pStyle w:val="Heading2"/>
        <w:spacing w:before="100" w:beforeAutospacing="1" w:after="100" w:afterAutospacing="1"/>
        <w:rPr>
          <w:rFonts w:ascii="Arial" w:hAnsi="Arial" w:cs="Arial"/>
          <w:lang w:val="en-AU"/>
        </w:rPr>
      </w:pPr>
      <w:r w:rsidRPr="001601A9">
        <w:rPr>
          <w:rFonts w:ascii="Arial" w:hAnsi="Arial" w:cs="Arial"/>
          <w:color w:val="auto"/>
          <w:sz w:val="32"/>
          <w:szCs w:val="32"/>
        </w:rPr>
        <w:t xml:space="preserve">5. Leverage local opportunities to strengthen value chains and diversify into new industries, including in mining, renewable </w:t>
      </w:r>
      <w:proofErr w:type="gramStart"/>
      <w:r w:rsidRPr="001601A9">
        <w:rPr>
          <w:rFonts w:ascii="Arial" w:hAnsi="Arial" w:cs="Arial"/>
          <w:color w:val="auto"/>
          <w:sz w:val="32"/>
          <w:szCs w:val="32"/>
        </w:rPr>
        <w:t>energy</w:t>
      </w:r>
      <w:proofErr w:type="gramEnd"/>
      <w:r w:rsidRPr="001601A9">
        <w:rPr>
          <w:rFonts w:ascii="Arial" w:hAnsi="Arial" w:cs="Arial"/>
          <w:color w:val="auto"/>
          <w:sz w:val="32"/>
          <w:szCs w:val="32"/>
        </w:rPr>
        <w:t xml:space="preserve"> and waste processing.</w:t>
      </w:r>
    </w:p>
    <w:p w14:paraId="2699403D" w14:textId="653A8036" w:rsidR="001245F6" w:rsidRPr="001245F6" w:rsidRDefault="00FF09E2" w:rsidP="008A00C8">
      <w:pPr>
        <w:spacing w:before="100" w:beforeAutospacing="1" w:after="100" w:afterAutospacing="1"/>
        <w:rPr>
          <w:rFonts w:ascii="Arial" w:hAnsi="Arial" w:cs="Arial"/>
          <w:sz w:val="24"/>
          <w:szCs w:val="24"/>
          <w:lang w:val="en-AU"/>
        </w:rPr>
      </w:pPr>
      <w:r w:rsidRPr="00FF09E2">
        <w:rPr>
          <w:rFonts w:ascii="Arial" w:hAnsi="Arial" w:cs="Arial"/>
          <w:sz w:val="24"/>
          <w:szCs w:val="24"/>
          <w:lang w:val="en-AU"/>
        </w:rPr>
        <w:t>Local innovation and advanced manufacturing capabilities present opportunities to drive investment in mining value chains and promote the growth of bioenergy generation and circular economy processing in the region.</w:t>
      </w:r>
    </w:p>
    <w:p w14:paraId="6D23E3A4" w14:textId="441E89F1" w:rsidR="007B6470" w:rsidRPr="00392AB8" w:rsidRDefault="007B6470" w:rsidP="00A91195">
      <w:pPr>
        <w:pStyle w:val="FootnoteText"/>
      </w:pPr>
      <w:r w:rsidRPr="00392AB8">
        <w:t xml:space="preserve">Please refer to the </w:t>
      </w:r>
      <w:r w:rsidR="008B4D1B">
        <w:t>Loddon Campaspe</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0308E"/>
    <w:rsid w:val="000237B7"/>
    <w:rsid w:val="00032B2C"/>
    <w:rsid w:val="00043CFE"/>
    <w:rsid w:val="00047184"/>
    <w:rsid w:val="00064FF3"/>
    <w:rsid w:val="000662F2"/>
    <w:rsid w:val="00087E72"/>
    <w:rsid w:val="00110FD5"/>
    <w:rsid w:val="001245F6"/>
    <w:rsid w:val="00134CB0"/>
    <w:rsid w:val="0015685F"/>
    <w:rsid w:val="001601A9"/>
    <w:rsid w:val="00163928"/>
    <w:rsid w:val="001765A2"/>
    <w:rsid w:val="001C2593"/>
    <w:rsid w:val="001E544A"/>
    <w:rsid w:val="00224BFB"/>
    <w:rsid w:val="00226367"/>
    <w:rsid w:val="00237C71"/>
    <w:rsid w:val="00240C90"/>
    <w:rsid w:val="00241A94"/>
    <w:rsid w:val="00256565"/>
    <w:rsid w:val="00265016"/>
    <w:rsid w:val="002D0776"/>
    <w:rsid w:val="00304CB6"/>
    <w:rsid w:val="003052AD"/>
    <w:rsid w:val="003264F0"/>
    <w:rsid w:val="0033717F"/>
    <w:rsid w:val="00344BD5"/>
    <w:rsid w:val="00372AAE"/>
    <w:rsid w:val="00384431"/>
    <w:rsid w:val="00392AB8"/>
    <w:rsid w:val="003C5975"/>
    <w:rsid w:val="003D50F9"/>
    <w:rsid w:val="003E29EB"/>
    <w:rsid w:val="0040436C"/>
    <w:rsid w:val="00421CBF"/>
    <w:rsid w:val="004258C8"/>
    <w:rsid w:val="00473AEC"/>
    <w:rsid w:val="004C1FA3"/>
    <w:rsid w:val="004E2623"/>
    <w:rsid w:val="0051145A"/>
    <w:rsid w:val="00535344"/>
    <w:rsid w:val="00542953"/>
    <w:rsid w:val="00542B83"/>
    <w:rsid w:val="00542BBC"/>
    <w:rsid w:val="00562DCA"/>
    <w:rsid w:val="00576E23"/>
    <w:rsid w:val="005D5CAA"/>
    <w:rsid w:val="005F2D47"/>
    <w:rsid w:val="00614C83"/>
    <w:rsid w:val="00650212"/>
    <w:rsid w:val="00670F30"/>
    <w:rsid w:val="00685ADF"/>
    <w:rsid w:val="006C7A47"/>
    <w:rsid w:val="006F5A41"/>
    <w:rsid w:val="007254CF"/>
    <w:rsid w:val="00744C98"/>
    <w:rsid w:val="007514C9"/>
    <w:rsid w:val="00790976"/>
    <w:rsid w:val="00791C11"/>
    <w:rsid w:val="007B6470"/>
    <w:rsid w:val="00826A4F"/>
    <w:rsid w:val="00864E5F"/>
    <w:rsid w:val="00894C22"/>
    <w:rsid w:val="008A00C8"/>
    <w:rsid w:val="008B4D1B"/>
    <w:rsid w:val="008B5C2D"/>
    <w:rsid w:val="0097034F"/>
    <w:rsid w:val="00975986"/>
    <w:rsid w:val="009949E7"/>
    <w:rsid w:val="009A3281"/>
    <w:rsid w:val="009B327E"/>
    <w:rsid w:val="009D5328"/>
    <w:rsid w:val="009E373C"/>
    <w:rsid w:val="009E3AD7"/>
    <w:rsid w:val="00A039B4"/>
    <w:rsid w:val="00A91195"/>
    <w:rsid w:val="00AC35F6"/>
    <w:rsid w:val="00B34475"/>
    <w:rsid w:val="00B35BC9"/>
    <w:rsid w:val="00B67844"/>
    <w:rsid w:val="00B74E41"/>
    <w:rsid w:val="00B815BC"/>
    <w:rsid w:val="00C349FB"/>
    <w:rsid w:val="00C6552B"/>
    <w:rsid w:val="00C71B7A"/>
    <w:rsid w:val="00C83238"/>
    <w:rsid w:val="00C964C7"/>
    <w:rsid w:val="00CC083F"/>
    <w:rsid w:val="00CF4D48"/>
    <w:rsid w:val="00D2648A"/>
    <w:rsid w:val="00D54656"/>
    <w:rsid w:val="00DF52B6"/>
    <w:rsid w:val="00E1380E"/>
    <w:rsid w:val="00E62132"/>
    <w:rsid w:val="00E6798B"/>
    <w:rsid w:val="00E70E24"/>
    <w:rsid w:val="00E72BBE"/>
    <w:rsid w:val="00E87DA0"/>
    <w:rsid w:val="00E90A51"/>
    <w:rsid w:val="00EA14E8"/>
    <w:rsid w:val="00EC3CFE"/>
    <w:rsid w:val="00F07A02"/>
    <w:rsid w:val="00F13234"/>
    <w:rsid w:val="00F14C39"/>
    <w:rsid w:val="00F24485"/>
    <w:rsid w:val="00F35DC3"/>
    <w:rsid w:val="00F56B94"/>
    <w:rsid w:val="00F935E0"/>
    <w:rsid w:val="00F947D7"/>
    <w:rsid w:val="00FD5B06"/>
    <w:rsid w:val="00FE3CC8"/>
    <w:rsid w:val="00FF09E2"/>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3797">
      <w:bodyDiv w:val="1"/>
      <w:marLeft w:val="0"/>
      <w:marRight w:val="0"/>
      <w:marTop w:val="0"/>
      <w:marBottom w:val="0"/>
      <w:divBdr>
        <w:top w:val="none" w:sz="0" w:space="0" w:color="auto"/>
        <w:left w:val="none" w:sz="0" w:space="0" w:color="auto"/>
        <w:bottom w:val="none" w:sz="0" w:space="0" w:color="auto"/>
        <w:right w:val="none" w:sz="0" w:space="0" w:color="auto"/>
      </w:divBdr>
    </w:div>
    <w:div w:id="171992222">
      <w:bodyDiv w:val="1"/>
      <w:marLeft w:val="0"/>
      <w:marRight w:val="0"/>
      <w:marTop w:val="0"/>
      <w:marBottom w:val="0"/>
      <w:divBdr>
        <w:top w:val="none" w:sz="0" w:space="0" w:color="auto"/>
        <w:left w:val="none" w:sz="0" w:space="0" w:color="auto"/>
        <w:bottom w:val="none" w:sz="0" w:space="0" w:color="auto"/>
        <w:right w:val="none" w:sz="0" w:space="0" w:color="auto"/>
      </w:divBdr>
    </w:div>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242421903">
      <w:bodyDiv w:val="1"/>
      <w:marLeft w:val="0"/>
      <w:marRight w:val="0"/>
      <w:marTop w:val="0"/>
      <w:marBottom w:val="0"/>
      <w:divBdr>
        <w:top w:val="none" w:sz="0" w:space="0" w:color="auto"/>
        <w:left w:val="none" w:sz="0" w:space="0" w:color="auto"/>
        <w:bottom w:val="none" w:sz="0" w:space="0" w:color="auto"/>
        <w:right w:val="none" w:sz="0" w:space="0" w:color="auto"/>
      </w:divBdr>
    </w:div>
    <w:div w:id="263996739">
      <w:bodyDiv w:val="1"/>
      <w:marLeft w:val="0"/>
      <w:marRight w:val="0"/>
      <w:marTop w:val="0"/>
      <w:marBottom w:val="0"/>
      <w:divBdr>
        <w:top w:val="none" w:sz="0" w:space="0" w:color="auto"/>
        <w:left w:val="none" w:sz="0" w:space="0" w:color="auto"/>
        <w:bottom w:val="none" w:sz="0" w:space="0" w:color="auto"/>
        <w:right w:val="none" w:sz="0" w:space="0" w:color="auto"/>
      </w:divBdr>
    </w:div>
    <w:div w:id="279073524">
      <w:bodyDiv w:val="1"/>
      <w:marLeft w:val="0"/>
      <w:marRight w:val="0"/>
      <w:marTop w:val="0"/>
      <w:marBottom w:val="0"/>
      <w:divBdr>
        <w:top w:val="none" w:sz="0" w:space="0" w:color="auto"/>
        <w:left w:val="none" w:sz="0" w:space="0" w:color="auto"/>
        <w:bottom w:val="none" w:sz="0" w:space="0" w:color="auto"/>
        <w:right w:val="none" w:sz="0" w:space="0" w:color="auto"/>
      </w:divBdr>
    </w:div>
    <w:div w:id="416833321">
      <w:bodyDiv w:val="1"/>
      <w:marLeft w:val="0"/>
      <w:marRight w:val="0"/>
      <w:marTop w:val="0"/>
      <w:marBottom w:val="0"/>
      <w:divBdr>
        <w:top w:val="none" w:sz="0" w:space="0" w:color="auto"/>
        <w:left w:val="none" w:sz="0" w:space="0" w:color="auto"/>
        <w:bottom w:val="none" w:sz="0" w:space="0" w:color="auto"/>
        <w:right w:val="none" w:sz="0" w:space="0" w:color="auto"/>
      </w:divBdr>
    </w:div>
    <w:div w:id="441924647">
      <w:bodyDiv w:val="1"/>
      <w:marLeft w:val="0"/>
      <w:marRight w:val="0"/>
      <w:marTop w:val="0"/>
      <w:marBottom w:val="0"/>
      <w:divBdr>
        <w:top w:val="none" w:sz="0" w:space="0" w:color="auto"/>
        <w:left w:val="none" w:sz="0" w:space="0" w:color="auto"/>
        <w:bottom w:val="none" w:sz="0" w:space="0" w:color="auto"/>
        <w:right w:val="none" w:sz="0" w:space="0" w:color="auto"/>
      </w:divBdr>
    </w:div>
    <w:div w:id="474686433">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549616529">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620575245">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38813766">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842208744">
      <w:bodyDiv w:val="1"/>
      <w:marLeft w:val="0"/>
      <w:marRight w:val="0"/>
      <w:marTop w:val="0"/>
      <w:marBottom w:val="0"/>
      <w:divBdr>
        <w:top w:val="none" w:sz="0" w:space="0" w:color="auto"/>
        <w:left w:val="none" w:sz="0" w:space="0" w:color="auto"/>
        <w:bottom w:val="none" w:sz="0" w:space="0" w:color="auto"/>
        <w:right w:val="none" w:sz="0" w:space="0" w:color="auto"/>
      </w:divBdr>
    </w:div>
    <w:div w:id="1050499887">
      <w:bodyDiv w:val="1"/>
      <w:marLeft w:val="0"/>
      <w:marRight w:val="0"/>
      <w:marTop w:val="0"/>
      <w:marBottom w:val="0"/>
      <w:divBdr>
        <w:top w:val="none" w:sz="0" w:space="0" w:color="auto"/>
        <w:left w:val="none" w:sz="0" w:space="0" w:color="auto"/>
        <w:bottom w:val="none" w:sz="0" w:space="0" w:color="auto"/>
        <w:right w:val="none" w:sz="0" w:space="0" w:color="auto"/>
      </w:divBdr>
    </w:div>
    <w:div w:id="1135483452">
      <w:bodyDiv w:val="1"/>
      <w:marLeft w:val="0"/>
      <w:marRight w:val="0"/>
      <w:marTop w:val="0"/>
      <w:marBottom w:val="0"/>
      <w:divBdr>
        <w:top w:val="none" w:sz="0" w:space="0" w:color="auto"/>
        <w:left w:val="none" w:sz="0" w:space="0" w:color="auto"/>
        <w:bottom w:val="none" w:sz="0" w:space="0" w:color="auto"/>
        <w:right w:val="none" w:sz="0" w:space="0" w:color="auto"/>
      </w:divBdr>
    </w:div>
    <w:div w:id="1174301986">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402751314">
      <w:bodyDiv w:val="1"/>
      <w:marLeft w:val="0"/>
      <w:marRight w:val="0"/>
      <w:marTop w:val="0"/>
      <w:marBottom w:val="0"/>
      <w:divBdr>
        <w:top w:val="none" w:sz="0" w:space="0" w:color="auto"/>
        <w:left w:val="none" w:sz="0" w:space="0" w:color="auto"/>
        <w:bottom w:val="none" w:sz="0" w:space="0" w:color="auto"/>
        <w:right w:val="none" w:sz="0" w:space="0" w:color="auto"/>
      </w:divBdr>
    </w:div>
    <w:div w:id="1420172553">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1646425709">
      <w:bodyDiv w:val="1"/>
      <w:marLeft w:val="0"/>
      <w:marRight w:val="0"/>
      <w:marTop w:val="0"/>
      <w:marBottom w:val="0"/>
      <w:divBdr>
        <w:top w:val="none" w:sz="0" w:space="0" w:color="auto"/>
        <w:left w:val="none" w:sz="0" w:space="0" w:color="auto"/>
        <w:bottom w:val="none" w:sz="0" w:space="0" w:color="auto"/>
        <w:right w:val="none" w:sz="0" w:space="0" w:color="auto"/>
      </w:divBdr>
    </w:div>
    <w:div w:id="1825121569">
      <w:bodyDiv w:val="1"/>
      <w:marLeft w:val="0"/>
      <w:marRight w:val="0"/>
      <w:marTop w:val="0"/>
      <w:marBottom w:val="0"/>
      <w:divBdr>
        <w:top w:val="none" w:sz="0" w:space="0" w:color="auto"/>
        <w:left w:val="none" w:sz="0" w:space="0" w:color="auto"/>
        <w:bottom w:val="none" w:sz="0" w:space="0" w:color="auto"/>
        <w:right w:val="none" w:sz="0" w:space="0" w:color="auto"/>
      </w:divBdr>
    </w:div>
    <w:div w:id="1925793778">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customXml/itemProps2.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3.xml><?xml version="1.0" encoding="utf-8"?>
<ds:datastoreItem xmlns:ds="http://schemas.openxmlformats.org/officeDocument/2006/customXml" ds:itemID="{562152BC-B96A-4DA2-B063-D2549209999D}">
  <ds:schemaRefs>
    <ds:schemaRef ds:uri="http://purl.org/dc/terms/"/>
    <ds:schemaRef ds:uri="http://schemas.microsoft.com/office/2006/documentManagement/types"/>
    <ds:schemaRef ds:uri="029c08ca-17ba-47d3-a4d3-5c72257ad7c4"/>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970f3ff-c7c3-4b73-8f0c-0bc260d159f3"/>
    <ds:schemaRef ds:uri="620eb5da-c6d3-451c-9903-f568d8f02820"/>
    <ds:schemaRef ds:uri="http://www.w3.org/XML/1998/namespace"/>
    <ds:schemaRef ds:uri="http://purl.org/dc/dcmitype/"/>
  </ds:schemaRefs>
</ds:datastoreItem>
</file>

<file path=customXml/itemProps4.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116</cp:revision>
  <dcterms:created xsi:type="dcterms:W3CDTF">2023-10-06T00:54:00Z</dcterms:created>
  <dcterms:modified xsi:type="dcterms:W3CDTF">2023-10-25T04:33:00Z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