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3B30" w14:textId="61B2FE77" w:rsidR="00D33958" w:rsidRDefault="00D33958" w:rsidP="00156B8B">
      <w:r>
        <w:rPr>
          <w:noProof/>
        </w:rPr>
        <w:drawing>
          <wp:inline distT="0" distB="0" distL="0" distR="0" wp14:anchorId="2AD918F6" wp14:editId="4908A08C">
            <wp:extent cx="1404257" cy="801738"/>
            <wp:effectExtent l="0" t="0" r="5715" b="0"/>
            <wp:docPr id="2" name="Picture 2" descr="Victoria State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ictoria State Govern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6658" cy="80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039A8" w14:textId="24DAECDA" w:rsidR="00156B8B" w:rsidRDefault="00156B8B" w:rsidP="00156B8B">
      <w:r>
        <w:rPr>
          <w:noProof/>
        </w:rPr>
        <w:drawing>
          <wp:inline distT="0" distB="0" distL="0" distR="0" wp14:anchorId="53B3E68F" wp14:editId="39C9892B">
            <wp:extent cx="4333474" cy="696686"/>
            <wp:effectExtent l="0" t="0" r="0" b="8255"/>
            <wp:docPr id="1" name="Picture 1" descr="An Australian Government Initiative&#10;Regional Development Australia – H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n Australian Government Initiative&#10;Regional Development Australia – Hum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7922" cy="70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337E6" w14:textId="03F2ABAA" w:rsidR="00000000" w:rsidRPr="00156B8B" w:rsidRDefault="00CB249B" w:rsidP="004C054B">
      <w:pPr>
        <w:pStyle w:val="Title"/>
      </w:pPr>
      <w:r w:rsidRPr="00156B8B">
        <w:t>HUME</w:t>
      </w:r>
      <w:r w:rsidRPr="00156B8B">
        <w:t xml:space="preserve"> </w:t>
      </w:r>
      <w:r w:rsidRPr="00156B8B">
        <w:t>Plan on a Page</w:t>
      </w:r>
    </w:p>
    <w:p w14:paraId="41C43E62" w14:textId="77777777" w:rsidR="00000000" w:rsidRDefault="00CB249B" w:rsidP="00CF42D8">
      <w:pPr>
        <w:pStyle w:val="Heading1"/>
      </w:pPr>
      <w:r>
        <w:t>Vision</w:t>
      </w:r>
    </w:p>
    <w:p w14:paraId="209A088D" w14:textId="67A61201" w:rsidR="00000000" w:rsidRDefault="00CB249B" w:rsidP="00CF42D8">
      <w:pPr>
        <w:pStyle w:val="Heading2"/>
      </w:pPr>
      <w:r>
        <w:t>The Hume Region is Australia’s heartbeat.</w:t>
      </w:r>
    </w:p>
    <w:p w14:paraId="5046BF9F" w14:textId="77777777" w:rsidR="00000000" w:rsidRDefault="00CB249B" w:rsidP="00CF42D8">
      <w:r>
        <w:t xml:space="preserve">Hume will be a place that is the lifeblood of the State and the Nation through its productive and beautiful </w:t>
      </w:r>
      <w:r>
        <w:rPr>
          <w:spacing w:val="-2"/>
        </w:rPr>
        <w:t xml:space="preserve">landscapes, its deep connections to its people and cultures and its strategic location in the heart of Victoria amongst </w:t>
      </w:r>
      <w:r>
        <w:t>the Nation’s arterial networ</w:t>
      </w:r>
      <w:r>
        <w:t xml:space="preserve">k. Hume will sustain the </w:t>
      </w:r>
      <w:r>
        <w:rPr>
          <w:spacing w:val="-2"/>
        </w:rPr>
        <w:t xml:space="preserve">preservation of future generations through its rich primary </w:t>
      </w:r>
      <w:r>
        <w:t>production and food producing capabilities, access to services and its vibrant and empowered communities.</w:t>
      </w:r>
    </w:p>
    <w:p w14:paraId="45320BA8" w14:textId="77777777" w:rsidR="00000000" w:rsidRDefault="00CB249B" w:rsidP="00391181">
      <w:pPr>
        <w:pStyle w:val="Heading1"/>
      </w:pPr>
      <w:r>
        <w:t>The Region</w:t>
      </w:r>
    </w:p>
    <w:p w14:paraId="2BF5FE27" w14:textId="77777777" w:rsidR="00000000" w:rsidRDefault="00CB249B" w:rsidP="00391181">
      <w:r>
        <w:t xml:space="preserve">Hume encompasses some of the nation’s most productive </w:t>
      </w:r>
      <w:r>
        <w:t>and beautiful landscapes. It includes 12 local government areas stretching from the outer reaches of a rapidly expanding Melbourne to the Murray River and Alpine high country to the North. It is home to an incredibly diverse population of over 300,000 peop</w:t>
      </w:r>
      <w:r>
        <w:t xml:space="preserve">le and continuing to grow. This population is supported by established health, education and social service delivery sectors that continue to develop and heavily contribute to the local economy. </w:t>
      </w:r>
    </w:p>
    <w:p w14:paraId="1723FB02" w14:textId="57F02971" w:rsidR="00000000" w:rsidRDefault="00CB249B" w:rsidP="00391181">
      <w:r>
        <w:t>Hume holds a strategic position along nationally significant</w:t>
      </w:r>
      <w:r>
        <w:t xml:space="preserve"> </w:t>
      </w:r>
      <w:r>
        <w:rPr>
          <w:spacing w:val="-2"/>
        </w:rPr>
        <w:t>transport and freight routes to allow the movement of goods</w:t>
      </w:r>
      <w:r>
        <w:t xml:space="preserve"> and people. Our water catchments provide precious water </w:t>
      </w:r>
      <w:r>
        <w:rPr>
          <w:spacing w:val="-2"/>
        </w:rPr>
        <w:t>resources to the broader Goulburn Murray area and supports</w:t>
      </w:r>
      <w:r>
        <w:t xml:space="preserve"> a national and internationally significant food-bowl. This production is support</w:t>
      </w:r>
      <w:r>
        <w:t xml:space="preserve">ed by specialised manufacturing and </w:t>
      </w:r>
      <w:r>
        <w:t xml:space="preserve">food processing capabilities that drive a strong value chain. </w:t>
      </w:r>
    </w:p>
    <w:p w14:paraId="5A613139" w14:textId="77777777" w:rsidR="00000000" w:rsidRDefault="00CB249B" w:rsidP="00391181">
      <w:pPr>
        <w:pStyle w:val="Heading1"/>
      </w:pPr>
      <w:r>
        <w:lastRenderedPageBreak/>
        <w:t>Strategic Focus Areas</w:t>
      </w:r>
    </w:p>
    <w:p w14:paraId="5DAA4C12" w14:textId="77777777" w:rsidR="00000000" w:rsidRDefault="00CB249B" w:rsidP="00391181">
      <w:r>
        <w:t xml:space="preserve">To support the ongoing economic growth of the Hume region the Regional Development Australia (RDA) Hume Committee </w:t>
      </w:r>
      <w:r>
        <w:t>has adopted the foll</w:t>
      </w:r>
      <w:r>
        <w:t>owing key strategic focus areas. These focus areas speak to the challenges facing the region’s prosperity but also the key opportunities for growth and development.</w:t>
      </w:r>
    </w:p>
    <w:p w14:paraId="69352BBF" w14:textId="19A5960F" w:rsidR="00000000" w:rsidRDefault="00CB249B" w:rsidP="00391181">
      <w:pPr>
        <w:pStyle w:val="Heading1"/>
      </w:pPr>
      <w:r>
        <w:t>Housing</w:t>
      </w:r>
    </w:p>
    <w:p w14:paraId="37DC3D17" w14:textId="77777777" w:rsidR="00000000" w:rsidRDefault="00CB249B" w:rsidP="00391181">
      <w:pPr>
        <w:pStyle w:val="Bullet"/>
      </w:pPr>
      <w:r>
        <w:t>Lack of housing is limiting the local economy</w:t>
      </w:r>
    </w:p>
    <w:p w14:paraId="17207B1E" w14:textId="77777777" w:rsidR="00000000" w:rsidRDefault="00CB249B" w:rsidP="00391181">
      <w:pPr>
        <w:pStyle w:val="Bullet"/>
      </w:pPr>
      <w:r>
        <w:t>Key worker housing</w:t>
      </w:r>
    </w:p>
    <w:p w14:paraId="541FE69E" w14:textId="77777777" w:rsidR="00000000" w:rsidRDefault="00CB249B" w:rsidP="00391181">
      <w:pPr>
        <w:pStyle w:val="Bullet"/>
      </w:pPr>
      <w:r>
        <w:t>Affordability</w:t>
      </w:r>
    </w:p>
    <w:p w14:paraId="66DF287E" w14:textId="77777777" w:rsidR="00000000" w:rsidRDefault="00CB249B" w:rsidP="00391181">
      <w:pPr>
        <w:pStyle w:val="Bullet"/>
      </w:pPr>
      <w:r>
        <w:t>Eme</w:t>
      </w:r>
      <w:r>
        <w:t>rgency Management</w:t>
      </w:r>
    </w:p>
    <w:p w14:paraId="1A215599" w14:textId="77777777" w:rsidR="00000000" w:rsidRDefault="00CB249B" w:rsidP="00391181">
      <w:pPr>
        <w:pStyle w:val="Bulletlast"/>
      </w:pPr>
      <w:r>
        <w:t>Social Housing</w:t>
      </w:r>
    </w:p>
    <w:p w14:paraId="0BDD90AC" w14:textId="77777777" w:rsidR="00000000" w:rsidRDefault="00CB249B" w:rsidP="00391181">
      <w:pPr>
        <w:pStyle w:val="Heading1"/>
      </w:pPr>
      <w:r>
        <w:t>Energy Transition</w:t>
      </w:r>
    </w:p>
    <w:p w14:paraId="4E03D1E7" w14:textId="77777777" w:rsidR="00000000" w:rsidRDefault="00CB249B" w:rsidP="00391181">
      <w:pPr>
        <w:pStyle w:val="Bullet"/>
      </w:pPr>
      <w:r>
        <w:t>Significant threat to established industries</w:t>
      </w:r>
    </w:p>
    <w:p w14:paraId="03986656" w14:textId="77777777" w:rsidR="00000000" w:rsidRDefault="00CB249B" w:rsidP="00391181">
      <w:pPr>
        <w:pStyle w:val="Bullet"/>
      </w:pPr>
      <w:r>
        <w:t>Cluster of waste producers / energy users</w:t>
      </w:r>
    </w:p>
    <w:p w14:paraId="089A9570" w14:textId="77777777" w:rsidR="00000000" w:rsidRDefault="00CB249B" w:rsidP="00391181">
      <w:pPr>
        <w:pStyle w:val="Bullet"/>
      </w:pPr>
      <w:r>
        <w:t>Freight and logistics capacity</w:t>
      </w:r>
    </w:p>
    <w:p w14:paraId="2D6392E6" w14:textId="7630AC52" w:rsidR="00000000" w:rsidRDefault="00CB249B" w:rsidP="00391181">
      <w:pPr>
        <w:pStyle w:val="Bulletlast"/>
      </w:pPr>
      <w:r>
        <w:t xml:space="preserve">Clean </w:t>
      </w:r>
      <w:r w:rsidR="00C60C86">
        <w:t>and</w:t>
      </w:r>
      <w:r>
        <w:t xml:space="preserve"> Green Brand</w:t>
      </w:r>
    </w:p>
    <w:tbl>
      <w:tblPr>
        <w:tblStyle w:val="TableGrid"/>
        <w:tblW w:w="9639" w:type="dxa"/>
        <w:tblLayout w:type="fixed"/>
        <w:tblLook w:val="0020" w:firstRow="1" w:lastRow="0" w:firstColumn="0" w:lastColumn="0" w:noHBand="0" w:noVBand="0"/>
      </w:tblPr>
      <w:tblGrid>
        <w:gridCol w:w="3213"/>
        <w:gridCol w:w="3213"/>
        <w:gridCol w:w="3213"/>
      </w:tblGrid>
      <w:tr w:rsidR="007D3264" w:rsidRPr="00D44AC5" w14:paraId="4A6C6D81" w14:textId="77777777" w:rsidTr="00166836">
        <w:trPr>
          <w:cantSplit/>
          <w:tblHeader/>
        </w:trPr>
        <w:tc>
          <w:tcPr>
            <w:tcW w:w="3213" w:type="dxa"/>
          </w:tcPr>
          <w:p w14:paraId="7AB92466" w14:textId="2245F199" w:rsidR="007D3264" w:rsidRPr="00D44AC5" w:rsidRDefault="00D44AC5" w:rsidP="00D44AC5">
            <w:pPr>
              <w:pStyle w:val="TableColumnHeading"/>
            </w:pPr>
            <w:bookmarkStart w:id="0" w:name="ColumnTitle"/>
            <w:bookmarkEnd w:id="0"/>
            <w:r w:rsidRPr="00D44AC5">
              <w:t>Strategic Focus Area</w:t>
            </w:r>
          </w:p>
        </w:tc>
        <w:tc>
          <w:tcPr>
            <w:tcW w:w="3213" w:type="dxa"/>
          </w:tcPr>
          <w:p w14:paraId="2BB66427" w14:textId="10E5C17B" w:rsidR="007D3264" w:rsidRPr="00D44AC5" w:rsidRDefault="00D44AC5" w:rsidP="00D44AC5">
            <w:pPr>
              <w:pStyle w:val="TableColumnHeading"/>
            </w:pPr>
            <w:r w:rsidRPr="00D44AC5">
              <w:t>Key Actions</w:t>
            </w:r>
          </w:p>
        </w:tc>
        <w:tc>
          <w:tcPr>
            <w:tcW w:w="3213" w:type="dxa"/>
          </w:tcPr>
          <w:p w14:paraId="0F2CF2D4" w14:textId="74BA7A84" w:rsidR="007D3264" w:rsidRPr="00D44AC5" w:rsidRDefault="00D44AC5" w:rsidP="00D44AC5">
            <w:pPr>
              <w:pStyle w:val="TableColumnHeading"/>
            </w:pPr>
            <w:r w:rsidRPr="00D44AC5">
              <w:t>Measures</w:t>
            </w:r>
          </w:p>
        </w:tc>
      </w:tr>
      <w:tr w:rsidR="007D3264" w:rsidRPr="00BA5FB7" w14:paraId="1B446AA8" w14:textId="77777777" w:rsidTr="00C4109B">
        <w:trPr>
          <w:cantSplit/>
        </w:trPr>
        <w:tc>
          <w:tcPr>
            <w:tcW w:w="3213" w:type="dxa"/>
          </w:tcPr>
          <w:p w14:paraId="5A2C746D" w14:textId="77777777" w:rsidR="007D3264" w:rsidRPr="00BA5FB7" w:rsidRDefault="007D3264" w:rsidP="00BA5FB7">
            <w:pPr>
              <w:pStyle w:val="TableCopy"/>
            </w:pPr>
            <w:r w:rsidRPr="00BA5FB7">
              <w:t>1. Find practical and timely solutions to address housing shortages limiting the region’s growth and liveability.</w:t>
            </w:r>
          </w:p>
        </w:tc>
        <w:tc>
          <w:tcPr>
            <w:tcW w:w="3213" w:type="dxa"/>
          </w:tcPr>
          <w:p w14:paraId="77BAB923" w14:textId="77777777" w:rsidR="007D3264" w:rsidRPr="00BA5FB7" w:rsidRDefault="007D3264" w:rsidP="00BA5FB7">
            <w:pPr>
              <w:pStyle w:val="TableCopy"/>
            </w:pPr>
            <w:r w:rsidRPr="00BA5FB7">
              <w:t>Develop a Hume Housing Prospectus</w:t>
            </w:r>
          </w:p>
        </w:tc>
        <w:tc>
          <w:tcPr>
            <w:tcW w:w="3213" w:type="dxa"/>
          </w:tcPr>
          <w:p w14:paraId="06CDABCC" w14:textId="0D4C32C8" w:rsidR="007D3264" w:rsidRPr="00BA5FB7" w:rsidRDefault="007D3264" w:rsidP="00BA5FB7">
            <w:pPr>
              <w:pStyle w:val="TableBullet"/>
            </w:pPr>
            <w:r w:rsidRPr="00BA5FB7">
              <w:t xml:space="preserve">Delivery of next stage of professional development program: Hume Economic Development </w:t>
            </w:r>
            <w:r w:rsidR="00C4109B">
              <w:t>and</w:t>
            </w:r>
            <w:r w:rsidRPr="00BA5FB7">
              <w:t xml:space="preserve"> Planning Network.</w:t>
            </w:r>
          </w:p>
        </w:tc>
      </w:tr>
      <w:tr w:rsidR="007D3264" w:rsidRPr="00BA5FB7" w14:paraId="428F4E5A" w14:textId="77777777" w:rsidTr="00C4109B">
        <w:trPr>
          <w:cantSplit/>
        </w:trPr>
        <w:tc>
          <w:tcPr>
            <w:tcW w:w="3213" w:type="dxa"/>
          </w:tcPr>
          <w:p w14:paraId="2ABC75B1" w14:textId="56FEF5A6" w:rsidR="007D3264" w:rsidRPr="00BA5FB7" w:rsidRDefault="007C5143" w:rsidP="00BA5FB7">
            <w:pPr>
              <w:pStyle w:val="TableCopy"/>
            </w:pPr>
            <w:r w:rsidRPr="00BA5FB7">
              <w:t>1. Find practical and timely solutions to address housing shortages limiting the region’s growth and liveability.</w:t>
            </w:r>
          </w:p>
        </w:tc>
        <w:tc>
          <w:tcPr>
            <w:tcW w:w="3213" w:type="dxa"/>
          </w:tcPr>
          <w:p w14:paraId="47DFC2F4" w14:textId="4E3C6F02" w:rsidR="007D3264" w:rsidRPr="00BA5FB7" w:rsidRDefault="007D3264" w:rsidP="00BA5FB7">
            <w:pPr>
              <w:pStyle w:val="TableCopy"/>
            </w:pPr>
            <w:r w:rsidRPr="00BA5FB7">
              <w:t>Advocate for the establishment of the North East Worker Management and Appropriate Housing (NEWMAH) Project</w:t>
            </w:r>
          </w:p>
        </w:tc>
        <w:tc>
          <w:tcPr>
            <w:tcW w:w="3213" w:type="dxa"/>
          </w:tcPr>
          <w:p w14:paraId="31DA674B" w14:textId="77777777" w:rsidR="007D3264" w:rsidRPr="00BA5FB7" w:rsidRDefault="007D3264" w:rsidP="00BA5FB7">
            <w:pPr>
              <w:pStyle w:val="TableBullet"/>
            </w:pPr>
            <w:r w:rsidRPr="00BA5FB7">
              <w:t>Host a regional briefing for the NEWMAH project</w:t>
            </w:r>
          </w:p>
          <w:p w14:paraId="22B9877B" w14:textId="77777777" w:rsidR="007D3264" w:rsidRPr="00BA5FB7" w:rsidRDefault="007D3264" w:rsidP="00BA5FB7">
            <w:pPr>
              <w:pStyle w:val="TableBullet"/>
            </w:pPr>
            <w:r w:rsidRPr="00BA5FB7">
              <w:t>Advocacy to key Government representatives on the proposed project</w:t>
            </w:r>
          </w:p>
        </w:tc>
      </w:tr>
      <w:tr w:rsidR="007D3264" w:rsidRPr="00BA5FB7" w14:paraId="1FB545AD" w14:textId="77777777" w:rsidTr="00C4109B">
        <w:trPr>
          <w:cantSplit/>
        </w:trPr>
        <w:tc>
          <w:tcPr>
            <w:tcW w:w="3213" w:type="dxa"/>
          </w:tcPr>
          <w:p w14:paraId="0EBDB647" w14:textId="3DBD0F51" w:rsidR="007D3264" w:rsidRPr="00BA5FB7" w:rsidRDefault="007D3264" w:rsidP="00BA5FB7">
            <w:pPr>
              <w:pStyle w:val="TableCopy"/>
            </w:pPr>
            <w:r w:rsidRPr="00BA5FB7">
              <w:lastRenderedPageBreak/>
              <w:t>2. Support the region to transition to a renewable future and a more circular economy.</w:t>
            </w:r>
          </w:p>
        </w:tc>
        <w:tc>
          <w:tcPr>
            <w:tcW w:w="3213" w:type="dxa"/>
          </w:tcPr>
          <w:p w14:paraId="581AEF3A" w14:textId="7F7B7178" w:rsidR="007D3264" w:rsidRPr="00BA5FB7" w:rsidRDefault="007D3264" w:rsidP="00BA5FB7">
            <w:pPr>
              <w:pStyle w:val="TableCopy"/>
            </w:pPr>
            <w:r w:rsidRPr="00BA5FB7">
              <w:t>Engage with industry to determine issues and opportunities for energy transition</w:t>
            </w:r>
          </w:p>
        </w:tc>
        <w:tc>
          <w:tcPr>
            <w:tcW w:w="3213" w:type="dxa"/>
          </w:tcPr>
          <w:p w14:paraId="04E6A785" w14:textId="77777777" w:rsidR="007D3264" w:rsidRPr="00BA5FB7" w:rsidRDefault="007D3264" w:rsidP="00166836">
            <w:pPr>
              <w:pStyle w:val="TableBullet"/>
            </w:pPr>
            <w:r w:rsidRPr="00BA5FB7">
              <w:t>Facilitate engagement with local stakeholders with the newly established Net Zero Authority to identify issues and opportunities in renewable energy transition</w:t>
            </w:r>
          </w:p>
        </w:tc>
      </w:tr>
      <w:tr w:rsidR="007D3264" w:rsidRPr="00BA5FB7" w14:paraId="7DF69349" w14:textId="77777777" w:rsidTr="00C4109B">
        <w:trPr>
          <w:cantSplit/>
        </w:trPr>
        <w:tc>
          <w:tcPr>
            <w:tcW w:w="3213" w:type="dxa"/>
          </w:tcPr>
          <w:p w14:paraId="083EC5B5" w14:textId="739F5BB9" w:rsidR="007D3264" w:rsidRPr="00BA5FB7" w:rsidRDefault="00166836" w:rsidP="00BA5FB7">
            <w:pPr>
              <w:pStyle w:val="TableCopy"/>
            </w:pPr>
            <w:r w:rsidRPr="00BA5FB7">
              <w:t>2. Support the region to transition to a renewable future and a more circular economy.</w:t>
            </w:r>
          </w:p>
        </w:tc>
        <w:tc>
          <w:tcPr>
            <w:tcW w:w="3213" w:type="dxa"/>
          </w:tcPr>
          <w:p w14:paraId="2EB5904E" w14:textId="1824D445" w:rsidR="007D3264" w:rsidRPr="00BA5FB7" w:rsidRDefault="007D3264" w:rsidP="00BA5FB7">
            <w:pPr>
              <w:pStyle w:val="TableCopy"/>
            </w:pPr>
            <w:r w:rsidRPr="00BA5FB7">
              <w:t>Analyse existing strategic work to determine actions and opportunities for RDA Hume</w:t>
            </w:r>
          </w:p>
        </w:tc>
        <w:tc>
          <w:tcPr>
            <w:tcW w:w="3213" w:type="dxa"/>
          </w:tcPr>
          <w:p w14:paraId="3BA32CB3" w14:textId="77777777" w:rsidR="007D3264" w:rsidRPr="00BA5FB7" w:rsidRDefault="007D3264" w:rsidP="00166836">
            <w:pPr>
              <w:pStyle w:val="TableBullet"/>
            </w:pPr>
            <w:r w:rsidRPr="00BA5FB7">
              <w:t>Progress the identified opportunities in the Hume Renewable Energy Roadmap</w:t>
            </w:r>
          </w:p>
        </w:tc>
      </w:tr>
      <w:tr w:rsidR="007D3264" w:rsidRPr="00BA5FB7" w14:paraId="1EA9B876" w14:textId="77777777" w:rsidTr="00C4109B">
        <w:trPr>
          <w:cantSplit/>
        </w:trPr>
        <w:tc>
          <w:tcPr>
            <w:tcW w:w="3213" w:type="dxa"/>
          </w:tcPr>
          <w:p w14:paraId="777D4390" w14:textId="007A8755" w:rsidR="007D3264" w:rsidRPr="00BA5FB7" w:rsidRDefault="007D3264" w:rsidP="00BA5FB7">
            <w:pPr>
              <w:pStyle w:val="TableCopy"/>
            </w:pPr>
            <w:r w:rsidRPr="00BA5FB7">
              <w:t>3. Support the development of the regional economy by addressing key enablers for growth</w:t>
            </w:r>
          </w:p>
        </w:tc>
        <w:tc>
          <w:tcPr>
            <w:tcW w:w="3213" w:type="dxa"/>
          </w:tcPr>
          <w:p w14:paraId="61117D5B" w14:textId="77777777" w:rsidR="007D3264" w:rsidRPr="00BA5FB7" w:rsidRDefault="007D3264" w:rsidP="00BA5FB7">
            <w:pPr>
              <w:pStyle w:val="TableCopy"/>
            </w:pPr>
            <w:r w:rsidRPr="00BA5FB7">
              <w:t>Invest in the capabilities of local government’s economic development workforce</w:t>
            </w:r>
          </w:p>
        </w:tc>
        <w:tc>
          <w:tcPr>
            <w:tcW w:w="3213" w:type="dxa"/>
          </w:tcPr>
          <w:p w14:paraId="457117C5" w14:textId="77777777" w:rsidR="007D3264" w:rsidRPr="00BA5FB7" w:rsidRDefault="007D3264" w:rsidP="00166836">
            <w:pPr>
              <w:pStyle w:val="TableBullet"/>
            </w:pPr>
            <w:r w:rsidRPr="00BA5FB7">
              <w:t>Ongoing delivery of the Hume Economic Development Network</w:t>
            </w:r>
          </w:p>
        </w:tc>
      </w:tr>
      <w:tr w:rsidR="007D3264" w:rsidRPr="00BA5FB7" w14:paraId="016BD74F" w14:textId="77777777" w:rsidTr="00C4109B">
        <w:trPr>
          <w:cantSplit/>
        </w:trPr>
        <w:tc>
          <w:tcPr>
            <w:tcW w:w="3213" w:type="dxa"/>
          </w:tcPr>
          <w:p w14:paraId="70163CD0" w14:textId="15414A8B" w:rsidR="007D3264" w:rsidRPr="00BA5FB7" w:rsidRDefault="004E6D27" w:rsidP="00BA5FB7">
            <w:pPr>
              <w:pStyle w:val="TableCopy"/>
            </w:pPr>
            <w:r w:rsidRPr="00BA5FB7">
              <w:t>3. Support the development of the regional economy by addressing key enablers for growth</w:t>
            </w:r>
          </w:p>
        </w:tc>
        <w:tc>
          <w:tcPr>
            <w:tcW w:w="3213" w:type="dxa"/>
          </w:tcPr>
          <w:p w14:paraId="3716FA6F" w14:textId="77777777" w:rsidR="007D3264" w:rsidRPr="00BA5FB7" w:rsidRDefault="007D3264" w:rsidP="00BA5FB7">
            <w:pPr>
              <w:pStyle w:val="TableCopy"/>
            </w:pPr>
            <w:r w:rsidRPr="00BA5FB7">
              <w:t>Identify and advocate for investment into strategic infrastructure priorities to improve connectivity, liveability, and resilience</w:t>
            </w:r>
          </w:p>
        </w:tc>
        <w:tc>
          <w:tcPr>
            <w:tcW w:w="3213" w:type="dxa"/>
          </w:tcPr>
          <w:p w14:paraId="13F5859D" w14:textId="77777777" w:rsidR="007D3264" w:rsidRPr="00BA5FB7" w:rsidRDefault="007D3264" w:rsidP="00166836">
            <w:pPr>
              <w:pStyle w:val="TableBullet"/>
            </w:pPr>
            <w:r w:rsidRPr="00BA5FB7">
              <w:t>Maintain Priority Projects Database through regular engagement with regional stakeholders</w:t>
            </w:r>
          </w:p>
          <w:p w14:paraId="4D138897" w14:textId="77777777" w:rsidR="007D3264" w:rsidRPr="00BA5FB7" w:rsidRDefault="007D3264" w:rsidP="00166836">
            <w:pPr>
              <w:pStyle w:val="TableBullet"/>
            </w:pPr>
            <w:r w:rsidRPr="00BA5FB7">
              <w:t>Regularly engage with Government on priority Projects</w:t>
            </w:r>
          </w:p>
        </w:tc>
      </w:tr>
      <w:tr w:rsidR="007D3264" w:rsidRPr="00BA5FB7" w14:paraId="161C585C" w14:textId="77777777" w:rsidTr="00C4109B">
        <w:trPr>
          <w:cantSplit/>
        </w:trPr>
        <w:tc>
          <w:tcPr>
            <w:tcW w:w="3213" w:type="dxa"/>
          </w:tcPr>
          <w:p w14:paraId="212FABFF" w14:textId="6C1BA618" w:rsidR="007D3264" w:rsidRPr="00BA5FB7" w:rsidRDefault="004E6D27" w:rsidP="00BA5FB7">
            <w:pPr>
              <w:pStyle w:val="TableCopy"/>
            </w:pPr>
            <w:r w:rsidRPr="00BA5FB7">
              <w:t>3. Support the development of the regional economy by addressing key enablers for growth</w:t>
            </w:r>
          </w:p>
        </w:tc>
        <w:tc>
          <w:tcPr>
            <w:tcW w:w="3213" w:type="dxa"/>
          </w:tcPr>
          <w:p w14:paraId="61CA25C2" w14:textId="77777777" w:rsidR="007D3264" w:rsidRPr="00BA5FB7" w:rsidRDefault="007D3264" w:rsidP="00BA5FB7">
            <w:pPr>
              <w:pStyle w:val="TableCopy"/>
            </w:pPr>
            <w:r w:rsidRPr="00BA5FB7">
              <w:t>Support sustainable population growth for the region through the provision of services, employment, and educational opportunities</w:t>
            </w:r>
          </w:p>
        </w:tc>
        <w:tc>
          <w:tcPr>
            <w:tcW w:w="3213" w:type="dxa"/>
          </w:tcPr>
          <w:p w14:paraId="5232E04C" w14:textId="77777777" w:rsidR="007D3264" w:rsidRPr="00BA5FB7" w:rsidRDefault="007D3264" w:rsidP="00166836">
            <w:pPr>
              <w:pStyle w:val="TableBullet"/>
            </w:pPr>
            <w:r w:rsidRPr="00BA5FB7">
              <w:t>Explore opportunity for a population strategy</w:t>
            </w:r>
          </w:p>
          <w:p w14:paraId="04D39656" w14:textId="77777777" w:rsidR="007D3264" w:rsidRPr="00BA5FB7" w:rsidRDefault="007D3264" w:rsidP="00166836">
            <w:pPr>
              <w:pStyle w:val="TableBullet"/>
            </w:pPr>
            <w:r w:rsidRPr="00BA5FB7">
              <w:t xml:space="preserve">Advocate for improved health infrastructure and service delivery </w:t>
            </w:r>
          </w:p>
          <w:p w14:paraId="443B02BC" w14:textId="77777777" w:rsidR="007D3264" w:rsidRPr="00BA5FB7" w:rsidRDefault="007D3264" w:rsidP="00166836">
            <w:pPr>
              <w:pStyle w:val="TableBullet"/>
            </w:pPr>
            <w:r w:rsidRPr="00BA5FB7">
              <w:t>Identify and address barriers to workforce participation such as:</w:t>
            </w:r>
          </w:p>
          <w:p w14:paraId="26E4C78E" w14:textId="77777777" w:rsidR="007D3264" w:rsidRPr="00BA5FB7" w:rsidRDefault="007D3264" w:rsidP="00166836">
            <w:pPr>
              <w:pStyle w:val="TableBullet"/>
            </w:pPr>
            <w:r w:rsidRPr="00BA5FB7">
              <w:t>Cultural safety</w:t>
            </w:r>
          </w:p>
          <w:p w14:paraId="31C86396" w14:textId="77777777" w:rsidR="007D3264" w:rsidRPr="00BA5FB7" w:rsidRDefault="007D3264" w:rsidP="00166836">
            <w:pPr>
              <w:pStyle w:val="TableBullet"/>
            </w:pPr>
            <w:r w:rsidRPr="00BA5FB7">
              <w:t>Childcare provision</w:t>
            </w:r>
          </w:p>
          <w:p w14:paraId="6FA13287" w14:textId="77777777" w:rsidR="007D3264" w:rsidRPr="00BA5FB7" w:rsidRDefault="007D3264" w:rsidP="00166836">
            <w:pPr>
              <w:pStyle w:val="TableBullet"/>
            </w:pPr>
            <w:r w:rsidRPr="00BA5FB7">
              <w:t>Education and training pathways</w:t>
            </w:r>
          </w:p>
        </w:tc>
      </w:tr>
    </w:tbl>
    <w:p w14:paraId="14BA49D5" w14:textId="77777777" w:rsidR="00000000" w:rsidRDefault="00CB249B" w:rsidP="00391181"/>
    <w:sectPr w:rsidR="00000000" w:rsidSect="001D7A4A">
      <w:pgSz w:w="11906" w:h="16838" w:code="9"/>
      <w:pgMar w:top="1134" w:right="1134" w:bottom="1134" w:left="1134" w:header="397" w:footer="397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 Sans Serif Std Light"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1EC"/>
    <w:multiLevelType w:val="hybridMultilevel"/>
    <w:tmpl w:val="9C3633AE"/>
    <w:lvl w:ilvl="0" w:tplc="58DC5624">
      <w:start w:val="1"/>
      <w:numFmt w:val="decimal"/>
      <w:pStyle w:val="Heading2numbered"/>
      <w:lvlText w:val="%1."/>
      <w:lvlJc w:val="left"/>
      <w:pPr>
        <w:ind w:left="454" w:hanging="454"/>
      </w:pPr>
      <w:rPr>
        <w:rFonts w:ascii="Arial" w:eastAsia="Arial" w:hAnsi="Arial" w:cs="Arial" w:hint="default"/>
        <w:color w:val="383834"/>
        <w:spacing w:val="-2"/>
        <w:w w:val="103"/>
        <w:sz w:val="32"/>
        <w:szCs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E277B"/>
    <w:multiLevelType w:val="hybridMultilevel"/>
    <w:tmpl w:val="7D2A40B6"/>
    <w:lvl w:ilvl="0" w:tplc="F66AFD0A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F6C8A"/>
    <w:multiLevelType w:val="hybridMultilevel"/>
    <w:tmpl w:val="06F8BC4C"/>
    <w:lvl w:ilvl="0" w:tplc="68A05D72">
      <w:start w:val="1"/>
      <w:numFmt w:val="decimal"/>
      <w:pStyle w:val="Heading5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42A07"/>
    <w:multiLevelType w:val="hybridMultilevel"/>
    <w:tmpl w:val="A8C2C1A2"/>
    <w:lvl w:ilvl="0" w:tplc="5EF43A4A">
      <w:start w:val="1"/>
      <w:numFmt w:val="bullet"/>
      <w:pStyle w:val="Bullet2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27018"/>
    <w:multiLevelType w:val="hybridMultilevel"/>
    <w:tmpl w:val="D7B26DC8"/>
    <w:lvl w:ilvl="0" w:tplc="23607E76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46C2F"/>
    <w:multiLevelType w:val="hybridMultilevel"/>
    <w:tmpl w:val="1898F8C0"/>
    <w:lvl w:ilvl="0" w:tplc="6BA8646C">
      <w:start w:val="1"/>
      <w:numFmt w:val="decimal"/>
      <w:pStyle w:val="ListParagraph"/>
      <w:lvlText w:val="%1."/>
      <w:lvlJc w:val="left"/>
      <w:pPr>
        <w:ind w:left="369" w:hanging="369"/>
      </w:pPr>
      <w:rPr>
        <w:rFonts w:ascii="Arial" w:eastAsia="Arial" w:hAnsi="Arial" w:cs="Arial" w:hint="default"/>
        <w:color w:val="383834"/>
        <w:spacing w:val="-2"/>
        <w:w w:val="103"/>
        <w:sz w:val="20"/>
        <w:szCs w:val="20"/>
        <w:lang w:val="en-AU" w:eastAsia="en-US" w:bidi="ar-SA"/>
      </w:rPr>
    </w:lvl>
    <w:lvl w:ilvl="1" w:tplc="93AEFE8E">
      <w:numFmt w:val="bullet"/>
      <w:lvlText w:val="•"/>
      <w:lvlJc w:val="left"/>
      <w:pPr>
        <w:ind w:left="3078" w:hanging="369"/>
      </w:pPr>
      <w:rPr>
        <w:rFonts w:hint="default"/>
        <w:lang w:val="en-AU" w:eastAsia="en-US" w:bidi="ar-SA"/>
      </w:rPr>
    </w:lvl>
    <w:lvl w:ilvl="2" w:tplc="12D4977C">
      <w:numFmt w:val="bullet"/>
      <w:lvlText w:val="•"/>
      <w:lvlJc w:val="left"/>
      <w:pPr>
        <w:ind w:left="3976" w:hanging="369"/>
      </w:pPr>
      <w:rPr>
        <w:rFonts w:hint="default"/>
        <w:lang w:val="en-AU" w:eastAsia="en-US" w:bidi="ar-SA"/>
      </w:rPr>
    </w:lvl>
    <w:lvl w:ilvl="3" w:tplc="DF12600A">
      <w:numFmt w:val="bullet"/>
      <w:lvlText w:val="•"/>
      <w:lvlJc w:val="left"/>
      <w:pPr>
        <w:ind w:left="4875" w:hanging="369"/>
      </w:pPr>
      <w:rPr>
        <w:rFonts w:hint="default"/>
        <w:lang w:val="en-AU" w:eastAsia="en-US" w:bidi="ar-SA"/>
      </w:rPr>
    </w:lvl>
    <w:lvl w:ilvl="4" w:tplc="E3CA3F6E">
      <w:numFmt w:val="bullet"/>
      <w:lvlText w:val="•"/>
      <w:lvlJc w:val="left"/>
      <w:pPr>
        <w:ind w:left="5773" w:hanging="369"/>
      </w:pPr>
      <w:rPr>
        <w:rFonts w:hint="default"/>
        <w:lang w:val="en-AU" w:eastAsia="en-US" w:bidi="ar-SA"/>
      </w:rPr>
    </w:lvl>
    <w:lvl w:ilvl="5" w:tplc="CBBC68C0">
      <w:numFmt w:val="bullet"/>
      <w:lvlText w:val="•"/>
      <w:lvlJc w:val="left"/>
      <w:pPr>
        <w:ind w:left="6672" w:hanging="369"/>
      </w:pPr>
      <w:rPr>
        <w:rFonts w:hint="default"/>
        <w:lang w:val="en-AU" w:eastAsia="en-US" w:bidi="ar-SA"/>
      </w:rPr>
    </w:lvl>
    <w:lvl w:ilvl="6" w:tplc="E9A064E6">
      <w:numFmt w:val="bullet"/>
      <w:lvlText w:val="•"/>
      <w:lvlJc w:val="left"/>
      <w:pPr>
        <w:ind w:left="7570" w:hanging="369"/>
      </w:pPr>
      <w:rPr>
        <w:rFonts w:hint="default"/>
        <w:lang w:val="en-AU" w:eastAsia="en-US" w:bidi="ar-SA"/>
      </w:rPr>
    </w:lvl>
    <w:lvl w:ilvl="7" w:tplc="4A0AAF2E">
      <w:numFmt w:val="bullet"/>
      <w:lvlText w:val="•"/>
      <w:lvlJc w:val="left"/>
      <w:pPr>
        <w:ind w:left="8468" w:hanging="369"/>
      </w:pPr>
      <w:rPr>
        <w:rFonts w:hint="default"/>
        <w:lang w:val="en-AU" w:eastAsia="en-US" w:bidi="ar-SA"/>
      </w:rPr>
    </w:lvl>
    <w:lvl w:ilvl="8" w:tplc="0CD834B4">
      <w:numFmt w:val="bullet"/>
      <w:lvlText w:val="•"/>
      <w:lvlJc w:val="left"/>
      <w:pPr>
        <w:ind w:left="9367" w:hanging="369"/>
      </w:pPr>
      <w:rPr>
        <w:rFonts w:hint="default"/>
        <w:lang w:val="en-AU" w:eastAsia="en-US" w:bidi="ar-SA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C7"/>
    <w:rsid w:val="000146C7"/>
    <w:rsid w:val="00156B8B"/>
    <w:rsid w:val="00166836"/>
    <w:rsid w:val="001D7A4A"/>
    <w:rsid w:val="00391181"/>
    <w:rsid w:val="004C054B"/>
    <w:rsid w:val="004E6D27"/>
    <w:rsid w:val="007C5143"/>
    <w:rsid w:val="007D3264"/>
    <w:rsid w:val="00997510"/>
    <w:rsid w:val="00BA5FB7"/>
    <w:rsid w:val="00C4109B"/>
    <w:rsid w:val="00C60C86"/>
    <w:rsid w:val="00CB249B"/>
    <w:rsid w:val="00CF42D8"/>
    <w:rsid w:val="00D33958"/>
    <w:rsid w:val="00D4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10426F"/>
  <w14:defaultImageDpi w14:val="0"/>
  <w15:docId w15:val="{057C9A0A-B94B-417B-B589-C77CB6F3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A4A"/>
    <w:pPr>
      <w:suppressAutoHyphens/>
      <w:spacing w:after="280" w:line="276" w:lineRule="auto"/>
    </w:pPr>
    <w:rPr>
      <w:rFonts w:ascii="Arial" w:eastAsia="MS Mincho" w:hAnsi="Arial" w:cs="Arial"/>
      <w:sz w:val="24"/>
      <w:szCs w:val="3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2D8"/>
    <w:pPr>
      <w:keepNext/>
      <w:keepLines/>
      <w:spacing w:before="480"/>
      <w:outlineLvl w:val="0"/>
    </w:pPr>
    <w:rPr>
      <w:rFonts w:eastAsia="MS Gothic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A4A"/>
    <w:pPr>
      <w:keepNext/>
      <w:keepLines/>
      <w:spacing w:before="360"/>
      <w:outlineLvl w:val="1"/>
    </w:pPr>
    <w:rPr>
      <w:rFonts w:eastAsia="MS Gothic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7A4A"/>
    <w:pPr>
      <w:keepNext/>
      <w:keepLines/>
      <w:spacing w:before="200"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A4A"/>
    <w:pPr>
      <w:keepNext/>
      <w:keepLines/>
      <w:spacing w:before="200"/>
      <w:outlineLvl w:val="3"/>
    </w:pPr>
    <w:rPr>
      <w:rFonts w:eastAsia="MS Gothic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7A4A"/>
    <w:pPr>
      <w:numPr>
        <w:numId w:val="5"/>
      </w:numPr>
      <w:spacing w:before="240" w:after="60"/>
      <w:outlineLvl w:val="4"/>
    </w:pPr>
    <w:rPr>
      <w:rFonts w:cs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7A4A"/>
    <w:pPr>
      <w:spacing w:before="240" w:after="60"/>
      <w:outlineLvl w:val="5"/>
    </w:pPr>
    <w:rPr>
      <w:rFonts w:eastAsia="Times New Roman" w:cs="Times New Roman"/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  <w:rsid w:val="001D7A4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D7A4A"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pPr>
      <w:suppressAutoHyphens/>
    </w:pPr>
    <w:rPr>
      <w:rFonts w:ascii="Rotis Sans Serif Std Light" w:hAnsi="Rotis Sans Serif Std Light" w:cs="Rotis Sans Serif Std Light"/>
      <w:sz w:val="18"/>
      <w:szCs w:val="18"/>
      <w:lang w:val="en-GB"/>
    </w:rPr>
  </w:style>
  <w:style w:type="paragraph" w:customStyle="1" w:styleId="Bullet">
    <w:name w:val="Bullet"/>
    <w:basedOn w:val="Normal"/>
    <w:qFormat/>
    <w:rsid w:val="001D7A4A"/>
    <w:pPr>
      <w:numPr>
        <w:numId w:val="3"/>
      </w:numPr>
      <w:spacing w:after="140"/>
    </w:pPr>
  </w:style>
  <w:style w:type="paragraph" w:customStyle="1" w:styleId="Bullet2">
    <w:name w:val="Bullet 2"/>
    <w:basedOn w:val="Bullet"/>
    <w:qFormat/>
    <w:rsid w:val="001D7A4A"/>
    <w:pPr>
      <w:numPr>
        <w:numId w:val="2"/>
      </w:numPr>
    </w:pPr>
  </w:style>
  <w:style w:type="paragraph" w:customStyle="1" w:styleId="Bulletlast">
    <w:name w:val="Bullet last"/>
    <w:basedOn w:val="Bullet"/>
    <w:qFormat/>
    <w:rsid w:val="001D7A4A"/>
    <w:pPr>
      <w:spacing w:after="280"/>
    </w:pPr>
  </w:style>
  <w:style w:type="paragraph" w:customStyle="1" w:styleId="Default">
    <w:name w:val="Default"/>
    <w:rsid w:val="001D7A4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1D7A4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7A4A"/>
    <w:pPr>
      <w:tabs>
        <w:tab w:val="center" w:pos="4320"/>
        <w:tab w:val="right" w:pos="9639"/>
      </w:tabs>
      <w:spacing w:after="0" w:line="200" w:lineRule="atLeast"/>
    </w:pPr>
    <w:rPr>
      <w:sz w:val="16"/>
    </w:rPr>
  </w:style>
  <w:style w:type="character" w:customStyle="1" w:styleId="FooterChar">
    <w:name w:val="Footer Char"/>
    <w:link w:val="Footer"/>
    <w:uiPriority w:val="99"/>
    <w:rsid w:val="001D7A4A"/>
    <w:rPr>
      <w:rFonts w:ascii="Arial" w:eastAsia="MS Mincho" w:hAnsi="Arial" w:cs="Arial"/>
      <w:sz w:val="16"/>
      <w:szCs w:val="32"/>
      <w:lang w:eastAsia="en-US"/>
    </w:rPr>
  </w:style>
  <w:style w:type="character" w:styleId="FootnoteReference">
    <w:name w:val="footnote reference"/>
    <w:uiPriority w:val="99"/>
    <w:unhideWhenUsed/>
    <w:rsid w:val="001D7A4A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D7A4A"/>
    <w:pPr>
      <w:spacing w:after="60"/>
    </w:pPr>
    <w:rPr>
      <w:sz w:val="20"/>
    </w:rPr>
  </w:style>
  <w:style w:type="character" w:customStyle="1" w:styleId="FootnoteTextChar">
    <w:name w:val="Footnote Text Char"/>
    <w:link w:val="FootnoteText"/>
    <w:uiPriority w:val="99"/>
    <w:rsid w:val="001D7A4A"/>
    <w:rPr>
      <w:rFonts w:ascii="Arial" w:eastAsia="MS Mincho" w:hAnsi="Arial" w:cs="Arial"/>
      <w:sz w:val="20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7A4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D7A4A"/>
    <w:rPr>
      <w:rFonts w:ascii="Arial" w:eastAsia="MS Mincho" w:hAnsi="Arial" w:cs="Arial"/>
      <w:sz w:val="24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CF42D8"/>
    <w:rPr>
      <w:rFonts w:ascii="Arial" w:eastAsia="MS Gothic" w:hAnsi="Arial" w:cs="Times New Roman"/>
      <w:b/>
      <w:bCs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D7A4A"/>
    <w:rPr>
      <w:rFonts w:ascii="Arial" w:eastAsia="MS Gothic" w:hAnsi="Arial" w:cs="Times New Roman"/>
      <w:b/>
      <w:bCs/>
      <w:sz w:val="32"/>
      <w:szCs w:val="26"/>
      <w:lang w:eastAsia="en-US"/>
    </w:rPr>
  </w:style>
  <w:style w:type="paragraph" w:customStyle="1" w:styleId="Heading2numbered">
    <w:name w:val="Heading 2 numbered"/>
    <w:basedOn w:val="Heading2"/>
    <w:qFormat/>
    <w:rsid w:val="001D7A4A"/>
    <w:pPr>
      <w:numPr>
        <w:numId w:val="4"/>
      </w:numPr>
    </w:pPr>
  </w:style>
  <w:style w:type="character" w:customStyle="1" w:styleId="Heading3Char">
    <w:name w:val="Heading 3 Char"/>
    <w:link w:val="Heading3"/>
    <w:uiPriority w:val="9"/>
    <w:rsid w:val="001D7A4A"/>
    <w:rPr>
      <w:rFonts w:ascii="Arial" w:eastAsia="MS Gothic" w:hAnsi="Arial" w:cs="Arial"/>
      <w:b/>
      <w:bCs/>
      <w:sz w:val="28"/>
      <w:szCs w:val="32"/>
      <w:lang w:eastAsia="en-US"/>
    </w:rPr>
  </w:style>
  <w:style w:type="character" w:customStyle="1" w:styleId="Heading4Char">
    <w:name w:val="Heading 4 Char"/>
    <w:link w:val="Heading4"/>
    <w:uiPriority w:val="9"/>
    <w:rsid w:val="001D7A4A"/>
    <w:rPr>
      <w:rFonts w:ascii="Arial" w:eastAsia="MS Gothic" w:hAnsi="Arial" w:cs="Arial"/>
      <w:b/>
      <w:bCs/>
      <w:iCs/>
      <w:sz w:val="24"/>
      <w:szCs w:val="32"/>
      <w:lang w:eastAsia="en-US"/>
    </w:rPr>
  </w:style>
  <w:style w:type="character" w:customStyle="1" w:styleId="Heading5Char">
    <w:name w:val="Heading 5 Char"/>
    <w:link w:val="Heading5"/>
    <w:uiPriority w:val="9"/>
    <w:rsid w:val="001D7A4A"/>
    <w:rPr>
      <w:rFonts w:ascii="Arial" w:eastAsia="MS Mincho" w:hAnsi="Arial" w:cs="Times New Roman"/>
      <w:b/>
      <w:bCs/>
      <w:iCs/>
      <w:sz w:val="24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1D7A4A"/>
    <w:rPr>
      <w:rFonts w:ascii="Arial" w:eastAsia="Times New Roman" w:hAnsi="Arial" w:cs="Times New Roman"/>
      <w:b/>
      <w:bCs/>
      <w:sz w:val="18"/>
      <w:lang w:eastAsia="en-US"/>
    </w:rPr>
  </w:style>
  <w:style w:type="character" w:styleId="Hyperlink">
    <w:name w:val="Hyperlink"/>
    <w:uiPriority w:val="99"/>
    <w:unhideWhenUsed/>
    <w:rsid w:val="001D7A4A"/>
    <w:rPr>
      <w:rFonts w:ascii="Arial" w:hAnsi="Arial"/>
      <w:color w:val="0000FF"/>
      <w:u w:val="single"/>
    </w:rPr>
  </w:style>
  <w:style w:type="character" w:styleId="IntenseEmphasis">
    <w:name w:val="Intense Emphasis"/>
    <w:uiPriority w:val="21"/>
    <w:qFormat/>
    <w:rsid w:val="001D7A4A"/>
    <w:rPr>
      <w:rFonts w:ascii="Arial" w:hAnsi="Arial"/>
      <w:i/>
      <w:iCs/>
      <w:color w:val="5B9BD5"/>
    </w:rPr>
  </w:style>
  <w:style w:type="character" w:styleId="IntenseReference">
    <w:name w:val="Intense Reference"/>
    <w:uiPriority w:val="32"/>
    <w:qFormat/>
    <w:rsid w:val="001D7A4A"/>
    <w:rPr>
      <w:rFonts w:ascii="Arial" w:hAnsi="Arial"/>
      <w:b/>
      <w:bCs/>
      <w:smallCaps/>
      <w:color w:val="5B9BD5"/>
      <w:spacing w:val="5"/>
    </w:rPr>
  </w:style>
  <w:style w:type="paragraph" w:styleId="ListParagraph">
    <w:name w:val="List Paragraph"/>
    <w:basedOn w:val="Normal"/>
    <w:uiPriority w:val="34"/>
    <w:qFormat/>
    <w:rsid w:val="001D7A4A"/>
    <w:pPr>
      <w:numPr>
        <w:numId w:val="6"/>
      </w:numPr>
      <w:tabs>
        <w:tab w:val="left" w:pos="2180"/>
        <w:tab w:val="left" w:pos="2181"/>
      </w:tabs>
      <w:spacing w:after="140"/>
    </w:pPr>
    <w:rPr>
      <w:rFonts w:eastAsia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D7A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ormalbeforebullets">
    <w:name w:val="Normal before bullets"/>
    <w:basedOn w:val="Normal"/>
    <w:qFormat/>
    <w:rsid w:val="001D7A4A"/>
    <w:pPr>
      <w:keepNext/>
      <w:spacing w:after="140"/>
    </w:pPr>
  </w:style>
  <w:style w:type="character" w:styleId="PageNumber">
    <w:name w:val="page number"/>
    <w:uiPriority w:val="99"/>
    <w:semiHidden/>
    <w:unhideWhenUsed/>
    <w:rsid w:val="001D7A4A"/>
  </w:style>
  <w:style w:type="paragraph" w:styleId="Subtitle">
    <w:name w:val="Subtitle"/>
    <w:basedOn w:val="Normal"/>
    <w:next w:val="Normal"/>
    <w:link w:val="SubtitleChar"/>
    <w:uiPriority w:val="11"/>
    <w:qFormat/>
    <w:rsid w:val="001D7A4A"/>
    <w:pPr>
      <w:spacing w:after="240"/>
      <w:outlineLvl w:val="1"/>
    </w:pPr>
    <w:rPr>
      <w:rFonts w:eastAsia="Times New Roman" w:cs="Times New Roman"/>
      <w:sz w:val="28"/>
      <w:szCs w:val="36"/>
    </w:rPr>
  </w:style>
  <w:style w:type="character" w:customStyle="1" w:styleId="SubtitleChar">
    <w:name w:val="Subtitle Char"/>
    <w:link w:val="Subtitle"/>
    <w:uiPriority w:val="11"/>
    <w:rsid w:val="001D7A4A"/>
    <w:rPr>
      <w:rFonts w:ascii="Arial" w:eastAsia="Times New Roman" w:hAnsi="Arial" w:cs="Times New Roman"/>
      <w:sz w:val="28"/>
      <w:szCs w:val="36"/>
      <w:lang w:eastAsia="en-US"/>
    </w:rPr>
  </w:style>
  <w:style w:type="paragraph" w:customStyle="1" w:styleId="TableCopy">
    <w:name w:val="Table Copy"/>
    <w:basedOn w:val="Normal"/>
    <w:qFormat/>
    <w:rsid w:val="001D7A4A"/>
    <w:pPr>
      <w:spacing w:after="140"/>
    </w:pPr>
  </w:style>
  <w:style w:type="paragraph" w:customStyle="1" w:styleId="TableBullet">
    <w:name w:val="Table Bullet"/>
    <w:basedOn w:val="TableCopy"/>
    <w:qFormat/>
    <w:rsid w:val="001D7A4A"/>
    <w:pPr>
      <w:numPr>
        <w:numId w:val="7"/>
      </w:numPr>
      <w:spacing w:before="60" w:after="60"/>
    </w:pPr>
    <w:rPr>
      <w:szCs w:val="22"/>
    </w:rPr>
  </w:style>
  <w:style w:type="paragraph" w:customStyle="1" w:styleId="TableHeading">
    <w:name w:val="Table Heading"/>
    <w:basedOn w:val="Normal"/>
    <w:qFormat/>
    <w:rsid w:val="001D7A4A"/>
    <w:pPr>
      <w:keepNext/>
      <w:spacing w:after="60"/>
    </w:pPr>
    <w:rPr>
      <w:b/>
      <w:lang w:eastAsia="en-GB"/>
    </w:rPr>
  </w:style>
  <w:style w:type="paragraph" w:customStyle="1" w:styleId="TableColumnHeading">
    <w:name w:val="Table Column Heading"/>
    <w:basedOn w:val="TableHeading"/>
    <w:qFormat/>
    <w:rsid w:val="001D7A4A"/>
    <w:pPr>
      <w:spacing w:before="80" w:after="80"/>
    </w:pPr>
    <w:rPr>
      <w:szCs w:val="36"/>
      <w:lang w:val="en-GB"/>
    </w:rPr>
  </w:style>
  <w:style w:type="table" w:styleId="TableGrid">
    <w:name w:val="Table Grid"/>
    <w:basedOn w:val="TableNormal"/>
    <w:uiPriority w:val="59"/>
    <w:rsid w:val="001D7A4A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styleId="TableGridLight">
    <w:name w:val="Grid Table Light"/>
    <w:basedOn w:val="TableNormal"/>
    <w:uiPriority w:val="40"/>
    <w:rsid w:val="001D7A4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</w:style>
  <w:style w:type="paragraph" w:customStyle="1" w:styleId="TableParagraph">
    <w:name w:val="Table Paragraph"/>
    <w:basedOn w:val="Normal"/>
    <w:uiPriority w:val="1"/>
    <w:qFormat/>
    <w:rsid w:val="001D7A4A"/>
    <w:pPr>
      <w:spacing w:after="140"/>
    </w:pPr>
    <w:rPr>
      <w:rFonts w:eastAsia="Arial"/>
      <w:szCs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D7A4A"/>
    <w:pPr>
      <w:spacing w:after="24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D7A4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D7A4A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D7A4A"/>
    <w:pPr>
      <w:spacing w:after="0"/>
      <w:ind w:left="20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7A4A"/>
    <w:pPr>
      <w:spacing w:after="0"/>
      <w:ind w:left="600"/>
    </w:pPr>
    <w:rPr>
      <w:rFonts w:ascii="Cambria" w:hAnsi="Cambria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D7A4A"/>
    <w:pPr>
      <w:spacing w:after="0"/>
      <w:ind w:left="800"/>
    </w:pPr>
    <w:rPr>
      <w:rFonts w:ascii="Cambria" w:hAnsi="Cambria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D7A4A"/>
    <w:pPr>
      <w:spacing w:after="0"/>
      <w:ind w:left="1000"/>
    </w:pPr>
    <w:rPr>
      <w:rFonts w:ascii="Cambria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D7A4A"/>
    <w:pPr>
      <w:spacing w:after="0"/>
      <w:ind w:left="1200"/>
    </w:pPr>
    <w:rPr>
      <w:rFonts w:ascii="Cambria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D7A4A"/>
    <w:pPr>
      <w:spacing w:after="0"/>
      <w:ind w:left="1400"/>
    </w:pPr>
    <w:rPr>
      <w:rFonts w:ascii="Cambria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D7A4A"/>
    <w:pPr>
      <w:spacing w:after="0"/>
      <w:ind w:left="1600"/>
    </w:pPr>
    <w:rPr>
      <w:rFonts w:ascii="Cambria" w:hAnsi="Cambria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D7A4A"/>
    <w:pPr>
      <w:spacing w:line="360" w:lineRule="auto"/>
      <w:outlineLvl w:val="9"/>
    </w:pPr>
    <w:rPr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B24395FE84AB9F4BA3F2DB8C0682F15A" ma:contentTypeVersion="29" ma:contentTypeDescription="DEDJTR Document" ma:contentTypeScope="" ma:versionID="93d766dc5c5a5d9110173654ddf0454d">
  <xsd:schema xmlns:xsd="http://www.w3.org/2001/XMLSchema" xmlns:xs="http://www.w3.org/2001/XMLSchema" xmlns:p="http://schemas.microsoft.com/office/2006/metadata/properties" xmlns:ns2="1970f3ff-c7c3-4b73-8f0c-0bc260d159f3" xmlns:ns3="3b4993c4-1e12-480f-8829-7529dfd7c42d" xmlns:ns4="4ae6eb50-8777-409e-ac69-0f23188bec30" targetNamespace="http://schemas.microsoft.com/office/2006/metadata/properties" ma:root="true" ma:fieldsID="940ab30f2cade75218006b5f21935d77" ns2:_="" ns3:_="" ns4:_="">
    <xsd:import namespace="1970f3ff-c7c3-4b73-8f0c-0bc260d159f3"/>
    <xsd:import namespace="3b4993c4-1e12-480f-8829-7529dfd7c42d"/>
    <xsd:import namespace="4ae6eb50-8777-409e-ac69-0f23188bec30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993c4-1e12-480f-8829-7529dfd7c42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bd90f15-730d-4257-a8c4-3195608d5de6}" ma:internalName="TaxCatchAll" ma:showField="CatchAllData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bd90f15-730d-4257-a8c4-3195608d5de6}" ma:internalName="TaxCatchAllLabel" ma:readOnly="true" ma:showField="CatchAllDataLabel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6eb50-8777-409e-ac69-0f23188be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TaxCatchAll xmlns="3b4993c4-1e12-480f-8829-7529dfd7c42d" xsi:nil="true"/>
    <p31afe295eb448f092f13ab8c2af2c33 xmlns="1970f3ff-c7c3-4b73-8f0c-0bc260d159f3">
      <Terms xmlns="http://schemas.microsoft.com/office/infopath/2007/PartnerControls"/>
    </p31afe295eb448f092f13ab8c2af2c33>
    <lcf76f155ced4ddcb4097134ff3c332f xmlns="4ae6eb50-8777-409e-ac69-0f23188bec30">
      <Terms xmlns="http://schemas.microsoft.com/office/infopath/2007/PartnerControls"/>
    </lcf76f155ced4ddcb4097134ff3c332f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</documentManagement>
</p:properties>
</file>

<file path=customXml/itemProps1.xml><?xml version="1.0" encoding="utf-8"?>
<ds:datastoreItem xmlns:ds="http://schemas.openxmlformats.org/officeDocument/2006/customXml" ds:itemID="{94775007-6532-4E5E-9480-0CBBCFE4F6D5}"/>
</file>

<file path=customXml/itemProps2.xml><?xml version="1.0" encoding="utf-8"?>
<ds:datastoreItem xmlns:ds="http://schemas.openxmlformats.org/officeDocument/2006/customXml" ds:itemID="{CB8A0306-8164-4EB6-BCFD-C13871B93504}"/>
</file>

<file path=customXml/itemProps3.xml><?xml version="1.0" encoding="utf-8"?>
<ds:datastoreItem xmlns:ds="http://schemas.openxmlformats.org/officeDocument/2006/customXml" ds:itemID="{A0935269-15D1-40A9-8C1C-3A2CE403FE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HUME Plan on a Page</dc:title>
  <dc:subject/>
  <dc:creator>Samaa Kirby</dc:creator>
  <cp:keywords/>
  <dc:description/>
  <cp:lastModifiedBy>Samaa Kirby</cp:lastModifiedBy>
  <cp:revision>18</cp:revision>
  <dcterms:created xsi:type="dcterms:W3CDTF">2023-09-19T01:21:00Z</dcterms:created>
  <dcterms:modified xsi:type="dcterms:W3CDTF">2023-09-19T01:34:00Z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0x010100611F6414DFB111E7BA88F9DF1743E31700B24395FE84AB9F4BA3F2DB8C0682F15A</vt:lpwstr>
  </property>
</Properties>
</file>