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07E72" w14:textId="68E04E22" w:rsidR="00481FB1" w:rsidRDefault="005E6B86" w:rsidP="00481FB1">
      <w:pPr>
        <w:pStyle w:val="Title"/>
      </w:pPr>
      <w:r>
        <w:t>Gippsland</w:t>
      </w:r>
    </w:p>
    <w:p w14:paraId="29CF994E" w14:textId="77777777" w:rsidR="00481FB1" w:rsidRPr="00481FB1" w:rsidRDefault="00481FB1" w:rsidP="00481FB1">
      <w:pPr>
        <w:pStyle w:val="Subtitle"/>
        <w:rPr>
          <w:b/>
          <w:bCs/>
        </w:rPr>
      </w:pPr>
      <w:bookmarkStart w:id="0" w:name="_Toc100238495"/>
      <w:bookmarkStart w:id="1" w:name="_Toc100316170"/>
      <w:bookmarkStart w:id="2" w:name="_Toc106128473"/>
      <w:r w:rsidRPr="00481FB1">
        <w:rPr>
          <w:b/>
          <w:bCs/>
        </w:rPr>
        <w:t>Regional Economic Development Strategy</w:t>
      </w:r>
      <w:bookmarkEnd w:id="0"/>
      <w:bookmarkEnd w:id="1"/>
      <w:bookmarkEnd w:id="2"/>
    </w:p>
    <w:p w14:paraId="1C392087" w14:textId="77777777" w:rsidR="00481FB1" w:rsidRPr="00B93CB7" w:rsidRDefault="00481FB1" w:rsidP="00481FB1">
      <w:pPr>
        <w:rPr>
          <w:b/>
          <w:bCs/>
          <w:sz w:val="28"/>
          <w:szCs w:val="28"/>
        </w:rPr>
      </w:pPr>
      <w:bookmarkStart w:id="3" w:name="_Toc100238496"/>
      <w:bookmarkStart w:id="4" w:name="_Toc100316171"/>
      <w:r w:rsidRPr="00B93CB7">
        <w:rPr>
          <w:b/>
          <w:bCs/>
          <w:sz w:val="28"/>
          <w:szCs w:val="28"/>
        </w:rPr>
        <w:t>State Government of Victoria</w:t>
      </w:r>
      <w:bookmarkEnd w:id="3"/>
      <w:bookmarkEnd w:id="4"/>
    </w:p>
    <w:p w14:paraId="56A190B1" w14:textId="77777777" w:rsidR="00481FB1" w:rsidRPr="00B93CB7" w:rsidRDefault="00481FB1" w:rsidP="00481FB1">
      <w:pPr>
        <w:rPr>
          <w:b/>
          <w:bCs/>
          <w:sz w:val="28"/>
          <w:szCs w:val="28"/>
        </w:rPr>
      </w:pPr>
      <w:bookmarkStart w:id="5" w:name="_Toc100238497"/>
      <w:bookmarkStart w:id="6" w:name="_Toc100316172"/>
      <w:r w:rsidRPr="00B93CB7">
        <w:rPr>
          <w:b/>
          <w:bCs/>
          <w:sz w:val="28"/>
          <w:szCs w:val="28"/>
        </w:rPr>
        <w:t>Department of Jobs, Precincts and Regions</w:t>
      </w:r>
      <w:bookmarkEnd w:id="5"/>
      <w:bookmarkEnd w:id="6"/>
    </w:p>
    <w:p w14:paraId="0F38B23E" w14:textId="77777777" w:rsidR="00481FB1" w:rsidRPr="00B93CB7" w:rsidRDefault="00481FB1" w:rsidP="00481FB1">
      <w:pPr>
        <w:rPr>
          <w:b/>
          <w:bCs/>
          <w:sz w:val="28"/>
          <w:szCs w:val="28"/>
        </w:rPr>
      </w:pPr>
      <w:r w:rsidRPr="00B93CB7">
        <w:rPr>
          <w:b/>
          <w:bCs/>
          <w:sz w:val="28"/>
          <w:szCs w:val="28"/>
        </w:rPr>
        <w:t>Acknowledgement of Country</w:t>
      </w:r>
    </w:p>
    <w:p w14:paraId="0D1AA322" w14:textId="77777777" w:rsidR="00481FB1" w:rsidRDefault="00481FB1" w:rsidP="00481FB1">
      <w:r>
        <w:t xml:space="preserve">The Department of Jobs, Precincts and Regions acknowledge the Traditional Owners of the lands and waters on which we live and work, and pay our respects to their Elders past, present and emerging. </w:t>
      </w:r>
    </w:p>
    <w:p w14:paraId="51F10214" w14:textId="77777777" w:rsidR="00481FB1" w:rsidRDefault="00481FB1" w:rsidP="00481FB1">
      <w:r>
        <w:t>We acknowledge that the Gippsland Regional Partnership region is on traditional lands, including those lands of the Gunaikurnai, Bunurong, Wurundjeri and Taungurung Nations, as well as other Traditional Owner groups in Victoria who are not formally recognised.</w:t>
      </w:r>
    </w:p>
    <w:p w14:paraId="25E991FC" w14:textId="77777777" w:rsidR="00481FB1" w:rsidRDefault="00481FB1" w:rsidP="00481FB1">
      <w:r>
        <w:t>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w:t>
      </w:r>
    </w:p>
    <w:p w14:paraId="0C92266C" w14:textId="77777777" w:rsidR="00481FB1" w:rsidRDefault="00481FB1" w:rsidP="00481FB1">
      <w:pPr>
        <w:pStyle w:val="Heading1"/>
      </w:pPr>
      <w:bookmarkStart w:id="7" w:name="_Toc106188780"/>
      <w:bookmarkStart w:id="8" w:name="_Toc106189418"/>
      <w:bookmarkStart w:id="9" w:name="_Toc118405101"/>
      <w:r>
        <w:t>Preface</w:t>
      </w:r>
      <w:bookmarkEnd w:id="7"/>
      <w:bookmarkEnd w:id="8"/>
      <w:bookmarkEnd w:id="9"/>
    </w:p>
    <w:p w14:paraId="5DD8C7B6" w14:textId="77777777" w:rsidR="00481FB1" w:rsidRDefault="00481FB1" w:rsidP="00481FB1">
      <w:r>
        <w:t xml:space="preserve">Rural and regional Victoria is home to 1.6 million, or 1 in 4, of Victoria’s residents and over 147,000 businesses. The Victorian Government is committed to making Victoria home to the nation’s most vibrant and successful regional economies. </w:t>
      </w:r>
    </w:p>
    <w:p w14:paraId="60728016" w14:textId="77777777" w:rsidR="00481FB1" w:rsidRDefault="00481FB1" w:rsidP="00481FB1">
      <w:r>
        <w:t>The Department of Jobs, Precincts and Regions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w:t>
      </w:r>
    </w:p>
    <w:p w14:paraId="23A8A635" w14:textId="77777777" w:rsidR="00481FB1" w:rsidRDefault="00481FB1" w:rsidP="00481FB1">
      <w:pPr>
        <w:rPr>
          <w:rStyle w:val="Bodysemibold"/>
        </w:rPr>
      </w:pPr>
      <w:r>
        <w:rPr>
          <w:rStyle w:val="Bodysemibold"/>
        </w:rPr>
        <w:t>The REDS seek to:</w:t>
      </w:r>
    </w:p>
    <w:p w14:paraId="17FD0D68" w14:textId="77777777" w:rsidR="00481FB1" w:rsidRDefault="00481FB1" w:rsidP="00481FB1">
      <w:pPr>
        <w:pStyle w:val="Bullet"/>
        <w:numPr>
          <w:ilvl w:val="0"/>
          <w:numId w:val="35"/>
        </w:numPr>
        <w:spacing w:after="160"/>
      </w:pPr>
      <w:r>
        <w:t>Identify a socioeconomic evidence base for the region, including demographics, business and industry dynamics, and local endowments that can be used by all stakeholders, and will provide a baseline for monitoring future performance.</w:t>
      </w:r>
    </w:p>
    <w:p w14:paraId="61F81390" w14:textId="77777777" w:rsidR="00481FB1" w:rsidRDefault="00481FB1" w:rsidP="00481FB1">
      <w:pPr>
        <w:pStyle w:val="Bullet"/>
        <w:numPr>
          <w:ilvl w:val="0"/>
          <w:numId w:val="35"/>
        </w:numPr>
        <w:spacing w:after="160"/>
      </w:pPr>
      <w:r>
        <w:t>Acknowledge and reveal the depth of work, analysis, and planning already in place in regions and create a mechanism to support and progress established regional directions, where supported by the current evidence base.</w:t>
      </w:r>
    </w:p>
    <w:p w14:paraId="051371C7" w14:textId="77777777" w:rsidR="00481FB1" w:rsidRDefault="00481FB1" w:rsidP="00481FB1">
      <w:pPr>
        <w:pStyle w:val="Bullet"/>
        <w:numPr>
          <w:ilvl w:val="0"/>
          <w:numId w:val="35"/>
        </w:numPr>
        <w:spacing w:after="160"/>
      </w:pPr>
      <w:r>
        <w:lastRenderedPageBreak/>
        <w:t>Harness and enhance the region’s comparative strengths as drivers of growth in the medium- to long-term.</w:t>
      </w:r>
    </w:p>
    <w:p w14:paraId="56009970" w14:textId="77777777" w:rsidR="00481FB1" w:rsidRDefault="00481FB1" w:rsidP="00481FB1">
      <w:pPr>
        <w:pStyle w:val="Bullet"/>
        <w:numPr>
          <w:ilvl w:val="0"/>
          <w:numId w:val="35"/>
        </w:numPr>
        <w:spacing w:after="160"/>
      </w:pPr>
      <w:r>
        <w:t>Identify opportunities for public and private investment.</w:t>
      </w:r>
    </w:p>
    <w:p w14:paraId="700B35BA" w14:textId="77777777" w:rsidR="00481FB1" w:rsidRDefault="00481FB1" w:rsidP="00481FB1">
      <w:pPr>
        <w:pStyle w:val="Bullet"/>
        <w:numPr>
          <w:ilvl w:val="0"/>
          <w:numId w:val="35"/>
        </w:numPr>
        <w:spacing w:after="160"/>
      </w:pPr>
      <w:r>
        <w:t>Influence and inform rural and regional economic policy and program design across government.</w:t>
      </w:r>
    </w:p>
    <w:p w14:paraId="79190AD1" w14:textId="77777777" w:rsidR="00481FB1" w:rsidRDefault="00481FB1" w:rsidP="005A3F54">
      <w:pPr>
        <w:pStyle w:val="Bulletlast"/>
      </w:pPr>
      <w:r>
        <w:t>Support the prosperity and well-being of rural and regional Victoria through increased rural competitiveness and productivity.</w:t>
      </w:r>
    </w:p>
    <w:p w14:paraId="50C0E3A5" w14:textId="77777777" w:rsidR="00481FB1" w:rsidRDefault="00481FB1" w:rsidP="00481FB1">
      <w:r>
        <w:t xml:space="preserve">The REDS do not replace existing local strategies. Rather, the REDS are informed by local work to identify economic development priorities and provide a platform to increase the visibility of these priorities and support regional communities to advocate for shared outcomes. </w:t>
      </w:r>
    </w:p>
    <w:p w14:paraId="12EA0431" w14:textId="77777777" w:rsidR="00481FB1" w:rsidRDefault="00481FB1" w:rsidP="00481FB1">
      <w:pPr>
        <w:pStyle w:val="Heading2"/>
      </w:pPr>
      <w:bookmarkStart w:id="10" w:name="_Toc106188781"/>
      <w:bookmarkStart w:id="11" w:name="_Toc106189419"/>
      <w:bookmarkStart w:id="12" w:name="_Toc118405102"/>
      <w:r>
        <w:t>How have the REDS been developed?</w:t>
      </w:r>
      <w:bookmarkEnd w:id="10"/>
      <w:bookmarkEnd w:id="11"/>
      <w:bookmarkEnd w:id="12"/>
    </w:p>
    <w:p w14:paraId="36AF77B6" w14:textId="77777777" w:rsidR="00481FB1" w:rsidRDefault="00481FB1" w:rsidP="00481FB1">
      <w:r>
        <w:t>The REDS have been developed using a consistent methodology across the state, comprising:</w:t>
      </w:r>
    </w:p>
    <w:p w14:paraId="04904588" w14:textId="77777777" w:rsidR="00481FB1" w:rsidRDefault="00481FB1" w:rsidP="00481FB1">
      <w:pPr>
        <w:pStyle w:val="Bullet"/>
        <w:numPr>
          <w:ilvl w:val="0"/>
          <w:numId w:val="35"/>
        </w:numPr>
        <w:spacing w:after="160"/>
      </w:pPr>
      <w:r>
        <w:rPr>
          <w:rStyle w:val="Bodysemibold"/>
        </w:rPr>
        <w:t>data analysis</w:t>
      </w:r>
      <w:r>
        <w:t xml:space="preserve"> to consistently describe each region’s industry composition, economic and socioeconomic trends and existing regional endowments</w:t>
      </w:r>
    </w:p>
    <w:p w14:paraId="2DC81FAA" w14:textId="77777777" w:rsidR="00481FB1" w:rsidRDefault="00481FB1" w:rsidP="00481FB1">
      <w:pPr>
        <w:pStyle w:val="Bullet"/>
        <w:numPr>
          <w:ilvl w:val="0"/>
          <w:numId w:val="35"/>
        </w:numPr>
        <w:spacing w:after="160"/>
      </w:pPr>
      <w:r>
        <w:rPr>
          <w:rStyle w:val="Bodysemibold"/>
        </w:rPr>
        <w:t xml:space="preserve">policy analysis </w:t>
      </w:r>
      <w:r>
        <w:t xml:space="preserve">to identify existing local strategies and plans to understand regional development priorities and shape an economic narrative for the region </w:t>
      </w:r>
    </w:p>
    <w:p w14:paraId="71738B81" w14:textId="77777777" w:rsidR="00481FB1" w:rsidRDefault="00481FB1" w:rsidP="00481FB1">
      <w:pPr>
        <w:pStyle w:val="Bullet"/>
        <w:numPr>
          <w:ilvl w:val="0"/>
          <w:numId w:val="35"/>
        </w:numPr>
        <w:spacing w:after="160"/>
      </w:pPr>
      <w:r>
        <w:rPr>
          <w:rStyle w:val="Bodysemibold"/>
        </w:rPr>
        <w:t>stakeholder engagement</w:t>
      </w:r>
      <w:r>
        <w:t xml:space="preserve"> to identify opportunities and challenges under each strategic direction.</w:t>
      </w:r>
    </w:p>
    <w:p w14:paraId="78BBD064" w14:textId="77777777" w:rsidR="00481FB1" w:rsidRDefault="00481FB1" w:rsidP="00481FB1">
      <w:pPr>
        <w:pStyle w:val="Heading2"/>
      </w:pPr>
      <w:bookmarkStart w:id="13" w:name="_Toc106188782"/>
      <w:bookmarkStart w:id="14" w:name="_Toc106189420"/>
      <w:bookmarkStart w:id="15" w:name="_Toc118405103"/>
      <w:r>
        <w:t>How can I use the REDS?</w:t>
      </w:r>
      <w:bookmarkEnd w:id="13"/>
      <w:bookmarkEnd w:id="14"/>
      <w:bookmarkEnd w:id="15"/>
    </w:p>
    <w:p w14:paraId="58368855" w14:textId="77777777" w:rsidR="00481FB1" w:rsidRDefault="00481FB1" w:rsidP="00481FB1">
      <w:r>
        <w:t>The REDS can be used by all levels of Government, regional communities and business to coordinate investment and collaborate for shared outcomes.</w:t>
      </w:r>
    </w:p>
    <w:p w14:paraId="3F191665" w14:textId="77777777" w:rsidR="00481FB1" w:rsidRDefault="00481FB1" w:rsidP="00481FB1">
      <w:r>
        <w:t>DJPR will use the REDS to drive strategic whole-of-government activity in the regions, informed by a contemporary understanding of economic performance and comparative advantage.</w:t>
      </w:r>
    </w:p>
    <w:p w14:paraId="407D01A6" w14:textId="77777777" w:rsidR="00481FB1" w:rsidRDefault="00481FB1" w:rsidP="00481FB1">
      <w:r>
        <w:t xml:space="preserve">Regional communities and businesses can use the REDS to: </w:t>
      </w:r>
    </w:p>
    <w:p w14:paraId="16B518CC" w14:textId="77777777" w:rsidR="00481FB1" w:rsidRDefault="00481FB1" w:rsidP="00481FB1">
      <w:pPr>
        <w:pStyle w:val="Bullet"/>
        <w:numPr>
          <w:ilvl w:val="0"/>
          <w:numId w:val="35"/>
        </w:numPr>
        <w:spacing w:after="160"/>
      </w:pPr>
      <w:r>
        <w:t>communicate innovative capacity in their region, now and in the future</w:t>
      </w:r>
    </w:p>
    <w:p w14:paraId="3C84F545" w14:textId="77777777" w:rsidR="00481FB1" w:rsidRDefault="00481FB1" w:rsidP="00481FB1">
      <w:pPr>
        <w:pStyle w:val="Bullet"/>
        <w:numPr>
          <w:ilvl w:val="0"/>
          <w:numId w:val="35"/>
        </w:numPr>
        <w:spacing w:after="160"/>
      </w:pPr>
      <w:r>
        <w:t xml:space="preserve">collaborate with government to better understand regional strengths, challenges and opportunities </w:t>
      </w:r>
    </w:p>
    <w:p w14:paraId="53C22385" w14:textId="77777777" w:rsidR="00481FB1" w:rsidRDefault="00481FB1" w:rsidP="00481FB1">
      <w:pPr>
        <w:pStyle w:val="Bullet"/>
        <w:numPr>
          <w:ilvl w:val="0"/>
          <w:numId w:val="35"/>
        </w:numPr>
        <w:spacing w:after="160"/>
      </w:pPr>
      <w:r>
        <w:t xml:space="preserve">attract investment to the region based on clearly identified strategic priorities. </w:t>
      </w:r>
    </w:p>
    <w:p w14:paraId="59D97BC8" w14:textId="180FFC19" w:rsidR="00481FB1" w:rsidRDefault="00481FB1" w:rsidP="00481FB1">
      <w:pPr>
        <w:pStyle w:val="Bullet"/>
        <w:numPr>
          <w:ilvl w:val="0"/>
          <w:numId w:val="35"/>
        </w:numPr>
        <w:spacing w:after="160"/>
      </w:pPr>
      <w:r>
        <w:t xml:space="preserve">The REDS should be read in conjunction with the relevant </w:t>
      </w:r>
      <w:r>
        <w:rPr>
          <w:rStyle w:val="bodyitalics"/>
        </w:rPr>
        <w:t>REDS Supporting Analysis</w:t>
      </w:r>
      <w:r>
        <w:t xml:space="preserve"> which provides the consistent evidence base for each region. </w:t>
      </w:r>
    </w:p>
    <w:p w14:paraId="32CEF39D" w14:textId="77777777" w:rsidR="00DC06C4" w:rsidRPr="004B5940" w:rsidRDefault="00DC06C4" w:rsidP="00DC06C4">
      <w:pPr>
        <w:keepNext/>
        <w:rPr>
          <w:b/>
          <w:bCs/>
        </w:rPr>
      </w:pPr>
      <w:r w:rsidRPr="004B5940">
        <w:rPr>
          <w:b/>
          <w:bCs/>
        </w:rPr>
        <w:lastRenderedPageBreak/>
        <w:t>Figure 1: Map of Regional Partnership Regions and Constituent LGAs</w:t>
      </w:r>
    </w:p>
    <w:p w14:paraId="4864AF97" w14:textId="77777777" w:rsidR="00DC06C4" w:rsidRDefault="00DC06C4" w:rsidP="00DC06C4">
      <w:r>
        <w:rPr>
          <w:noProof/>
        </w:rPr>
        <w:drawing>
          <wp:inline distT="0" distB="0" distL="0" distR="0" wp14:anchorId="59B120BA" wp14:editId="7B41567C">
            <wp:extent cx="5731510" cy="4054621"/>
            <wp:effectExtent l="0" t="0" r="0" b="3175"/>
            <wp:docPr id="17" name="Picture 17" descr="Map showing Victoria’s nine regional partnership regions and constituent Local Government areas (LGAs). A detailed description is provided via the link below the ma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Victoria’s nine regional partnership regions and constituent Local Government areas (LGAs). A detailed description is provided via the link below the ma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4621"/>
                    </a:xfrm>
                    <a:prstGeom prst="rect">
                      <a:avLst/>
                    </a:prstGeom>
                    <a:noFill/>
                    <a:ln>
                      <a:noFill/>
                    </a:ln>
                  </pic:spPr>
                </pic:pic>
              </a:graphicData>
            </a:graphic>
          </wp:inline>
        </w:drawing>
      </w:r>
    </w:p>
    <w:p w14:paraId="384709DF" w14:textId="260DB4EA" w:rsidR="00481FB1" w:rsidRDefault="00000000" w:rsidP="00481FB1">
      <w:hyperlink w:anchor="_Figure_1:_Map" w:history="1">
        <w:r w:rsidR="0023243A" w:rsidRPr="0023243A">
          <w:rPr>
            <w:rStyle w:val="Hyperlink"/>
          </w:rPr>
          <w:t>Figure 1: Map of Regional Partnerships – Long Alternate Text</w:t>
        </w:r>
      </w:hyperlink>
    </w:p>
    <w:p w14:paraId="076E9907" w14:textId="77777777" w:rsidR="00481FB1" w:rsidRDefault="00481FB1" w:rsidP="00481FB1">
      <w:pPr>
        <w:pStyle w:val="TOCHeading"/>
        <w:suppressAutoHyphens w:val="0"/>
      </w:pPr>
      <w:bookmarkStart w:id="16" w:name="Fig_1"/>
      <w:bookmarkEnd w:id="16"/>
      <w:r>
        <w:t>Contents</w:t>
      </w:r>
    </w:p>
    <w:p w14:paraId="00F1F3F5" w14:textId="5BEC51C6" w:rsidR="009E3E19" w:rsidRDefault="00481FB1">
      <w:pPr>
        <w:pStyle w:val="TOC1"/>
        <w:tabs>
          <w:tab w:val="right" w:leader="dot" w:pos="9016"/>
        </w:tabs>
        <w:rPr>
          <w:rFonts w:asciiTheme="minorHAnsi" w:hAnsiTheme="minorHAnsi" w:cstheme="minorBidi"/>
          <w:b w:val="0"/>
          <w:noProof/>
          <w:sz w:val="22"/>
          <w:szCs w:val="22"/>
        </w:rPr>
      </w:pPr>
      <w:r>
        <w:fldChar w:fldCharType="begin"/>
      </w:r>
      <w:r>
        <w:instrText xml:space="preserve"> TOC \o "1-1" \h \z \t "Heading 2,2" </w:instrText>
      </w:r>
      <w:r>
        <w:fldChar w:fldCharType="separate"/>
      </w:r>
      <w:hyperlink w:anchor="_Toc118405101" w:history="1">
        <w:r w:rsidR="009E3E19" w:rsidRPr="00BF6A1C">
          <w:rPr>
            <w:rStyle w:val="Hyperlink"/>
            <w:noProof/>
          </w:rPr>
          <w:t>Preface</w:t>
        </w:r>
        <w:r w:rsidR="009E3E19">
          <w:rPr>
            <w:noProof/>
            <w:webHidden/>
          </w:rPr>
          <w:tab/>
        </w:r>
        <w:r w:rsidR="009E3E19">
          <w:rPr>
            <w:noProof/>
            <w:webHidden/>
          </w:rPr>
          <w:fldChar w:fldCharType="begin"/>
        </w:r>
        <w:r w:rsidR="009E3E19">
          <w:rPr>
            <w:noProof/>
            <w:webHidden/>
          </w:rPr>
          <w:instrText xml:space="preserve"> PAGEREF _Toc118405101 \h </w:instrText>
        </w:r>
        <w:r w:rsidR="009E3E19">
          <w:rPr>
            <w:noProof/>
            <w:webHidden/>
          </w:rPr>
        </w:r>
        <w:r w:rsidR="009E3E19">
          <w:rPr>
            <w:noProof/>
            <w:webHidden/>
          </w:rPr>
          <w:fldChar w:fldCharType="separate"/>
        </w:r>
        <w:r w:rsidR="009E3E19">
          <w:rPr>
            <w:noProof/>
            <w:webHidden/>
          </w:rPr>
          <w:t>1</w:t>
        </w:r>
        <w:r w:rsidR="009E3E19">
          <w:rPr>
            <w:noProof/>
            <w:webHidden/>
          </w:rPr>
          <w:fldChar w:fldCharType="end"/>
        </w:r>
      </w:hyperlink>
    </w:p>
    <w:p w14:paraId="5D28BED1" w14:textId="112C93AD" w:rsidR="009E3E19" w:rsidRDefault="00000000">
      <w:pPr>
        <w:pStyle w:val="TOC2"/>
        <w:tabs>
          <w:tab w:val="right" w:leader="dot" w:pos="9016"/>
        </w:tabs>
        <w:rPr>
          <w:rFonts w:asciiTheme="minorHAnsi" w:hAnsiTheme="minorHAnsi" w:cstheme="minorBidi"/>
          <w:noProof/>
          <w:sz w:val="22"/>
        </w:rPr>
      </w:pPr>
      <w:hyperlink w:anchor="_Toc118405102" w:history="1">
        <w:r w:rsidR="009E3E19" w:rsidRPr="00BF6A1C">
          <w:rPr>
            <w:rStyle w:val="Hyperlink"/>
            <w:noProof/>
          </w:rPr>
          <w:t>How have the REDS been developed?</w:t>
        </w:r>
        <w:r w:rsidR="009E3E19">
          <w:rPr>
            <w:noProof/>
            <w:webHidden/>
          </w:rPr>
          <w:tab/>
        </w:r>
        <w:r w:rsidR="009E3E19">
          <w:rPr>
            <w:noProof/>
            <w:webHidden/>
          </w:rPr>
          <w:fldChar w:fldCharType="begin"/>
        </w:r>
        <w:r w:rsidR="009E3E19">
          <w:rPr>
            <w:noProof/>
            <w:webHidden/>
          </w:rPr>
          <w:instrText xml:space="preserve"> PAGEREF _Toc118405102 \h </w:instrText>
        </w:r>
        <w:r w:rsidR="009E3E19">
          <w:rPr>
            <w:noProof/>
            <w:webHidden/>
          </w:rPr>
        </w:r>
        <w:r w:rsidR="009E3E19">
          <w:rPr>
            <w:noProof/>
            <w:webHidden/>
          </w:rPr>
          <w:fldChar w:fldCharType="separate"/>
        </w:r>
        <w:r w:rsidR="009E3E19">
          <w:rPr>
            <w:noProof/>
            <w:webHidden/>
          </w:rPr>
          <w:t>2</w:t>
        </w:r>
        <w:r w:rsidR="009E3E19">
          <w:rPr>
            <w:noProof/>
            <w:webHidden/>
          </w:rPr>
          <w:fldChar w:fldCharType="end"/>
        </w:r>
      </w:hyperlink>
    </w:p>
    <w:p w14:paraId="7F2D3655" w14:textId="50011559" w:rsidR="009E3E19" w:rsidRDefault="00000000">
      <w:pPr>
        <w:pStyle w:val="TOC2"/>
        <w:tabs>
          <w:tab w:val="right" w:leader="dot" w:pos="9016"/>
        </w:tabs>
        <w:rPr>
          <w:rFonts w:asciiTheme="minorHAnsi" w:hAnsiTheme="minorHAnsi" w:cstheme="minorBidi"/>
          <w:noProof/>
          <w:sz w:val="22"/>
        </w:rPr>
      </w:pPr>
      <w:hyperlink w:anchor="_Toc118405103" w:history="1">
        <w:r w:rsidR="009E3E19" w:rsidRPr="00BF6A1C">
          <w:rPr>
            <w:rStyle w:val="Hyperlink"/>
            <w:noProof/>
          </w:rPr>
          <w:t>How can I use the REDS?</w:t>
        </w:r>
        <w:r w:rsidR="009E3E19">
          <w:rPr>
            <w:noProof/>
            <w:webHidden/>
          </w:rPr>
          <w:tab/>
        </w:r>
        <w:r w:rsidR="009E3E19">
          <w:rPr>
            <w:noProof/>
            <w:webHidden/>
          </w:rPr>
          <w:fldChar w:fldCharType="begin"/>
        </w:r>
        <w:r w:rsidR="009E3E19">
          <w:rPr>
            <w:noProof/>
            <w:webHidden/>
          </w:rPr>
          <w:instrText xml:space="preserve"> PAGEREF _Toc118405103 \h </w:instrText>
        </w:r>
        <w:r w:rsidR="009E3E19">
          <w:rPr>
            <w:noProof/>
            <w:webHidden/>
          </w:rPr>
        </w:r>
        <w:r w:rsidR="009E3E19">
          <w:rPr>
            <w:noProof/>
            <w:webHidden/>
          </w:rPr>
          <w:fldChar w:fldCharType="separate"/>
        </w:r>
        <w:r w:rsidR="009E3E19">
          <w:rPr>
            <w:noProof/>
            <w:webHidden/>
          </w:rPr>
          <w:t>2</w:t>
        </w:r>
        <w:r w:rsidR="009E3E19">
          <w:rPr>
            <w:noProof/>
            <w:webHidden/>
          </w:rPr>
          <w:fldChar w:fldCharType="end"/>
        </w:r>
      </w:hyperlink>
    </w:p>
    <w:p w14:paraId="048A6174" w14:textId="5F8B51F6" w:rsidR="009E3E19" w:rsidRDefault="00000000">
      <w:pPr>
        <w:pStyle w:val="TOC1"/>
        <w:tabs>
          <w:tab w:val="right" w:leader="dot" w:pos="9016"/>
        </w:tabs>
        <w:rPr>
          <w:rFonts w:asciiTheme="minorHAnsi" w:hAnsiTheme="minorHAnsi" w:cstheme="minorBidi"/>
          <w:b w:val="0"/>
          <w:noProof/>
          <w:sz w:val="22"/>
          <w:szCs w:val="22"/>
        </w:rPr>
      </w:pPr>
      <w:hyperlink w:anchor="_Toc118405104" w:history="1">
        <w:r w:rsidR="009E3E19" w:rsidRPr="00BF6A1C">
          <w:rPr>
            <w:rStyle w:val="Hyperlink"/>
            <w:noProof/>
          </w:rPr>
          <w:t>01 Introduction</w:t>
        </w:r>
        <w:r w:rsidR="009E3E19">
          <w:rPr>
            <w:noProof/>
            <w:webHidden/>
          </w:rPr>
          <w:tab/>
        </w:r>
        <w:r w:rsidR="009E3E19">
          <w:rPr>
            <w:noProof/>
            <w:webHidden/>
          </w:rPr>
          <w:fldChar w:fldCharType="begin"/>
        </w:r>
        <w:r w:rsidR="009E3E19">
          <w:rPr>
            <w:noProof/>
            <w:webHidden/>
          </w:rPr>
          <w:instrText xml:space="preserve"> PAGEREF _Toc118405104 \h </w:instrText>
        </w:r>
        <w:r w:rsidR="009E3E19">
          <w:rPr>
            <w:noProof/>
            <w:webHidden/>
          </w:rPr>
        </w:r>
        <w:r w:rsidR="009E3E19">
          <w:rPr>
            <w:noProof/>
            <w:webHidden/>
          </w:rPr>
          <w:fldChar w:fldCharType="separate"/>
        </w:r>
        <w:r w:rsidR="009E3E19">
          <w:rPr>
            <w:noProof/>
            <w:webHidden/>
          </w:rPr>
          <w:t>4</w:t>
        </w:r>
        <w:r w:rsidR="009E3E19">
          <w:rPr>
            <w:noProof/>
            <w:webHidden/>
          </w:rPr>
          <w:fldChar w:fldCharType="end"/>
        </w:r>
      </w:hyperlink>
    </w:p>
    <w:p w14:paraId="4BC95B4F" w14:textId="5A212181" w:rsidR="009E3E19" w:rsidRDefault="00000000">
      <w:pPr>
        <w:pStyle w:val="TOC2"/>
        <w:tabs>
          <w:tab w:val="right" w:leader="dot" w:pos="9016"/>
        </w:tabs>
        <w:rPr>
          <w:rFonts w:asciiTheme="minorHAnsi" w:hAnsiTheme="minorHAnsi" w:cstheme="minorBidi"/>
          <w:noProof/>
          <w:sz w:val="22"/>
        </w:rPr>
      </w:pPr>
      <w:hyperlink w:anchor="_Toc118405105" w:history="1">
        <w:r w:rsidR="009E3E19" w:rsidRPr="00BF6A1C">
          <w:rPr>
            <w:rStyle w:val="Hyperlink"/>
            <w:noProof/>
          </w:rPr>
          <w:t>A region in transition</w:t>
        </w:r>
        <w:r w:rsidR="009E3E19">
          <w:rPr>
            <w:noProof/>
            <w:webHidden/>
          </w:rPr>
          <w:tab/>
        </w:r>
        <w:r w:rsidR="009E3E19">
          <w:rPr>
            <w:noProof/>
            <w:webHidden/>
          </w:rPr>
          <w:fldChar w:fldCharType="begin"/>
        </w:r>
        <w:r w:rsidR="009E3E19">
          <w:rPr>
            <w:noProof/>
            <w:webHidden/>
          </w:rPr>
          <w:instrText xml:space="preserve"> PAGEREF _Toc118405105 \h </w:instrText>
        </w:r>
        <w:r w:rsidR="009E3E19">
          <w:rPr>
            <w:noProof/>
            <w:webHidden/>
          </w:rPr>
        </w:r>
        <w:r w:rsidR="009E3E19">
          <w:rPr>
            <w:noProof/>
            <w:webHidden/>
          </w:rPr>
          <w:fldChar w:fldCharType="separate"/>
        </w:r>
        <w:r w:rsidR="009E3E19">
          <w:rPr>
            <w:noProof/>
            <w:webHidden/>
          </w:rPr>
          <w:t>5</w:t>
        </w:r>
        <w:r w:rsidR="009E3E19">
          <w:rPr>
            <w:noProof/>
            <w:webHidden/>
          </w:rPr>
          <w:fldChar w:fldCharType="end"/>
        </w:r>
      </w:hyperlink>
    </w:p>
    <w:p w14:paraId="06C0BA13" w14:textId="664AAA1B" w:rsidR="009E3E19" w:rsidRDefault="00000000">
      <w:pPr>
        <w:pStyle w:val="TOC2"/>
        <w:tabs>
          <w:tab w:val="right" w:leader="dot" w:pos="9016"/>
        </w:tabs>
        <w:rPr>
          <w:rFonts w:asciiTheme="minorHAnsi" w:hAnsiTheme="minorHAnsi" w:cstheme="minorBidi"/>
          <w:noProof/>
          <w:sz w:val="22"/>
        </w:rPr>
      </w:pPr>
      <w:hyperlink w:anchor="_Toc118405106" w:history="1">
        <w:r w:rsidR="009E3E19" w:rsidRPr="00BF6A1C">
          <w:rPr>
            <w:rStyle w:val="Hyperlink"/>
            <w:noProof/>
          </w:rPr>
          <w:t>Strategic directions</w:t>
        </w:r>
        <w:r w:rsidR="009E3E19">
          <w:rPr>
            <w:noProof/>
            <w:webHidden/>
          </w:rPr>
          <w:tab/>
        </w:r>
        <w:r w:rsidR="009E3E19">
          <w:rPr>
            <w:noProof/>
            <w:webHidden/>
          </w:rPr>
          <w:fldChar w:fldCharType="begin"/>
        </w:r>
        <w:r w:rsidR="009E3E19">
          <w:rPr>
            <w:noProof/>
            <w:webHidden/>
          </w:rPr>
          <w:instrText xml:space="preserve"> PAGEREF _Toc118405106 \h </w:instrText>
        </w:r>
        <w:r w:rsidR="009E3E19">
          <w:rPr>
            <w:noProof/>
            <w:webHidden/>
          </w:rPr>
        </w:r>
        <w:r w:rsidR="009E3E19">
          <w:rPr>
            <w:noProof/>
            <w:webHidden/>
          </w:rPr>
          <w:fldChar w:fldCharType="separate"/>
        </w:r>
        <w:r w:rsidR="009E3E19">
          <w:rPr>
            <w:noProof/>
            <w:webHidden/>
          </w:rPr>
          <w:t>5</w:t>
        </w:r>
        <w:r w:rsidR="009E3E19">
          <w:rPr>
            <w:noProof/>
            <w:webHidden/>
          </w:rPr>
          <w:fldChar w:fldCharType="end"/>
        </w:r>
      </w:hyperlink>
    </w:p>
    <w:p w14:paraId="2AAF0C3F" w14:textId="1C2C03EE" w:rsidR="009E3E19" w:rsidRDefault="00000000">
      <w:pPr>
        <w:pStyle w:val="TOC2"/>
        <w:tabs>
          <w:tab w:val="right" w:leader="dot" w:pos="9016"/>
        </w:tabs>
        <w:rPr>
          <w:rFonts w:asciiTheme="minorHAnsi" w:hAnsiTheme="minorHAnsi" w:cstheme="minorBidi"/>
          <w:noProof/>
          <w:sz w:val="22"/>
        </w:rPr>
      </w:pPr>
      <w:hyperlink w:anchor="_Toc118405107" w:history="1">
        <w:r w:rsidR="009E3E19" w:rsidRPr="00BF6A1C">
          <w:rPr>
            <w:rStyle w:val="Hyperlink"/>
            <w:noProof/>
          </w:rPr>
          <w:t>Regional readiness to activate strategic directions</w:t>
        </w:r>
        <w:r w:rsidR="009E3E19">
          <w:rPr>
            <w:noProof/>
            <w:webHidden/>
          </w:rPr>
          <w:tab/>
        </w:r>
        <w:r w:rsidR="009E3E19">
          <w:rPr>
            <w:noProof/>
            <w:webHidden/>
          </w:rPr>
          <w:fldChar w:fldCharType="begin"/>
        </w:r>
        <w:r w:rsidR="009E3E19">
          <w:rPr>
            <w:noProof/>
            <w:webHidden/>
          </w:rPr>
          <w:instrText xml:space="preserve"> PAGEREF _Toc118405107 \h </w:instrText>
        </w:r>
        <w:r w:rsidR="009E3E19">
          <w:rPr>
            <w:noProof/>
            <w:webHidden/>
          </w:rPr>
        </w:r>
        <w:r w:rsidR="009E3E19">
          <w:rPr>
            <w:noProof/>
            <w:webHidden/>
          </w:rPr>
          <w:fldChar w:fldCharType="separate"/>
        </w:r>
        <w:r w:rsidR="009E3E19">
          <w:rPr>
            <w:noProof/>
            <w:webHidden/>
          </w:rPr>
          <w:t>6</w:t>
        </w:r>
        <w:r w:rsidR="009E3E19">
          <w:rPr>
            <w:noProof/>
            <w:webHidden/>
          </w:rPr>
          <w:fldChar w:fldCharType="end"/>
        </w:r>
      </w:hyperlink>
    </w:p>
    <w:p w14:paraId="1875A036" w14:textId="3FAE2F7C" w:rsidR="009E3E19" w:rsidRDefault="00000000">
      <w:pPr>
        <w:pStyle w:val="TOC2"/>
        <w:tabs>
          <w:tab w:val="right" w:leader="dot" w:pos="9016"/>
        </w:tabs>
        <w:rPr>
          <w:rFonts w:asciiTheme="minorHAnsi" w:hAnsiTheme="minorHAnsi" w:cstheme="minorBidi"/>
          <w:noProof/>
          <w:sz w:val="22"/>
        </w:rPr>
      </w:pPr>
      <w:hyperlink w:anchor="_Toc118405108" w:history="1">
        <w:r w:rsidR="009E3E19" w:rsidRPr="00BF6A1C">
          <w:rPr>
            <w:rStyle w:val="Hyperlink"/>
            <w:noProof/>
          </w:rPr>
          <w:t>Local priorities and strategies</w:t>
        </w:r>
        <w:r w:rsidR="009E3E19">
          <w:rPr>
            <w:noProof/>
            <w:webHidden/>
          </w:rPr>
          <w:tab/>
        </w:r>
        <w:r w:rsidR="009E3E19">
          <w:rPr>
            <w:noProof/>
            <w:webHidden/>
          </w:rPr>
          <w:fldChar w:fldCharType="begin"/>
        </w:r>
        <w:r w:rsidR="009E3E19">
          <w:rPr>
            <w:noProof/>
            <w:webHidden/>
          </w:rPr>
          <w:instrText xml:space="preserve"> PAGEREF _Toc118405108 \h </w:instrText>
        </w:r>
        <w:r w:rsidR="009E3E19">
          <w:rPr>
            <w:noProof/>
            <w:webHidden/>
          </w:rPr>
        </w:r>
        <w:r w:rsidR="009E3E19">
          <w:rPr>
            <w:noProof/>
            <w:webHidden/>
          </w:rPr>
          <w:fldChar w:fldCharType="separate"/>
        </w:r>
        <w:r w:rsidR="009E3E19">
          <w:rPr>
            <w:noProof/>
            <w:webHidden/>
          </w:rPr>
          <w:t>8</w:t>
        </w:r>
        <w:r w:rsidR="009E3E19">
          <w:rPr>
            <w:noProof/>
            <w:webHidden/>
          </w:rPr>
          <w:fldChar w:fldCharType="end"/>
        </w:r>
      </w:hyperlink>
    </w:p>
    <w:p w14:paraId="738FEA7E" w14:textId="4D20A631" w:rsidR="009E3E19" w:rsidRDefault="00000000">
      <w:pPr>
        <w:pStyle w:val="TOC1"/>
        <w:tabs>
          <w:tab w:val="right" w:leader="dot" w:pos="9016"/>
        </w:tabs>
        <w:rPr>
          <w:rFonts w:asciiTheme="minorHAnsi" w:hAnsiTheme="minorHAnsi" w:cstheme="minorBidi"/>
          <w:b w:val="0"/>
          <w:noProof/>
          <w:sz w:val="22"/>
          <w:szCs w:val="22"/>
        </w:rPr>
      </w:pPr>
      <w:hyperlink w:anchor="_Toc118405109" w:history="1">
        <w:r w:rsidR="009E3E19" w:rsidRPr="00BF6A1C">
          <w:rPr>
            <w:rStyle w:val="Hyperlink"/>
            <w:noProof/>
          </w:rPr>
          <w:t>02 Regional profile</w:t>
        </w:r>
        <w:r w:rsidR="009E3E19">
          <w:rPr>
            <w:noProof/>
            <w:webHidden/>
          </w:rPr>
          <w:tab/>
        </w:r>
        <w:r w:rsidR="009E3E19">
          <w:rPr>
            <w:noProof/>
            <w:webHidden/>
          </w:rPr>
          <w:fldChar w:fldCharType="begin"/>
        </w:r>
        <w:r w:rsidR="009E3E19">
          <w:rPr>
            <w:noProof/>
            <w:webHidden/>
          </w:rPr>
          <w:instrText xml:space="preserve"> PAGEREF _Toc118405109 \h </w:instrText>
        </w:r>
        <w:r w:rsidR="009E3E19">
          <w:rPr>
            <w:noProof/>
            <w:webHidden/>
          </w:rPr>
        </w:r>
        <w:r w:rsidR="009E3E19">
          <w:rPr>
            <w:noProof/>
            <w:webHidden/>
          </w:rPr>
          <w:fldChar w:fldCharType="separate"/>
        </w:r>
        <w:r w:rsidR="009E3E19">
          <w:rPr>
            <w:noProof/>
            <w:webHidden/>
          </w:rPr>
          <w:t>9</w:t>
        </w:r>
        <w:r w:rsidR="009E3E19">
          <w:rPr>
            <w:noProof/>
            <w:webHidden/>
          </w:rPr>
          <w:fldChar w:fldCharType="end"/>
        </w:r>
      </w:hyperlink>
    </w:p>
    <w:p w14:paraId="7323CA6C" w14:textId="3E13B228" w:rsidR="009E3E19" w:rsidRDefault="00000000">
      <w:pPr>
        <w:pStyle w:val="TOC2"/>
        <w:tabs>
          <w:tab w:val="right" w:leader="dot" w:pos="9016"/>
        </w:tabs>
        <w:rPr>
          <w:rFonts w:asciiTheme="minorHAnsi" w:hAnsiTheme="minorHAnsi" w:cstheme="minorBidi"/>
          <w:noProof/>
          <w:sz w:val="22"/>
        </w:rPr>
      </w:pPr>
      <w:hyperlink w:anchor="_Toc118405110" w:history="1">
        <w:r w:rsidR="009E3E19" w:rsidRPr="00BF6A1C">
          <w:rPr>
            <w:rStyle w:val="Hyperlink"/>
            <w:noProof/>
          </w:rPr>
          <w:t>Employment by industry</w:t>
        </w:r>
        <w:r w:rsidR="009E3E19">
          <w:rPr>
            <w:noProof/>
            <w:webHidden/>
          </w:rPr>
          <w:tab/>
        </w:r>
        <w:r w:rsidR="009E3E19">
          <w:rPr>
            <w:noProof/>
            <w:webHidden/>
          </w:rPr>
          <w:fldChar w:fldCharType="begin"/>
        </w:r>
        <w:r w:rsidR="009E3E19">
          <w:rPr>
            <w:noProof/>
            <w:webHidden/>
          </w:rPr>
          <w:instrText xml:space="preserve"> PAGEREF _Toc118405110 \h </w:instrText>
        </w:r>
        <w:r w:rsidR="009E3E19">
          <w:rPr>
            <w:noProof/>
            <w:webHidden/>
          </w:rPr>
        </w:r>
        <w:r w:rsidR="009E3E19">
          <w:rPr>
            <w:noProof/>
            <w:webHidden/>
          </w:rPr>
          <w:fldChar w:fldCharType="separate"/>
        </w:r>
        <w:r w:rsidR="009E3E19">
          <w:rPr>
            <w:noProof/>
            <w:webHidden/>
          </w:rPr>
          <w:t>11</w:t>
        </w:r>
        <w:r w:rsidR="009E3E19">
          <w:rPr>
            <w:noProof/>
            <w:webHidden/>
          </w:rPr>
          <w:fldChar w:fldCharType="end"/>
        </w:r>
      </w:hyperlink>
    </w:p>
    <w:p w14:paraId="3F198BBE" w14:textId="25FD9FD0" w:rsidR="009E3E19" w:rsidRDefault="00000000">
      <w:pPr>
        <w:pStyle w:val="TOC2"/>
        <w:tabs>
          <w:tab w:val="right" w:leader="dot" w:pos="9016"/>
        </w:tabs>
        <w:rPr>
          <w:rFonts w:asciiTheme="minorHAnsi" w:hAnsiTheme="minorHAnsi" w:cstheme="minorBidi"/>
          <w:noProof/>
          <w:sz w:val="22"/>
        </w:rPr>
      </w:pPr>
      <w:hyperlink w:anchor="_Toc118405111" w:history="1">
        <w:r w:rsidR="009E3E19" w:rsidRPr="00BF6A1C">
          <w:rPr>
            <w:rStyle w:val="Hyperlink"/>
            <w:noProof/>
          </w:rPr>
          <w:t>Output by industry</w:t>
        </w:r>
        <w:r w:rsidR="009E3E19">
          <w:rPr>
            <w:noProof/>
            <w:webHidden/>
          </w:rPr>
          <w:tab/>
        </w:r>
        <w:r w:rsidR="009E3E19">
          <w:rPr>
            <w:noProof/>
            <w:webHidden/>
          </w:rPr>
          <w:fldChar w:fldCharType="begin"/>
        </w:r>
        <w:r w:rsidR="009E3E19">
          <w:rPr>
            <w:noProof/>
            <w:webHidden/>
          </w:rPr>
          <w:instrText xml:space="preserve"> PAGEREF _Toc118405111 \h </w:instrText>
        </w:r>
        <w:r w:rsidR="009E3E19">
          <w:rPr>
            <w:noProof/>
            <w:webHidden/>
          </w:rPr>
        </w:r>
        <w:r w:rsidR="009E3E19">
          <w:rPr>
            <w:noProof/>
            <w:webHidden/>
          </w:rPr>
          <w:fldChar w:fldCharType="separate"/>
        </w:r>
        <w:r w:rsidR="009E3E19">
          <w:rPr>
            <w:noProof/>
            <w:webHidden/>
          </w:rPr>
          <w:t>12</w:t>
        </w:r>
        <w:r w:rsidR="009E3E19">
          <w:rPr>
            <w:noProof/>
            <w:webHidden/>
          </w:rPr>
          <w:fldChar w:fldCharType="end"/>
        </w:r>
      </w:hyperlink>
    </w:p>
    <w:p w14:paraId="5212D143" w14:textId="5D8AACCD" w:rsidR="009E3E19" w:rsidRDefault="00000000">
      <w:pPr>
        <w:pStyle w:val="TOC2"/>
        <w:tabs>
          <w:tab w:val="right" w:leader="dot" w:pos="9016"/>
        </w:tabs>
        <w:rPr>
          <w:rFonts w:asciiTheme="minorHAnsi" w:hAnsiTheme="minorHAnsi" w:cstheme="minorBidi"/>
          <w:noProof/>
          <w:sz w:val="22"/>
        </w:rPr>
      </w:pPr>
      <w:hyperlink w:anchor="_Toc118405112" w:history="1">
        <w:r w:rsidR="009E3E19" w:rsidRPr="00BF6A1C">
          <w:rPr>
            <w:rStyle w:val="Hyperlink"/>
            <w:noProof/>
          </w:rPr>
          <w:t>Regional exports</w:t>
        </w:r>
        <w:r w:rsidR="009E3E19">
          <w:rPr>
            <w:noProof/>
            <w:webHidden/>
          </w:rPr>
          <w:tab/>
        </w:r>
        <w:r w:rsidR="009E3E19">
          <w:rPr>
            <w:noProof/>
            <w:webHidden/>
          </w:rPr>
          <w:fldChar w:fldCharType="begin"/>
        </w:r>
        <w:r w:rsidR="009E3E19">
          <w:rPr>
            <w:noProof/>
            <w:webHidden/>
          </w:rPr>
          <w:instrText xml:space="preserve"> PAGEREF _Toc118405112 \h </w:instrText>
        </w:r>
        <w:r w:rsidR="009E3E19">
          <w:rPr>
            <w:noProof/>
            <w:webHidden/>
          </w:rPr>
        </w:r>
        <w:r w:rsidR="009E3E19">
          <w:rPr>
            <w:noProof/>
            <w:webHidden/>
          </w:rPr>
          <w:fldChar w:fldCharType="separate"/>
        </w:r>
        <w:r w:rsidR="009E3E19">
          <w:rPr>
            <w:noProof/>
            <w:webHidden/>
          </w:rPr>
          <w:t>13</w:t>
        </w:r>
        <w:r w:rsidR="009E3E19">
          <w:rPr>
            <w:noProof/>
            <w:webHidden/>
          </w:rPr>
          <w:fldChar w:fldCharType="end"/>
        </w:r>
      </w:hyperlink>
    </w:p>
    <w:p w14:paraId="36F2DDFE" w14:textId="6DA36C37" w:rsidR="009E3E19" w:rsidRDefault="00000000">
      <w:pPr>
        <w:pStyle w:val="TOC1"/>
        <w:tabs>
          <w:tab w:val="right" w:leader="dot" w:pos="9016"/>
        </w:tabs>
        <w:rPr>
          <w:rFonts w:asciiTheme="minorHAnsi" w:hAnsiTheme="minorHAnsi" w:cstheme="minorBidi"/>
          <w:b w:val="0"/>
          <w:noProof/>
          <w:sz w:val="22"/>
          <w:szCs w:val="22"/>
        </w:rPr>
      </w:pPr>
      <w:hyperlink w:anchor="_Toc118405113" w:history="1">
        <w:r w:rsidR="009E3E19" w:rsidRPr="00BF6A1C">
          <w:rPr>
            <w:rStyle w:val="Hyperlink"/>
            <w:noProof/>
          </w:rPr>
          <w:t>03 Comparative advantage</w:t>
        </w:r>
        <w:r w:rsidR="009E3E19">
          <w:rPr>
            <w:noProof/>
            <w:webHidden/>
          </w:rPr>
          <w:tab/>
        </w:r>
        <w:r w:rsidR="009E3E19">
          <w:rPr>
            <w:noProof/>
            <w:webHidden/>
          </w:rPr>
          <w:fldChar w:fldCharType="begin"/>
        </w:r>
        <w:r w:rsidR="009E3E19">
          <w:rPr>
            <w:noProof/>
            <w:webHidden/>
          </w:rPr>
          <w:instrText xml:space="preserve"> PAGEREF _Toc118405113 \h </w:instrText>
        </w:r>
        <w:r w:rsidR="009E3E19">
          <w:rPr>
            <w:noProof/>
            <w:webHidden/>
          </w:rPr>
        </w:r>
        <w:r w:rsidR="009E3E19">
          <w:rPr>
            <w:noProof/>
            <w:webHidden/>
          </w:rPr>
          <w:fldChar w:fldCharType="separate"/>
        </w:r>
        <w:r w:rsidR="009E3E19">
          <w:rPr>
            <w:noProof/>
            <w:webHidden/>
          </w:rPr>
          <w:t>14</w:t>
        </w:r>
        <w:r w:rsidR="009E3E19">
          <w:rPr>
            <w:noProof/>
            <w:webHidden/>
          </w:rPr>
          <w:fldChar w:fldCharType="end"/>
        </w:r>
      </w:hyperlink>
    </w:p>
    <w:p w14:paraId="1E3B2D45" w14:textId="5D5D3605" w:rsidR="009E3E19" w:rsidRDefault="00000000">
      <w:pPr>
        <w:pStyle w:val="TOC2"/>
        <w:tabs>
          <w:tab w:val="right" w:leader="dot" w:pos="9016"/>
        </w:tabs>
        <w:rPr>
          <w:rFonts w:asciiTheme="minorHAnsi" w:hAnsiTheme="minorHAnsi" w:cstheme="minorBidi"/>
          <w:noProof/>
          <w:sz w:val="22"/>
        </w:rPr>
      </w:pPr>
      <w:hyperlink w:anchor="_Toc118405114" w:history="1">
        <w:r w:rsidR="009E3E19" w:rsidRPr="00BF6A1C">
          <w:rPr>
            <w:rStyle w:val="Hyperlink"/>
            <w:noProof/>
          </w:rPr>
          <w:t>3.1 Endowments</w:t>
        </w:r>
        <w:r w:rsidR="009E3E19">
          <w:rPr>
            <w:noProof/>
            <w:webHidden/>
          </w:rPr>
          <w:tab/>
        </w:r>
        <w:r w:rsidR="009E3E19">
          <w:rPr>
            <w:noProof/>
            <w:webHidden/>
          </w:rPr>
          <w:fldChar w:fldCharType="begin"/>
        </w:r>
        <w:r w:rsidR="009E3E19">
          <w:rPr>
            <w:noProof/>
            <w:webHidden/>
          </w:rPr>
          <w:instrText xml:space="preserve"> PAGEREF _Toc118405114 \h </w:instrText>
        </w:r>
        <w:r w:rsidR="009E3E19">
          <w:rPr>
            <w:noProof/>
            <w:webHidden/>
          </w:rPr>
        </w:r>
        <w:r w:rsidR="009E3E19">
          <w:rPr>
            <w:noProof/>
            <w:webHidden/>
          </w:rPr>
          <w:fldChar w:fldCharType="separate"/>
        </w:r>
        <w:r w:rsidR="009E3E19">
          <w:rPr>
            <w:noProof/>
            <w:webHidden/>
          </w:rPr>
          <w:t>14</w:t>
        </w:r>
        <w:r w:rsidR="009E3E19">
          <w:rPr>
            <w:noProof/>
            <w:webHidden/>
          </w:rPr>
          <w:fldChar w:fldCharType="end"/>
        </w:r>
      </w:hyperlink>
    </w:p>
    <w:p w14:paraId="5F447B4B" w14:textId="0077648D" w:rsidR="009E3E19" w:rsidRDefault="00000000">
      <w:pPr>
        <w:pStyle w:val="TOC2"/>
        <w:tabs>
          <w:tab w:val="right" w:leader="dot" w:pos="9016"/>
        </w:tabs>
        <w:rPr>
          <w:rFonts w:asciiTheme="minorHAnsi" w:hAnsiTheme="minorHAnsi" w:cstheme="minorBidi"/>
          <w:noProof/>
          <w:sz w:val="22"/>
        </w:rPr>
      </w:pPr>
      <w:hyperlink w:anchor="_Toc118405115" w:history="1">
        <w:r w:rsidR="009E3E19" w:rsidRPr="00BF6A1C">
          <w:rPr>
            <w:rStyle w:val="Hyperlink"/>
            <w:noProof/>
          </w:rPr>
          <w:t>3.2 Revealed industry specialisation</w:t>
        </w:r>
        <w:r w:rsidR="009E3E19">
          <w:rPr>
            <w:noProof/>
            <w:webHidden/>
          </w:rPr>
          <w:tab/>
        </w:r>
        <w:r w:rsidR="009E3E19">
          <w:rPr>
            <w:noProof/>
            <w:webHidden/>
          </w:rPr>
          <w:fldChar w:fldCharType="begin"/>
        </w:r>
        <w:r w:rsidR="009E3E19">
          <w:rPr>
            <w:noProof/>
            <w:webHidden/>
          </w:rPr>
          <w:instrText xml:space="preserve"> PAGEREF _Toc118405115 \h </w:instrText>
        </w:r>
        <w:r w:rsidR="009E3E19">
          <w:rPr>
            <w:noProof/>
            <w:webHidden/>
          </w:rPr>
        </w:r>
        <w:r w:rsidR="009E3E19">
          <w:rPr>
            <w:noProof/>
            <w:webHidden/>
          </w:rPr>
          <w:fldChar w:fldCharType="separate"/>
        </w:r>
        <w:r w:rsidR="009E3E19">
          <w:rPr>
            <w:noProof/>
            <w:webHidden/>
          </w:rPr>
          <w:t>17</w:t>
        </w:r>
        <w:r w:rsidR="009E3E19">
          <w:rPr>
            <w:noProof/>
            <w:webHidden/>
          </w:rPr>
          <w:fldChar w:fldCharType="end"/>
        </w:r>
      </w:hyperlink>
    </w:p>
    <w:p w14:paraId="613AD42C" w14:textId="336282CC" w:rsidR="009E3E19" w:rsidRDefault="00000000">
      <w:pPr>
        <w:pStyle w:val="TOC2"/>
        <w:tabs>
          <w:tab w:val="right" w:leader="dot" w:pos="9016"/>
        </w:tabs>
        <w:rPr>
          <w:rFonts w:asciiTheme="minorHAnsi" w:hAnsiTheme="minorHAnsi" w:cstheme="minorBidi"/>
          <w:noProof/>
          <w:sz w:val="22"/>
        </w:rPr>
      </w:pPr>
      <w:hyperlink w:anchor="_Toc118405116" w:history="1">
        <w:r w:rsidR="009E3E19" w:rsidRPr="00BF6A1C">
          <w:rPr>
            <w:rStyle w:val="Hyperlink"/>
            <w:noProof/>
          </w:rPr>
          <w:t>Emerging sectors</w:t>
        </w:r>
        <w:r w:rsidR="009E3E19">
          <w:rPr>
            <w:noProof/>
            <w:webHidden/>
          </w:rPr>
          <w:tab/>
        </w:r>
        <w:r w:rsidR="009E3E19">
          <w:rPr>
            <w:noProof/>
            <w:webHidden/>
          </w:rPr>
          <w:fldChar w:fldCharType="begin"/>
        </w:r>
        <w:r w:rsidR="009E3E19">
          <w:rPr>
            <w:noProof/>
            <w:webHidden/>
          </w:rPr>
          <w:instrText xml:space="preserve"> PAGEREF _Toc118405116 \h </w:instrText>
        </w:r>
        <w:r w:rsidR="009E3E19">
          <w:rPr>
            <w:noProof/>
            <w:webHidden/>
          </w:rPr>
        </w:r>
        <w:r w:rsidR="009E3E19">
          <w:rPr>
            <w:noProof/>
            <w:webHidden/>
          </w:rPr>
          <w:fldChar w:fldCharType="separate"/>
        </w:r>
        <w:r w:rsidR="009E3E19">
          <w:rPr>
            <w:noProof/>
            <w:webHidden/>
          </w:rPr>
          <w:t>21</w:t>
        </w:r>
        <w:r w:rsidR="009E3E19">
          <w:rPr>
            <w:noProof/>
            <w:webHidden/>
          </w:rPr>
          <w:fldChar w:fldCharType="end"/>
        </w:r>
      </w:hyperlink>
    </w:p>
    <w:p w14:paraId="28EA735A" w14:textId="1F8BF8A3" w:rsidR="009E3E19" w:rsidRDefault="00000000">
      <w:pPr>
        <w:pStyle w:val="TOC1"/>
        <w:tabs>
          <w:tab w:val="right" w:leader="dot" w:pos="9016"/>
        </w:tabs>
        <w:rPr>
          <w:rFonts w:asciiTheme="minorHAnsi" w:hAnsiTheme="minorHAnsi" w:cstheme="minorBidi"/>
          <w:b w:val="0"/>
          <w:noProof/>
          <w:sz w:val="22"/>
          <w:szCs w:val="22"/>
        </w:rPr>
      </w:pPr>
      <w:hyperlink w:anchor="_Toc118405117" w:history="1">
        <w:r w:rsidR="009E3E19" w:rsidRPr="00BF6A1C">
          <w:rPr>
            <w:rStyle w:val="Hyperlink"/>
            <w:noProof/>
          </w:rPr>
          <w:t>04 Strategic directions</w:t>
        </w:r>
        <w:r w:rsidR="009E3E19">
          <w:rPr>
            <w:noProof/>
            <w:webHidden/>
          </w:rPr>
          <w:tab/>
        </w:r>
        <w:r w:rsidR="009E3E19">
          <w:rPr>
            <w:noProof/>
            <w:webHidden/>
          </w:rPr>
          <w:fldChar w:fldCharType="begin"/>
        </w:r>
        <w:r w:rsidR="009E3E19">
          <w:rPr>
            <w:noProof/>
            <w:webHidden/>
          </w:rPr>
          <w:instrText xml:space="preserve"> PAGEREF _Toc118405117 \h </w:instrText>
        </w:r>
        <w:r w:rsidR="009E3E19">
          <w:rPr>
            <w:noProof/>
            <w:webHidden/>
          </w:rPr>
        </w:r>
        <w:r w:rsidR="009E3E19">
          <w:rPr>
            <w:noProof/>
            <w:webHidden/>
          </w:rPr>
          <w:fldChar w:fldCharType="separate"/>
        </w:r>
        <w:r w:rsidR="009E3E19">
          <w:rPr>
            <w:noProof/>
            <w:webHidden/>
          </w:rPr>
          <w:t>21</w:t>
        </w:r>
        <w:r w:rsidR="009E3E19">
          <w:rPr>
            <w:noProof/>
            <w:webHidden/>
          </w:rPr>
          <w:fldChar w:fldCharType="end"/>
        </w:r>
      </w:hyperlink>
    </w:p>
    <w:p w14:paraId="45581598" w14:textId="13783BE2" w:rsidR="009E3E19" w:rsidRDefault="00000000">
      <w:pPr>
        <w:pStyle w:val="TOC2"/>
        <w:tabs>
          <w:tab w:val="right" w:leader="dot" w:pos="9016"/>
        </w:tabs>
        <w:rPr>
          <w:rFonts w:asciiTheme="minorHAnsi" w:hAnsiTheme="minorHAnsi" w:cstheme="minorBidi"/>
          <w:noProof/>
          <w:sz w:val="22"/>
        </w:rPr>
      </w:pPr>
      <w:hyperlink w:anchor="_Toc118405118" w:history="1">
        <w:r w:rsidR="009E3E19" w:rsidRPr="00BF6A1C">
          <w:rPr>
            <w:rStyle w:val="Hyperlink"/>
            <w:noProof/>
          </w:rPr>
          <w:t>Gippsland’s strategic directions</w:t>
        </w:r>
        <w:r w:rsidR="009E3E19">
          <w:rPr>
            <w:noProof/>
            <w:webHidden/>
          </w:rPr>
          <w:tab/>
        </w:r>
        <w:r w:rsidR="009E3E19">
          <w:rPr>
            <w:noProof/>
            <w:webHidden/>
          </w:rPr>
          <w:fldChar w:fldCharType="begin"/>
        </w:r>
        <w:r w:rsidR="009E3E19">
          <w:rPr>
            <w:noProof/>
            <w:webHidden/>
          </w:rPr>
          <w:instrText xml:space="preserve"> PAGEREF _Toc118405118 \h </w:instrText>
        </w:r>
        <w:r w:rsidR="009E3E19">
          <w:rPr>
            <w:noProof/>
            <w:webHidden/>
          </w:rPr>
        </w:r>
        <w:r w:rsidR="009E3E19">
          <w:rPr>
            <w:noProof/>
            <w:webHidden/>
          </w:rPr>
          <w:fldChar w:fldCharType="separate"/>
        </w:r>
        <w:r w:rsidR="009E3E19">
          <w:rPr>
            <w:noProof/>
            <w:webHidden/>
          </w:rPr>
          <w:t>22</w:t>
        </w:r>
        <w:r w:rsidR="009E3E19">
          <w:rPr>
            <w:noProof/>
            <w:webHidden/>
          </w:rPr>
          <w:fldChar w:fldCharType="end"/>
        </w:r>
      </w:hyperlink>
    </w:p>
    <w:p w14:paraId="5F413026" w14:textId="1A1CCAB2" w:rsidR="009E3E19" w:rsidRDefault="00000000">
      <w:pPr>
        <w:pStyle w:val="TOC2"/>
        <w:tabs>
          <w:tab w:val="right" w:leader="dot" w:pos="9016"/>
        </w:tabs>
        <w:rPr>
          <w:rFonts w:asciiTheme="minorHAnsi" w:hAnsiTheme="minorHAnsi" w:cstheme="minorBidi"/>
          <w:noProof/>
          <w:sz w:val="22"/>
        </w:rPr>
      </w:pPr>
      <w:hyperlink w:anchor="_Toc118405119" w:history="1">
        <w:r w:rsidR="009E3E19" w:rsidRPr="00BF6A1C">
          <w:rPr>
            <w:rStyle w:val="Hyperlink"/>
            <w:noProof/>
          </w:rPr>
          <w:t>Enabling factors for economic growth</w:t>
        </w:r>
        <w:r w:rsidR="009E3E19">
          <w:rPr>
            <w:noProof/>
            <w:webHidden/>
          </w:rPr>
          <w:tab/>
        </w:r>
        <w:r w:rsidR="009E3E19">
          <w:rPr>
            <w:noProof/>
            <w:webHidden/>
          </w:rPr>
          <w:fldChar w:fldCharType="begin"/>
        </w:r>
        <w:r w:rsidR="009E3E19">
          <w:rPr>
            <w:noProof/>
            <w:webHidden/>
          </w:rPr>
          <w:instrText xml:space="preserve"> PAGEREF _Toc118405119 \h </w:instrText>
        </w:r>
        <w:r w:rsidR="009E3E19">
          <w:rPr>
            <w:noProof/>
            <w:webHidden/>
          </w:rPr>
        </w:r>
        <w:r w:rsidR="009E3E19">
          <w:rPr>
            <w:noProof/>
            <w:webHidden/>
          </w:rPr>
          <w:fldChar w:fldCharType="separate"/>
        </w:r>
        <w:r w:rsidR="009E3E19">
          <w:rPr>
            <w:noProof/>
            <w:webHidden/>
          </w:rPr>
          <w:t>23</w:t>
        </w:r>
        <w:r w:rsidR="009E3E19">
          <w:rPr>
            <w:noProof/>
            <w:webHidden/>
          </w:rPr>
          <w:fldChar w:fldCharType="end"/>
        </w:r>
      </w:hyperlink>
    </w:p>
    <w:p w14:paraId="62E10A07" w14:textId="111636E3" w:rsidR="009E3E19" w:rsidRDefault="00000000">
      <w:pPr>
        <w:pStyle w:val="TOC2"/>
        <w:tabs>
          <w:tab w:val="right" w:leader="dot" w:pos="9016"/>
        </w:tabs>
        <w:rPr>
          <w:rFonts w:asciiTheme="minorHAnsi" w:hAnsiTheme="minorHAnsi" w:cstheme="minorBidi"/>
          <w:noProof/>
          <w:sz w:val="22"/>
        </w:rPr>
      </w:pPr>
      <w:hyperlink w:anchor="_Toc118405120" w:history="1">
        <w:r w:rsidR="009E3E19" w:rsidRPr="00BF6A1C">
          <w:rPr>
            <w:rStyle w:val="Hyperlink"/>
            <w:noProof/>
          </w:rPr>
          <w:t>Integrating Aboriginal economic opportunities</w:t>
        </w:r>
        <w:r w:rsidR="009E3E19">
          <w:rPr>
            <w:noProof/>
            <w:webHidden/>
          </w:rPr>
          <w:tab/>
        </w:r>
        <w:r w:rsidR="009E3E19">
          <w:rPr>
            <w:noProof/>
            <w:webHidden/>
          </w:rPr>
          <w:fldChar w:fldCharType="begin"/>
        </w:r>
        <w:r w:rsidR="009E3E19">
          <w:rPr>
            <w:noProof/>
            <w:webHidden/>
          </w:rPr>
          <w:instrText xml:space="preserve"> PAGEREF _Toc118405120 \h </w:instrText>
        </w:r>
        <w:r w:rsidR="009E3E19">
          <w:rPr>
            <w:noProof/>
            <w:webHidden/>
          </w:rPr>
        </w:r>
        <w:r w:rsidR="009E3E19">
          <w:rPr>
            <w:noProof/>
            <w:webHidden/>
          </w:rPr>
          <w:fldChar w:fldCharType="separate"/>
        </w:r>
        <w:r w:rsidR="009E3E19">
          <w:rPr>
            <w:noProof/>
            <w:webHidden/>
          </w:rPr>
          <w:t>23</w:t>
        </w:r>
        <w:r w:rsidR="009E3E19">
          <w:rPr>
            <w:noProof/>
            <w:webHidden/>
          </w:rPr>
          <w:fldChar w:fldCharType="end"/>
        </w:r>
      </w:hyperlink>
    </w:p>
    <w:p w14:paraId="6E4AA1C8" w14:textId="535D5745" w:rsidR="009E3E19" w:rsidRDefault="00000000">
      <w:pPr>
        <w:pStyle w:val="TOC2"/>
        <w:tabs>
          <w:tab w:val="right" w:leader="dot" w:pos="9016"/>
        </w:tabs>
        <w:rPr>
          <w:rFonts w:asciiTheme="minorHAnsi" w:hAnsiTheme="minorHAnsi" w:cstheme="minorBidi"/>
          <w:noProof/>
          <w:sz w:val="22"/>
        </w:rPr>
      </w:pPr>
      <w:hyperlink w:anchor="_Toc118405121" w:history="1">
        <w:r w:rsidR="009E3E19" w:rsidRPr="00BF6A1C">
          <w:rPr>
            <w:rStyle w:val="Hyperlink"/>
            <w:noProof/>
          </w:rPr>
          <w:t>4.1 Maximise the role of the food and fibre industry in the local economy</w:t>
        </w:r>
        <w:r w:rsidR="009E3E19">
          <w:rPr>
            <w:noProof/>
            <w:webHidden/>
          </w:rPr>
          <w:tab/>
        </w:r>
        <w:r w:rsidR="009E3E19">
          <w:rPr>
            <w:noProof/>
            <w:webHidden/>
          </w:rPr>
          <w:fldChar w:fldCharType="begin"/>
        </w:r>
        <w:r w:rsidR="009E3E19">
          <w:rPr>
            <w:noProof/>
            <w:webHidden/>
          </w:rPr>
          <w:instrText xml:space="preserve"> PAGEREF _Toc118405121 \h </w:instrText>
        </w:r>
        <w:r w:rsidR="009E3E19">
          <w:rPr>
            <w:noProof/>
            <w:webHidden/>
          </w:rPr>
        </w:r>
        <w:r w:rsidR="009E3E19">
          <w:rPr>
            <w:noProof/>
            <w:webHidden/>
          </w:rPr>
          <w:fldChar w:fldCharType="separate"/>
        </w:r>
        <w:r w:rsidR="009E3E19">
          <w:rPr>
            <w:noProof/>
            <w:webHidden/>
          </w:rPr>
          <w:t>25</w:t>
        </w:r>
        <w:r w:rsidR="009E3E19">
          <w:rPr>
            <w:noProof/>
            <w:webHidden/>
          </w:rPr>
          <w:fldChar w:fldCharType="end"/>
        </w:r>
      </w:hyperlink>
    </w:p>
    <w:p w14:paraId="402D5D6F" w14:textId="02681F9A" w:rsidR="009E3E19" w:rsidRDefault="00000000">
      <w:pPr>
        <w:pStyle w:val="TOC2"/>
        <w:tabs>
          <w:tab w:val="right" w:leader="dot" w:pos="9016"/>
        </w:tabs>
        <w:rPr>
          <w:rFonts w:asciiTheme="minorHAnsi" w:hAnsiTheme="minorHAnsi" w:cstheme="minorBidi"/>
          <w:noProof/>
          <w:sz w:val="22"/>
        </w:rPr>
      </w:pPr>
      <w:hyperlink w:anchor="_Toc118405122" w:history="1">
        <w:r w:rsidR="009E3E19" w:rsidRPr="00BF6A1C">
          <w:rPr>
            <w:rStyle w:val="Hyperlink"/>
            <w:noProof/>
          </w:rPr>
          <w:t>4.2 Accelerate advanced manufacturing capabilities in the region</w:t>
        </w:r>
        <w:r w:rsidR="009E3E19">
          <w:rPr>
            <w:noProof/>
            <w:webHidden/>
          </w:rPr>
          <w:tab/>
        </w:r>
        <w:r w:rsidR="009E3E19">
          <w:rPr>
            <w:noProof/>
            <w:webHidden/>
          </w:rPr>
          <w:fldChar w:fldCharType="begin"/>
        </w:r>
        <w:r w:rsidR="009E3E19">
          <w:rPr>
            <w:noProof/>
            <w:webHidden/>
          </w:rPr>
          <w:instrText xml:space="preserve"> PAGEREF _Toc118405122 \h </w:instrText>
        </w:r>
        <w:r w:rsidR="009E3E19">
          <w:rPr>
            <w:noProof/>
            <w:webHidden/>
          </w:rPr>
        </w:r>
        <w:r w:rsidR="009E3E19">
          <w:rPr>
            <w:noProof/>
            <w:webHidden/>
          </w:rPr>
          <w:fldChar w:fldCharType="separate"/>
        </w:r>
        <w:r w:rsidR="009E3E19">
          <w:rPr>
            <w:noProof/>
            <w:webHidden/>
          </w:rPr>
          <w:t>29</w:t>
        </w:r>
        <w:r w:rsidR="009E3E19">
          <w:rPr>
            <w:noProof/>
            <w:webHidden/>
          </w:rPr>
          <w:fldChar w:fldCharType="end"/>
        </w:r>
      </w:hyperlink>
    </w:p>
    <w:p w14:paraId="276634D5" w14:textId="74F0454A" w:rsidR="009E3E19" w:rsidRDefault="00000000">
      <w:pPr>
        <w:pStyle w:val="TOC2"/>
        <w:tabs>
          <w:tab w:val="right" w:leader="dot" w:pos="9016"/>
        </w:tabs>
        <w:rPr>
          <w:rFonts w:asciiTheme="minorHAnsi" w:hAnsiTheme="minorHAnsi" w:cstheme="minorBidi"/>
          <w:noProof/>
          <w:sz w:val="22"/>
        </w:rPr>
      </w:pPr>
      <w:hyperlink w:anchor="_Toc118405123" w:history="1">
        <w:r w:rsidR="009E3E19" w:rsidRPr="00BF6A1C">
          <w:rPr>
            <w:rStyle w:val="Hyperlink"/>
            <w:noProof/>
          </w:rPr>
          <w:t>4.3 Pursue opportunities emerging from energy industry transition, including in clean and renewable energy and earth resources</w:t>
        </w:r>
        <w:r w:rsidR="009E3E19">
          <w:rPr>
            <w:noProof/>
            <w:webHidden/>
          </w:rPr>
          <w:tab/>
        </w:r>
        <w:r w:rsidR="009E3E19">
          <w:rPr>
            <w:noProof/>
            <w:webHidden/>
          </w:rPr>
          <w:fldChar w:fldCharType="begin"/>
        </w:r>
        <w:r w:rsidR="009E3E19">
          <w:rPr>
            <w:noProof/>
            <w:webHidden/>
          </w:rPr>
          <w:instrText xml:space="preserve"> PAGEREF _Toc118405123 \h </w:instrText>
        </w:r>
        <w:r w:rsidR="009E3E19">
          <w:rPr>
            <w:noProof/>
            <w:webHidden/>
          </w:rPr>
        </w:r>
        <w:r w:rsidR="009E3E19">
          <w:rPr>
            <w:noProof/>
            <w:webHidden/>
          </w:rPr>
          <w:fldChar w:fldCharType="separate"/>
        </w:r>
        <w:r w:rsidR="009E3E19">
          <w:rPr>
            <w:noProof/>
            <w:webHidden/>
          </w:rPr>
          <w:t>32</w:t>
        </w:r>
        <w:r w:rsidR="009E3E19">
          <w:rPr>
            <w:noProof/>
            <w:webHidden/>
          </w:rPr>
          <w:fldChar w:fldCharType="end"/>
        </w:r>
      </w:hyperlink>
    </w:p>
    <w:p w14:paraId="17058A20" w14:textId="76D95E2C" w:rsidR="009E3E19" w:rsidRDefault="00000000">
      <w:pPr>
        <w:pStyle w:val="TOC2"/>
        <w:tabs>
          <w:tab w:val="right" w:leader="dot" w:pos="9016"/>
        </w:tabs>
        <w:rPr>
          <w:rFonts w:asciiTheme="minorHAnsi" w:hAnsiTheme="minorHAnsi" w:cstheme="minorBidi"/>
          <w:noProof/>
          <w:sz w:val="22"/>
        </w:rPr>
      </w:pPr>
      <w:hyperlink w:anchor="_Toc118405124" w:history="1">
        <w:r w:rsidR="009E3E19" w:rsidRPr="00BF6A1C">
          <w:rPr>
            <w:rStyle w:val="Hyperlink"/>
            <w:noProof/>
          </w:rPr>
          <w:t>The policy environment</w:t>
        </w:r>
        <w:r w:rsidR="009E3E19">
          <w:rPr>
            <w:noProof/>
            <w:webHidden/>
          </w:rPr>
          <w:tab/>
        </w:r>
        <w:r w:rsidR="009E3E19">
          <w:rPr>
            <w:noProof/>
            <w:webHidden/>
          </w:rPr>
          <w:fldChar w:fldCharType="begin"/>
        </w:r>
        <w:r w:rsidR="009E3E19">
          <w:rPr>
            <w:noProof/>
            <w:webHidden/>
          </w:rPr>
          <w:instrText xml:space="preserve"> PAGEREF _Toc118405124 \h </w:instrText>
        </w:r>
        <w:r w:rsidR="009E3E19">
          <w:rPr>
            <w:noProof/>
            <w:webHidden/>
          </w:rPr>
        </w:r>
        <w:r w:rsidR="009E3E19">
          <w:rPr>
            <w:noProof/>
            <w:webHidden/>
          </w:rPr>
          <w:fldChar w:fldCharType="separate"/>
        </w:r>
        <w:r w:rsidR="009E3E19">
          <w:rPr>
            <w:noProof/>
            <w:webHidden/>
          </w:rPr>
          <w:t>35</w:t>
        </w:r>
        <w:r w:rsidR="009E3E19">
          <w:rPr>
            <w:noProof/>
            <w:webHidden/>
          </w:rPr>
          <w:fldChar w:fldCharType="end"/>
        </w:r>
      </w:hyperlink>
    </w:p>
    <w:p w14:paraId="4A90B0AF" w14:textId="468E60B5" w:rsidR="009E3E19" w:rsidRDefault="00000000">
      <w:pPr>
        <w:pStyle w:val="TOC2"/>
        <w:tabs>
          <w:tab w:val="right" w:leader="dot" w:pos="9016"/>
        </w:tabs>
        <w:rPr>
          <w:rFonts w:asciiTheme="minorHAnsi" w:hAnsiTheme="minorHAnsi" w:cstheme="minorBidi"/>
          <w:noProof/>
          <w:sz w:val="22"/>
        </w:rPr>
      </w:pPr>
      <w:hyperlink w:anchor="_Toc118405125" w:history="1">
        <w:r w:rsidR="009E3E19" w:rsidRPr="00BF6A1C">
          <w:rPr>
            <w:rStyle w:val="Hyperlink"/>
            <w:noProof/>
          </w:rPr>
          <w:t>Aboriginal inclusion</w:t>
        </w:r>
        <w:r w:rsidR="009E3E19">
          <w:rPr>
            <w:noProof/>
            <w:webHidden/>
          </w:rPr>
          <w:tab/>
        </w:r>
        <w:r w:rsidR="009E3E19">
          <w:rPr>
            <w:noProof/>
            <w:webHidden/>
          </w:rPr>
          <w:fldChar w:fldCharType="begin"/>
        </w:r>
        <w:r w:rsidR="009E3E19">
          <w:rPr>
            <w:noProof/>
            <w:webHidden/>
          </w:rPr>
          <w:instrText xml:space="preserve"> PAGEREF _Toc118405125 \h </w:instrText>
        </w:r>
        <w:r w:rsidR="009E3E19">
          <w:rPr>
            <w:noProof/>
            <w:webHidden/>
          </w:rPr>
        </w:r>
        <w:r w:rsidR="009E3E19">
          <w:rPr>
            <w:noProof/>
            <w:webHidden/>
          </w:rPr>
          <w:fldChar w:fldCharType="separate"/>
        </w:r>
        <w:r w:rsidR="009E3E19">
          <w:rPr>
            <w:noProof/>
            <w:webHidden/>
          </w:rPr>
          <w:t>36</w:t>
        </w:r>
        <w:r w:rsidR="009E3E19">
          <w:rPr>
            <w:noProof/>
            <w:webHidden/>
          </w:rPr>
          <w:fldChar w:fldCharType="end"/>
        </w:r>
      </w:hyperlink>
    </w:p>
    <w:p w14:paraId="2BD71938" w14:textId="15AE9E68" w:rsidR="009E3E19" w:rsidRDefault="00000000">
      <w:pPr>
        <w:pStyle w:val="TOC2"/>
        <w:tabs>
          <w:tab w:val="right" w:leader="dot" w:pos="9016"/>
        </w:tabs>
        <w:rPr>
          <w:rFonts w:asciiTheme="minorHAnsi" w:hAnsiTheme="minorHAnsi" w:cstheme="minorBidi"/>
          <w:noProof/>
          <w:sz w:val="22"/>
        </w:rPr>
      </w:pPr>
      <w:hyperlink w:anchor="_Toc118405126" w:history="1">
        <w:r w:rsidR="009E3E19" w:rsidRPr="00BF6A1C">
          <w:rPr>
            <w:rStyle w:val="Hyperlink"/>
            <w:noProof/>
          </w:rPr>
          <w:t>How can we unlock this strategic direction?</w:t>
        </w:r>
        <w:r w:rsidR="009E3E19">
          <w:rPr>
            <w:noProof/>
            <w:webHidden/>
          </w:rPr>
          <w:tab/>
        </w:r>
        <w:r w:rsidR="009E3E19">
          <w:rPr>
            <w:noProof/>
            <w:webHidden/>
          </w:rPr>
          <w:fldChar w:fldCharType="begin"/>
        </w:r>
        <w:r w:rsidR="009E3E19">
          <w:rPr>
            <w:noProof/>
            <w:webHidden/>
          </w:rPr>
          <w:instrText xml:space="preserve"> PAGEREF _Toc118405126 \h </w:instrText>
        </w:r>
        <w:r w:rsidR="009E3E19">
          <w:rPr>
            <w:noProof/>
            <w:webHidden/>
          </w:rPr>
        </w:r>
        <w:r w:rsidR="009E3E19">
          <w:rPr>
            <w:noProof/>
            <w:webHidden/>
          </w:rPr>
          <w:fldChar w:fldCharType="separate"/>
        </w:r>
        <w:r w:rsidR="009E3E19">
          <w:rPr>
            <w:noProof/>
            <w:webHidden/>
          </w:rPr>
          <w:t>37</w:t>
        </w:r>
        <w:r w:rsidR="009E3E19">
          <w:rPr>
            <w:noProof/>
            <w:webHidden/>
          </w:rPr>
          <w:fldChar w:fldCharType="end"/>
        </w:r>
      </w:hyperlink>
    </w:p>
    <w:p w14:paraId="75EF458B" w14:textId="40F50A41" w:rsidR="009E3E19" w:rsidRDefault="00000000">
      <w:pPr>
        <w:pStyle w:val="TOC2"/>
        <w:tabs>
          <w:tab w:val="right" w:leader="dot" w:pos="9016"/>
        </w:tabs>
        <w:rPr>
          <w:rFonts w:asciiTheme="minorHAnsi" w:hAnsiTheme="minorHAnsi" w:cstheme="minorBidi"/>
          <w:noProof/>
          <w:sz w:val="22"/>
        </w:rPr>
      </w:pPr>
      <w:hyperlink w:anchor="_Toc118405127" w:history="1">
        <w:r w:rsidR="009E3E19" w:rsidRPr="00BF6A1C">
          <w:rPr>
            <w:rStyle w:val="Hyperlink"/>
            <w:noProof/>
          </w:rPr>
          <w:t>4.4 Support growth and diversification in the visitor economy</w:t>
        </w:r>
        <w:r w:rsidR="009E3E19">
          <w:rPr>
            <w:noProof/>
            <w:webHidden/>
          </w:rPr>
          <w:tab/>
        </w:r>
        <w:r w:rsidR="009E3E19">
          <w:rPr>
            <w:noProof/>
            <w:webHidden/>
          </w:rPr>
          <w:fldChar w:fldCharType="begin"/>
        </w:r>
        <w:r w:rsidR="009E3E19">
          <w:rPr>
            <w:noProof/>
            <w:webHidden/>
          </w:rPr>
          <w:instrText xml:space="preserve"> PAGEREF _Toc118405127 \h </w:instrText>
        </w:r>
        <w:r w:rsidR="009E3E19">
          <w:rPr>
            <w:noProof/>
            <w:webHidden/>
          </w:rPr>
        </w:r>
        <w:r w:rsidR="009E3E19">
          <w:rPr>
            <w:noProof/>
            <w:webHidden/>
          </w:rPr>
          <w:fldChar w:fldCharType="separate"/>
        </w:r>
        <w:r w:rsidR="009E3E19">
          <w:rPr>
            <w:noProof/>
            <w:webHidden/>
          </w:rPr>
          <w:t>37</w:t>
        </w:r>
        <w:r w:rsidR="009E3E19">
          <w:rPr>
            <w:noProof/>
            <w:webHidden/>
          </w:rPr>
          <w:fldChar w:fldCharType="end"/>
        </w:r>
      </w:hyperlink>
    </w:p>
    <w:p w14:paraId="774BDB48" w14:textId="75C0FF8E" w:rsidR="009E3E19" w:rsidRDefault="00000000">
      <w:pPr>
        <w:pStyle w:val="TOC2"/>
        <w:tabs>
          <w:tab w:val="right" w:leader="dot" w:pos="9016"/>
        </w:tabs>
        <w:rPr>
          <w:rFonts w:asciiTheme="minorHAnsi" w:hAnsiTheme="minorHAnsi" w:cstheme="minorBidi"/>
          <w:noProof/>
          <w:sz w:val="22"/>
        </w:rPr>
      </w:pPr>
      <w:hyperlink w:anchor="_Toc118405128" w:history="1">
        <w:r w:rsidR="009E3E19" w:rsidRPr="00BF6A1C">
          <w:rPr>
            <w:rStyle w:val="Hyperlink"/>
            <w:noProof/>
          </w:rPr>
          <w:t>Significance</w:t>
        </w:r>
        <w:r w:rsidR="009E3E19">
          <w:rPr>
            <w:noProof/>
            <w:webHidden/>
          </w:rPr>
          <w:tab/>
        </w:r>
        <w:r w:rsidR="009E3E19">
          <w:rPr>
            <w:noProof/>
            <w:webHidden/>
          </w:rPr>
          <w:fldChar w:fldCharType="begin"/>
        </w:r>
        <w:r w:rsidR="009E3E19">
          <w:rPr>
            <w:noProof/>
            <w:webHidden/>
          </w:rPr>
          <w:instrText xml:space="preserve"> PAGEREF _Toc118405128 \h </w:instrText>
        </w:r>
        <w:r w:rsidR="009E3E19">
          <w:rPr>
            <w:noProof/>
            <w:webHidden/>
          </w:rPr>
        </w:r>
        <w:r w:rsidR="009E3E19">
          <w:rPr>
            <w:noProof/>
            <w:webHidden/>
          </w:rPr>
          <w:fldChar w:fldCharType="separate"/>
        </w:r>
        <w:r w:rsidR="009E3E19">
          <w:rPr>
            <w:noProof/>
            <w:webHidden/>
          </w:rPr>
          <w:t>37</w:t>
        </w:r>
        <w:r w:rsidR="009E3E19">
          <w:rPr>
            <w:noProof/>
            <w:webHidden/>
          </w:rPr>
          <w:fldChar w:fldCharType="end"/>
        </w:r>
      </w:hyperlink>
    </w:p>
    <w:p w14:paraId="342847AD" w14:textId="743EC869" w:rsidR="009E3E19" w:rsidRDefault="00000000">
      <w:pPr>
        <w:pStyle w:val="TOC2"/>
        <w:tabs>
          <w:tab w:val="right" w:leader="dot" w:pos="9016"/>
        </w:tabs>
        <w:rPr>
          <w:rFonts w:asciiTheme="minorHAnsi" w:hAnsiTheme="minorHAnsi" w:cstheme="minorBidi"/>
          <w:noProof/>
          <w:sz w:val="22"/>
        </w:rPr>
      </w:pPr>
      <w:hyperlink w:anchor="_Toc118405129" w:history="1">
        <w:r w:rsidR="009E3E19" w:rsidRPr="00BF6A1C">
          <w:rPr>
            <w:rStyle w:val="Hyperlink"/>
            <w:noProof/>
          </w:rPr>
          <w:t>Opportunities</w:t>
        </w:r>
        <w:r w:rsidR="009E3E19">
          <w:rPr>
            <w:noProof/>
            <w:webHidden/>
          </w:rPr>
          <w:tab/>
        </w:r>
        <w:r w:rsidR="009E3E19">
          <w:rPr>
            <w:noProof/>
            <w:webHidden/>
          </w:rPr>
          <w:fldChar w:fldCharType="begin"/>
        </w:r>
        <w:r w:rsidR="009E3E19">
          <w:rPr>
            <w:noProof/>
            <w:webHidden/>
          </w:rPr>
          <w:instrText xml:space="preserve"> PAGEREF _Toc118405129 \h </w:instrText>
        </w:r>
        <w:r w:rsidR="009E3E19">
          <w:rPr>
            <w:noProof/>
            <w:webHidden/>
          </w:rPr>
        </w:r>
        <w:r w:rsidR="009E3E19">
          <w:rPr>
            <w:noProof/>
            <w:webHidden/>
          </w:rPr>
          <w:fldChar w:fldCharType="separate"/>
        </w:r>
        <w:r w:rsidR="009E3E19">
          <w:rPr>
            <w:noProof/>
            <w:webHidden/>
          </w:rPr>
          <w:t>38</w:t>
        </w:r>
        <w:r w:rsidR="009E3E19">
          <w:rPr>
            <w:noProof/>
            <w:webHidden/>
          </w:rPr>
          <w:fldChar w:fldCharType="end"/>
        </w:r>
      </w:hyperlink>
    </w:p>
    <w:p w14:paraId="08528EB1" w14:textId="11BBCBD0" w:rsidR="009E3E19" w:rsidRDefault="00000000">
      <w:pPr>
        <w:pStyle w:val="TOC2"/>
        <w:tabs>
          <w:tab w:val="right" w:leader="dot" w:pos="9016"/>
        </w:tabs>
        <w:rPr>
          <w:rFonts w:asciiTheme="minorHAnsi" w:hAnsiTheme="minorHAnsi" w:cstheme="minorBidi"/>
          <w:noProof/>
          <w:sz w:val="22"/>
        </w:rPr>
      </w:pPr>
      <w:hyperlink w:anchor="_Toc118405130" w:history="1">
        <w:r w:rsidR="009E3E19" w:rsidRPr="00BF6A1C">
          <w:rPr>
            <w:rStyle w:val="Hyperlink"/>
            <w:noProof/>
          </w:rPr>
          <w:t>Challenges</w:t>
        </w:r>
        <w:r w:rsidR="009E3E19">
          <w:rPr>
            <w:noProof/>
            <w:webHidden/>
          </w:rPr>
          <w:tab/>
        </w:r>
        <w:r w:rsidR="009E3E19">
          <w:rPr>
            <w:noProof/>
            <w:webHidden/>
          </w:rPr>
          <w:fldChar w:fldCharType="begin"/>
        </w:r>
        <w:r w:rsidR="009E3E19">
          <w:rPr>
            <w:noProof/>
            <w:webHidden/>
          </w:rPr>
          <w:instrText xml:space="preserve"> PAGEREF _Toc118405130 \h </w:instrText>
        </w:r>
        <w:r w:rsidR="009E3E19">
          <w:rPr>
            <w:noProof/>
            <w:webHidden/>
          </w:rPr>
        </w:r>
        <w:r w:rsidR="009E3E19">
          <w:rPr>
            <w:noProof/>
            <w:webHidden/>
          </w:rPr>
          <w:fldChar w:fldCharType="separate"/>
        </w:r>
        <w:r w:rsidR="009E3E19">
          <w:rPr>
            <w:noProof/>
            <w:webHidden/>
          </w:rPr>
          <w:t>39</w:t>
        </w:r>
        <w:r w:rsidR="009E3E19">
          <w:rPr>
            <w:noProof/>
            <w:webHidden/>
          </w:rPr>
          <w:fldChar w:fldCharType="end"/>
        </w:r>
      </w:hyperlink>
    </w:p>
    <w:p w14:paraId="6238E3C8" w14:textId="68F6BD83" w:rsidR="009E3E19" w:rsidRDefault="00000000">
      <w:pPr>
        <w:pStyle w:val="TOC2"/>
        <w:tabs>
          <w:tab w:val="right" w:leader="dot" w:pos="9016"/>
        </w:tabs>
        <w:rPr>
          <w:rFonts w:asciiTheme="minorHAnsi" w:hAnsiTheme="minorHAnsi" w:cstheme="minorBidi"/>
          <w:noProof/>
          <w:sz w:val="22"/>
        </w:rPr>
      </w:pPr>
      <w:hyperlink w:anchor="_Toc118405131" w:history="1">
        <w:r w:rsidR="009E3E19" w:rsidRPr="00BF6A1C">
          <w:rPr>
            <w:rStyle w:val="Hyperlink"/>
            <w:noProof/>
          </w:rPr>
          <w:t>The policy environment</w:t>
        </w:r>
        <w:r w:rsidR="009E3E19">
          <w:rPr>
            <w:noProof/>
            <w:webHidden/>
          </w:rPr>
          <w:tab/>
        </w:r>
        <w:r w:rsidR="009E3E19">
          <w:rPr>
            <w:noProof/>
            <w:webHidden/>
          </w:rPr>
          <w:fldChar w:fldCharType="begin"/>
        </w:r>
        <w:r w:rsidR="009E3E19">
          <w:rPr>
            <w:noProof/>
            <w:webHidden/>
          </w:rPr>
          <w:instrText xml:space="preserve"> PAGEREF _Toc118405131 \h </w:instrText>
        </w:r>
        <w:r w:rsidR="009E3E19">
          <w:rPr>
            <w:noProof/>
            <w:webHidden/>
          </w:rPr>
        </w:r>
        <w:r w:rsidR="009E3E19">
          <w:rPr>
            <w:noProof/>
            <w:webHidden/>
          </w:rPr>
          <w:fldChar w:fldCharType="separate"/>
        </w:r>
        <w:r w:rsidR="009E3E19">
          <w:rPr>
            <w:noProof/>
            <w:webHidden/>
          </w:rPr>
          <w:t>39</w:t>
        </w:r>
        <w:r w:rsidR="009E3E19">
          <w:rPr>
            <w:noProof/>
            <w:webHidden/>
          </w:rPr>
          <w:fldChar w:fldCharType="end"/>
        </w:r>
      </w:hyperlink>
    </w:p>
    <w:p w14:paraId="3B87546F" w14:textId="3C936C67" w:rsidR="009E3E19" w:rsidRDefault="00000000">
      <w:pPr>
        <w:pStyle w:val="TOC2"/>
        <w:tabs>
          <w:tab w:val="right" w:leader="dot" w:pos="9016"/>
        </w:tabs>
        <w:rPr>
          <w:rFonts w:asciiTheme="minorHAnsi" w:hAnsiTheme="minorHAnsi" w:cstheme="minorBidi"/>
          <w:noProof/>
          <w:sz w:val="22"/>
        </w:rPr>
      </w:pPr>
      <w:hyperlink w:anchor="_Toc118405132" w:history="1">
        <w:r w:rsidR="009E3E19" w:rsidRPr="00BF6A1C">
          <w:rPr>
            <w:rStyle w:val="Hyperlink"/>
            <w:noProof/>
          </w:rPr>
          <w:t>Aboriginal inclusion</w:t>
        </w:r>
        <w:r w:rsidR="009E3E19">
          <w:rPr>
            <w:noProof/>
            <w:webHidden/>
          </w:rPr>
          <w:tab/>
        </w:r>
        <w:r w:rsidR="009E3E19">
          <w:rPr>
            <w:noProof/>
            <w:webHidden/>
          </w:rPr>
          <w:fldChar w:fldCharType="begin"/>
        </w:r>
        <w:r w:rsidR="009E3E19">
          <w:rPr>
            <w:noProof/>
            <w:webHidden/>
          </w:rPr>
          <w:instrText xml:space="preserve"> PAGEREF _Toc118405132 \h </w:instrText>
        </w:r>
        <w:r w:rsidR="009E3E19">
          <w:rPr>
            <w:noProof/>
            <w:webHidden/>
          </w:rPr>
        </w:r>
        <w:r w:rsidR="009E3E19">
          <w:rPr>
            <w:noProof/>
            <w:webHidden/>
          </w:rPr>
          <w:fldChar w:fldCharType="separate"/>
        </w:r>
        <w:r w:rsidR="009E3E19">
          <w:rPr>
            <w:noProof/>
            <w:webHidden/>
          </w:rPr>
          <w:t>40</w:t>
        </w:r>
        <w:r w:rsidR="009E3E19">
          <w:rPr>
            <w:noProof/>
            <w:webHidden/>
          </w:rPr>
          <w:fldChar w:fldCharType="end"/>
        </w:r>
      </w:hyperlink>
    </w:p>
    <w:p w14:paraId="51BF0BED" w14:textId="6D841BAD" w:rsidR="009E3E19" w:rsidRDefault="00000000">
      <w:pPr>
        <w:pStyle w:val="TOC2"/>
        <w:tabs>
          <w:tab w:val="right" w:leader="dot" w:pos="9016"/>
        </w:tabs>
        <w:rPr>
          <w:rFonts w:asciiTheme="minorHAnsi" w:hAnsiTheme="minorHAnsi" w:cstheme="minorBidi"/>
          <w:noProof/>
          <w:sz w:val="22"/>
        </w:rPr>
      </w:pPr>
      <w:hyperlink w:anchor="_Toc118405133" w:history="1">
        <w:r w:rsidR="009E3E19" w:rsidRPr="00BF6A1C">
          <w:rPr>
            <w:rStyle w:val="Hyperlink"/>
            <w:noProof/>
          </w:rPr>
          <w:t>How can we unlock this strategic direction?</w:t>
        </w:r>
        <w:r w:rsidR="009E3E19">
          <w:rPr>
            <w:noProof/>
            <w:webHidden/>
          </w:rPr>
          <w:tab/>
        </w:r>
        <w:r w:rsidR="009E3E19">
          <w:rPr>
            <w:noProof/>
            <w:webHidden/>
          </w:rPr>
          <w:fldChar w:fldCharType="begin"/>
        </w:r>
        <w:r w:rsidR="009E3E19">
          <w:rPr>
            <w:noProof/>
            <w:webHidden/>
          </w:rPr>
          <w:instrText xml:space="preserve"> PAGEREF _Toc118405133 \h </w:instrText>
        </w:r>
        <w:r w:rsidR="009E3E19">
          <w:rPr>
            <w:noProof/>
            <w:webHidden/>
          </w:rPr>
        </w:r>
        <w:r w:rsidR="009E3E19">
          <w:rPr>
            <w:noProof/>
            <w:webHidden/>
          </w:rPr>
          <w:fldChar w:fldCharType="separate"/>
        </w:r>
        <w:r w:rsidR="009E3E19">
          <w:rPr>
            <w:noProof/>
            <w:webHidden/>
          </w:rPr>
          <w:t>40</w:t>
        </w:r>
        <w:r w:rsidR="009E3E19">
          <w:rPr>
            <w:noProof/>
            <w:webHidden/>
          </w:rPr>
          <w:fldChar w:fldCharType="end"/>
        </w:r>
      </w:hyperlink>
    </w:p>
    <w:p w14:paraId="293968A1" w14:textId="33F1778E" w:rsidR="009E3E19" w:rsidRDefault="00000000">
      <w:pPr>
        <w:pStyle w:val="TOC2"/>
        <w:tabs>
          <w:tab w:val="right" w:leader="dot" w:pos="9016"/>
        </w:tabs>
        <w:rPr>
          <w:rFonts w:asciiTheme="minorHAnsi" w:hAnsiTheme="minorHAnsi" w:cstheme="minorBidi"/>
          <w:noProof/>
          <w:sz w:val="22"/>
        </w:rPr>
      </w:pPr>
      <w:hyperlink w:anchor="_Toc118405134" w:history="1">
        <w:r w:rsidR="009E3E19" w:rsidRPr="00BF6A1C">
          <w:rPr>
            <w:rStyle w:val="Hyperlink"/>
            <w:noProof/>
          </w:rPr>
          <w:t>4.5 Enhance regional specialisation in health care and social assistance</w:t>
        </w:r>
        <w:r w:rsidR="009E3E19">
          <w:rPr>
            <w:noProof/>
            <w:webHidden/>
          </w:rPr>
          <w:tab/>
        </w:r>
        <w:r w:rsidR="009E3E19">
          <w:rPr>
            <w:noProof/>
            <w:webHidden/>
          </w:rPr>
          <w:fldChar w:fldCharType="begin"/>
        </w:r>
        <w:r w:rsidR="009E3E19">
          <w:rPr>
            <w:noProof/>
            <w:webHidden/>
          </w:rPr>
          <w:instrText xml:space="preserve"> PAGEREF _Toc118405134 \h </w:instrText>
        </w:r>
        <w:r w:rsidR="009E3E19">
          <w:rPr>
            <w:noProof/>
            <w:webHidden/>
          </w:rPr>
        </w:r>
        <w:r w:rsidR="009E3E19">
          <w:rPr>
            <w:noProof/>
            <w:webHidden/>
          </w:rPr>
          <w:fldChar w:fldCharType="separate"/>
        </w:r>
        <w:r w:rsidR="009E3E19">
          <w:rPr>
            <w:noProof/>
            <w:webHidden/>
          </w:rPr>
          <w:t>41</w:t>
        </w:r>
        <w:r w:rsidR="009E3E19">
          <w:rPr>
            <w:noProof/>
            <w:webHidden/>
          </w:rPr>
          <w:fldChar w:fldCharType="end"/>
        </w:r>
      </w:hyperlink>
    </w:p>
    <w:p w14:paraId="1A6FA0B0" w14:textId="3C29C616" w:rsidR="009E3E19" w:rsidRDefault="00000000">
      <w:pPr>
        <w:pStyle w:val="TOC2"/>
        <w:tabs>
          <w:tab w:val="right" w:leader="dot" w:pos="9016"/>
        </w:tabs>
        <w:rPr>
          <w:rFonts w:asciiTheme="minorHAnsi" w:hAnsiTheme="minorHAnsi" w:cstheme="minorBidi"/>
          <w:noProof/>
          <w:sz w:val="22"/>
        </w:rPr>
      </w:pPr>
      <w:hyperlink w:anchor="_Toc118405135" w:history="1">
        <w:r w:rsidR="009E3E19" w:rsidRPr="00BF6A1C">
          <w:rPr>
            <w:rStyle w:val="Hyperlink"/>
            <w:noProof/>
          </w:rPr>
          <w:t>Significance</w:t>
        </w:r>
        <w:r w:rsidR="009E3E19">
          <w:rPr>
            <w:noProof/>
            <w:webHidden/>
          </w:rPr>
          <w:tab/>
        </w:r>
        <w:r w:rsidR="009E3E19">
          <w:rPr>
            <w:noProof/>
            <w:webHidden/>
          </w:rPr>
          <w:fldChar w:fldCharType="begin"/>
        </w:r>
        <w:r w:rsidR="009E3E19">
          <w:rPr>
            <w:noProof/>
            <w:webHidden/>
          </w:rPr>
          <w:instrText xml:space="preserve"> PAGEREF _Toc118405135 \h </w:instrText>
        </w:r>
        <w:r w:rsidR="009E3E19">
          <w:rPr>
            <w:noProof/>
            <w:webHidden/>
          </w:rPr>
        </w:r>
        <w:r w:rsidR="009E3E19">
          <w:rPr>
            <w:noProof/>
            <w:webHidden/>
          </w:rPr>
          <w:fldChar w:fldCharType="separate"/>
        </w:r>
        <w:r w:rsidR="009E3E19">
          <w:rPr>
            <w:noProof/>
            <w:webHidden/>
          </w:rPr>
          <w:t>41</w:t>
        </w:r>
        <w:r w:rsidR="009E3E19">
          <w:rPr>
            <w:noProof/>
            <w:webHidden/>
          </w:rPr>
          <w:fldChar w:fldCharType="end"/>
        </w:r>
      </w:hyperlink>
    </w:p>
    <w:p w14:paraId="47743C41" w14:textId="5EBEC7AB" w:rsidR="009E3E19" w:rsidRDefault="00000000">
      <w:pPr>
        <w:pStyle w:val="TOC2"/>
        <w:tabs>
          <w:tab w:val="right" w:leader="dot" w:pos="9016"/>
        </w:tabs>
        <w:rPr>
          <w:rFonts w:asciiTheme="minorHAnsi" w:hAnsiTheme="minorHAnsi" w:cstheme="minorBidi"/>
          <w:noProof/>
          <w:sz w:val="22"/>
        </w:rPr>
      </w:pPr>
      <w:hyperlink w:anchor="_Toc118405136" w:history="1">
        <w:r w:rsidR="009E3E19" w:rsidRPr="00BF6A1C">
          <w:rPr>
            <w:rStyle w:val="Hyperlink"/>
            <w:noProof/>
          </w:rPr>
          <w:t>Opportunities</w:t>
        </w:r>
        <w:r w:rsidR="009E3E19">
          <w:rPr>
            <w:noProof/>
            <w:webHidden/>
          </w:rPr>
          <w:tab/>
        </w:r>
        <w:r w:rsidR="009E3E19">
          <w:rPr>
            <w:noProof/>
            <w:webHidden/>
          </w:rPr>
          <w:fldChar w:fldCharType="begin"/>
        </w:r>
        <w:r w:rsidR="009E3E19">
          <w:rPr>
            <w:noProof/>
            <w:webHidden/>
          </w:rPr>
          <w:instrText xml:space="preserve"> PAGEREF _Toc118405136 \h </w:instrText>
        </w:r>
        <w:r w:rsidR="009E3E19">
          <w:rPr>
            <w:noProof/>
            <w:webHidden/>
          </w:rPr>
        </w:r>
        <w:r w:rsidR="009E3E19">
          <w:rPr>
            <w:noProof/>
            <w:webHidden/>
          </w:rPr>
          <w:fldChar w:fldCharType="separate"/>
        </w:r>
        <w:r w:rsidR="009E3E19">
          <w:rPr>
            <w:noProof/>
            <w:webHidden/>
          </w:rPr>
          <w:t>41</w:t>
        </w:r>
        <w:r w:rsidR="009E3E19">
          <w:rPr>
            <w:noProof/>
            <w:webHidden/>
          </w:rPr>
          <w:fldChar w:fldCharType="end"/>
        </w:r>
      </w:hyperlink>
    </w:p>
    <w:p w14:paraId="51386BEB" w14:textId="4667E52C" w:rsidR="009E3E19" w:rsidRDefault="00000000">
      <w:pPr>
        <w:pStyle w:val="TOC2"/>
        <w:tabs>
          <w:tab w:val="right" w:leader="dot" w:pos="9016"/>
        </w:tabs>
        <w:rPr>
          <w:rFonts w:asciiTheme="minorHAnsi" w:hAnsiTheme="minorHAnsi" w:cstheme="minorBidi"/>
          <w:noProof/>
          <w:sz w:val="22"/>
        </w:rPr>
      </w:pPr>
      <w:hyperlink w:anchor="_Toc118405137" w:history="1">
        <w:r w:rsidR="009E3E19" w:rsidRPr="00BF6A1C">
          <w:rPr>
            <w:rStyle w:val="Hyperlink"/>
            <w:noProof/>
          </w:rPr>
          <w:t>Challenges</w:t>
        </w:r>
        <w:r w:rsidR="009E3E19">
          <w:rPr>
            <w:noProof/>
            <w:webHidden/>
          </w:rPr>
          <w:tab/>
        </w:r>
        <w:r w:rsidR="009E3E19">
          <w:rPr>
            <w:noProof/>
            <w:webHidden/>
          </w:rPr>
          <w:fldChar w:fldCharType="begin"/>
        </w:r>
        <w:r w:rsidR="009E3E19">
          <w:rPr>
            <w:noProof/>
            <w:webHidden/>
          </w:rPr>
          <w:instrText xml:space="preserve"> PAGEREF _Toc118405137 \h </w:instrText>
        </w:r>
        <w:r w:rsidR="009E3E19">
          <w:rPr>
            <w:noProof/>
            <w:webHidden/>
          </w:rPr>
        </w:r>
        <w:r w:rsidR="009E3E19">
          <w:rPr>
            <w:noProof/>
            <w:webHidden/>
          </w:rPr>
          <w:fldChar w:fldCharType="separate"/>
        </w:r>
        <w:r w:rsidR="009E3E19">
          <w:rPr>
            <w:noProof/>
            <w:webHidden/>
          </w:rPr>
          <w:t>42</w:t>
        </w:r>
        <w:r w:rsidR="009E3E19">
          <w:rPr>
            <w:noProof/>
            <w:webHidden/>
          </w:rPr>
          <w:fldChar w:fldCharType="end"/>
        </w:r>
      </w:hyperlink>
    </w:p>
    <w:p w14:paraId="7C90FC32" w14:textId="291C095D" w:rsidR="009E3E19" w:rsidRDefault="00000000">
      <w:pPr>
        <w:pStyle w:val="TOC2"/>
        <w:tabs>
          <w:tab w:val="right" w:leader="dot" w:pos="9016"/>
        </w:tabs>
        <w:rPr>
          <w:rFonts w:asciiTheme="minorHAnsi" w:hAnsiTheme="minorHAnsi" w:cstheme="minorBidi"/>
          <w:noProof/>
          <w:sz w:val="22"/>
        </w:rPr>
      </w:pPr>
      <w:hyperlink w:anchor="_Toc118405138" w:history="1">
        <w:r w:rsidR="009E3E19" w:rsidRPr="00BF6A1C">
          <w:rPr>
            <w:rStyle w:val="Hyperlink"/>
            <w:noProof/>
          </w:rPr>
          <w:t>The policy environment</w:t>
        </w:r>
        <w:r w:rsidR="009E3E19">
          <w:rPr>
            <w:noProof/>
            <w:webHidden/>
          </w:rPr>
          <w:tab/>
        </w:r>
        <w:r w:rsidR="009E3E19">
          <w:rPr>
            <w:noProof/>
            <w:webHidden/>
          </w:rPr>
          <w:fldChar w:fldCharType="begin"/>
        </w:r>
        <w:r w:rsidR="009E3E19">
          <w:rPr>
            <w:noProof/>
            <w:webHidden/>
          </w:rPr>
          <w:instrText xml:space="preserve"> PAGEREF _Toc118405138 \h </w:instrText>
        </w:r>
        <w:r w:rsidR="009E3E19">
          <w:rPr>
            <w:noProof/>
            <w:webHidden/>
          </w:rPr>
        </w:r>
        <w:r w:rsidR="009E3E19">
          <w:rPr>
            <w:noProof/>
            <w:webHidden/>
          </w:rPr>
          <w:fldChar w:fldCharType="separate"/>
        </w:r>
        <w:r w:rsidR="009E3E19">
          <w:rPr>
            <w:noProof/>
            <w:webHidden/>
          </w:rPr>
          <w:t>43</w:t>
        </w:r>
        <w:r w:rsidR="009E3E19">
          <w:rPr>
            <w:noProof/>
            <w:webHidden/>
          </w:rPr>
          <w:fldChar w:fldCharType="end"/>
        </w:r>
      </w:hyperlink>
    </w:p>
    <w:p w14:paraId="61280498" w14:textId="6D8078F4" w:rsidR="009E3E19" w:rsidRDefault="00000000">
      <w:pPr>
        <w:pStyle w:val="TOC2"/>
        <w:tabs>
          <w:tab w:val="right" w:leader="dot" w:pos="9016"/>
        </w:tabs>
        <w:rPr>
          <w:rFonts w:asciiTheme="minorHAnsi" w:hAnsiTheme="minorHAnsi" w:cstheme="minorBidi"/>
          <w:noProof/>
          <w:sz w:val="22"/>
        </w:rPr>
      </w:pPr>
      <w:hyperlink w:anchor="_Toc118405139" w:history="1">
        <w:r w:rsidR="009E3E19" w:rsidRPr="00BF6A1C">
          <w:rPr>
            <w:rStyle w:val="Hyperlink"/>
            <w:noProof/>
          </w:rPr>
          <w:t>Aboriginal inclusion</w:t>
        </w:r>
        <w:r w:rsidR="009E3E19">
          <w:rPr>
            <w:noProof/>
            <w:webHidden/>
          </w:rPr>
          <w:tab/>
        </w:r>
        <w:r w:rsidR="009E3E19">
          <w:rPr>
            <w:noProof/>
            <w:webHidden/>
          </w:rPr>
          <w:fldChar w:fldCharType="begin"/>
        </w:r>
        <w:r w:rsidR="009E3E19">
          <w:rPr>
            <w:noProof/>
            <w:webHidden/>
          </w:rPr>
          <w:instrText xml:space="preserve"> PAGEREF _Toc118405139 \h </w:instrText>
        </w:r>
        <w:r w:rsidR="009E3E19">
          <w:rPr>
            <w:noProof/>
            <w:webHidden/>
          </w:rPr>
        </w:r>
        <w:r w:rsidR="009E3E19">
          <w:rPr>
            <w:noProof/>
            <w:webHidden/>
          </w:rPr>
          <w:fldChar w:fldCharType="separate"/>
        </w:r>
        <w:r w:rsidR="009E3E19">
          <w:rPr>
            <w:noProof/>
            <w:webHidden/>
          </w:rPr>
          <w:t>43</w:t>
        </w:r>
        <w:r w:rsidR="009E3E19">
          <w:rPr>
            <w:noProof/>
            <w:webHidden/>
          </w:rPr>
          <w:fldChar w:fldCharType="end"/>
        </w:r>
      </w:hyperlink>
    </w:p>
    <w:p w14:paraId="574533ED" w14:textId="4B4F94AE" w:rsidR="009E3E19" w:rsidRDefault="00000000">
      <w:pPr>
        <w:pStyle w:val="TOC2"/>
        <w:tabs>
          <w:tab w:val="right" w:leader="dot" w:pos="9016"/>
        </w:tabs>
        <w:rPr>
          <w:rFonts w:asciiTheme="minorHAnsi" w:hAnsiTheme="minorHAnsi" w:cstheme="minorBidi"/>
          <w:noProof/>
          <w:sz w:val="22"/>
        </w:rPr>
      </w:pPr>
      <w:hyperlink w:anchor="_Toc118405140" w:history="1">
        <w:r w:rsidR="009E3E19" w:rsidRPr="00BF6A1C">
          <w:rPr>
            <w:rStyle w:val="Hyperlink"/>
            <w:noProof/>
          </w:rPr>
          <w:t>How can we unlock this strategic direction?</w:t>
        </w:r>
        <w:r w:rsidR="009E3E19">
          <w:rPr>
            <w:noProof/>
            <w:webHidden/>
          </w:rPr>
          <w:tab/>
        </w:r>
        <w:r w:rsidR="009E3E19">
          <w:rPr>
            <w:noProof/>
            <w:webHidden/>
          </w:rPr>
          <w:fldChar w:fldCharType="begin"/>
        </w:r>
        <w:r w:rsidR="009E3E19">
          <w:rPr>
            <w:noProof/>
            <w:webHidden/>
          </w:rPr>
          <w:instrText xml:space="preserve"> PAGEREF _Toc118405140 \h </w:instrText>
        </w:r>
        <w:r w:rsidR="009E3E19">
          <w:rPr>
            <w:noProof/>
            <w:webHidden/>
          </w:rPr>
        </w:r>
        <w:r w:rsidR="009E3E19">
          <w:rPr>
            <w:noProof/>
            <w:webHidden/>
          </w:rPr>
          <w:fldChar w:fldCharType="separate"/>
        </w:r>
        <w:r w:rsidR="009E3E19">
          <w:rPr>
            <w:noProof/>
            <w:webHidden/>
          </w:rPr>
          <w:t>44</w:t>
        </w:r>
        <w:r w:rsidR="009E3E19">
          <w:rPr>
            <w:noProof/>
            <w:webHidden/>
          </w:rPr>
          <w:fldChar w:fldCharType="end"/>
        </w:r>
      </w:hyperlink>
    </w:p>
    <w:p w14:paraId="14E5FCD7" w14:textId="71956F4A" w:rsidR="009E3E19" w:rsidRDefault="00000000">
      <w:pPr>
        <w:pStyle w:val="TOC1"/>
        <w:tabs>
          <w:tab w:val="right" w:leader="dot" w:pos="9016"/>
        </w:tabs>
        <w:rPr>
          <w:rFonts w:asciiTheme="minorHAnsi" w:hAnsiTheme="minorHAnsi" w:cstheme="minorBidi"/>
          <w:b w:val="0"/>
          <w:noProof/>
          <w:sz w:val="22"/>
          <w:szCs w:val="22"/>
        </w:rPr>
      </w:pPr>
      <w:hyperlink w:anchor="_Toc118405141" w:history="1">
        <w:r w:rsidR="009E3E19" w:rsidRPr="00BF6A1C">
          <w:rPr>
            <w:rStyle w:val="Hyperlink"/>
            <w:noProof/>
          </w:rPr>
          <w:t>05 Implementation</w:t>
        </w:r>
        <w:r w:rsidR="009E3E19">
          <w:rPr>
            <w:noProof/>
            <w:webHidden/>
          </w:rPr>
          <w:tab/>
        </w:r>
        <w:r w:rsidR="009E3E19">
          <w:rPr>
            <w:noProof/>
            <w:webHidden/>
          </w:rPr>
          <w:fldChar w:fldCharType="begin"/>
        </w:r>
        <w:r w:rsidR="009E3E19">
          <w:rPr>
            <w:noProof/>
            <w:webHidden/>
          </w:rPr>
          <w:instrText xml:space="preserve"> PAGEREF _Toc118405141 \h </w:instrText>
        </w:r>
        <w:r w:rsidR="009E3E19">
          <w:rPr>
            <w:noProof/>
            <w:webHidden/>
          </w:rPr>
        </w:r>
        <w:r w:rsidR="009E3E19">
          <w:rPr>
            <w:noProof/>
            <w:webHidden/>
          </w:rPr>
          <w:fldChar w:fldCharType="separate"/>
        </w:r>
        <w:r w:rsidR="009E3E19">
          <w:rPr>
            <w:noProof/>
            <w:webHidden/>
          </w:rPr>
          <w:t>44</w:t>
        </w:r>
        <w:r w:rsidR="009E3E19">
          <w:rPr>
            <w:noProof/>
            <w:webHidden/>
          </w:rPr>
          <w:fldChar w:fldCharType="end"/>
        </w:r>
      </w:hyperlink>
    </w:p>
    <w:p w14:paraId="5621939A" w14:textId="1A88D311" w:rsidR="009E3E19" w:rsidRDefault="00000000">
      <w:pPr>
        <w:pStyle w:val="TOC2"/>
        <w:tabs>
          <w:tab w:val="right" w:leader="dot" w:pos="9016"/>
        </w:tabs>
        <w:rPr>
          <w:rFonts w:asciiTheme="minorHAnsi" w:hAnsiTheme="minorHAnsi" w:cstheme="minorBidi"/>
          <w:noProof/>
          <w:sz w:val="22"/>
        </w:rPr>
      </w:pPr>
      <w:hyperlink w:anchor="_Toc118405142" w:history="1">
        <w:r w:rsidR="009E3E19" w:rsidRPr="00BF6A1C">
          <w:rPr>
            <w:rStyle w:val="Hyperlink"/>
            <w:noProof/>
          </w:rPr>
          <w:t>RRV will use the REDS to coordinate investments and activities in place</w:t>
        </w:r>
        <w:r w:rsidR="009E3E19">
          <w:rPr>
            <w:noProof/>
            <w:webHidden/>
          </w:rPr>
          <w:tab/>
        </w:r>
        <w:r w:rsidR="009E3E19">
          <w:rPr>
            <w:noProof/>
            <w:webHidden/>
          </w:rPr>
          <w:fldChar w:fldCharType="begin"/>
        </w:r>
        <w:r w:rsidR="009E3E19">
          <w:rPr>
            <w:noProof/>
            <w:webHidden/>
          </w:rPr>
          <w:instrText xml:space="preserve"> PAGEREF _Toc118405142 \h </w:instrText>
        </w:r>
        <w:r w:rsidR="009E3E19">
          <w:rPr>
            <w:noProof/>
            <w:webHidden/>
          </w:rPr>
        </w:r>
        <w:r w:rsidR="009E3E19">
          <w:rPr>
            <w:noProof/>
            <w:webHidden/>
          </w:rPr>
          <w:fldChar w:fldCharType="separate"/>
        </w:r>
        <w:r w:rsidR="009E3E19">
          <w:rPr>
            <w:noProof/>
            <w:webHidden/>
          </w:rPr>
          <w:t>44</w:t>
        </w:r>
        <w:r w:rsidR="009E3E19">
          <w:rPr>
            <w:noProof/>
            <w:webHidden/>
          </w:rPr>
          <w:fldChar w:fldCharType="end"/>
        </w:r>
      </w:hyperlink>
    </w:p>
    <w:p w14:paraId="6128706E" w14:textId="56583801" w:rsidR="009E3E19" w:rsidRDefault="00000000">
      <w:pPr>
        <w:pStyle w:val="TOC2"/>
        <w:tabs>
          <w:tab w:val="right" w:leader="dot" w:pos="9016"/>
        </w:tabs>
        <w:rPr>
          <w:rFonts w:asciiTheme="minorHAnsi" w:hAnsiTheme="minorHAnsi" w:cstheme="minorBidi"/>
          <w:noProof/>
          <w:sz w:val="22"/>
        </w:rPr>
      </w:pPr>
      <w:hyperlink w:anchor="_Toc118405143" w:history="1">
        <w:r w:rsidR="009E3E19" w:rsidRPr="00BF6A1C">
          <w:rPr>
            <w:rStyle w:val="Hyperlink"/>
            <w:noProof/>
          </w:rPr>
          <w:t>Local stakeholders, industry leaders and government service providers can use the REDS to advocate for shared outcomes</w:t>
        </w:r>
        <w:r w:rsidR="009E3E19">
          <w:rPr>
            <w:noProof/>
            <w:webHidden/>
          </w:rPr>
          <w:tab/>
        </w:r>
        <w:r w:rsidR="009E3E19">
          <w:rPr>
            <w:noProof/>
            <w:webHidden/>
          </w:rPr>
          <w:fldChar w:fldCharType="begin"/>
        </w:r>
        <w:r w:rsidR="009E3E19">
          <w:rPr>
            <w:noProof/>
            <w:webHidden/>
          </w:rPr>
          <w:instrText xml:space="preserve"> PAGEREF _Toc118405143 \h </w:instrText>
        </w:r>
        <w:r w:rsidR="009E3E19">
          <w:rPr>
            <w:noProof/>
            <w:webHidden/>
          </w:rPr>
        </w:r>
        <w:r w:rsidR="009E3E19">
          <w:rPr>
            <w:noProof/>
            <w:webHidden/>
          </w:rPr>
          <w:fldChar w:fldCharType="separate"/>
        </w:r>
        <w:r w:rsidR="009E3E19">
          <w:rPr>
            <w:noProof/>
            <w:webHidden/>
          </w:rPr>
          <w:t>45</w:t>
        </w:r>
        <w:r w:rsidR="009E3E19">
          <w:rPr>
            <w:noProof/>
            <w:webHidden/>
          </w:rPr>
          <w:fldChar w:fldCharType="end"/>
        </w:r>
      </w:hyperlink>
    </w:p>
    <w:p w14:paraId="676E24F8" w14:textId="628814C4" w:rsidR="009E3E19" w:rsidRDefault="00000000">
      <w:pPr>
        <w:pStyle w:val="TOC2"/>
        <w:tabs>
          <w:tab w:val="right" w:leader="dot" w:pos="9016"/>
        </w:tabs>
        <w:rPr>
          <w:rFonts w:asciiTheme="minorHAnsi" w:hAnsiTheme="minorHAnsi" w:cstheme="minorBidi"/>
          <w:noProof/>
          <w:sz w:val="22"/>
        </w:rPr>
      </w:pPr>
      <w:hyperlink w:anchor="_Toc118405144" w:history="1">
        <w:r w:rsidR="009E3E19" w:rsidRPr="00BF6A1C">
          <w:rPr>
            <w:rStyle w:val="Hyperlink"/>
            <w:noProof/>
          </w:rPr>
          <w:t>RRV will monitor the implementation of the REDS</w:t>
        </w:r>
        <w:r w:rsidR="009E3E19">
          <w:rPr>
            <w:noProof/>
            <w:webHidden/>
          </w:rPr>
          <w:tab/>
        </w:r>
        <w:r w:rsidR="009E3E19">
          <w:rPr>
            <w:noProof/>
            <w:webHidden/>
          </w:rPr>
          <w:fldChar w:fldCharType="begin"/>
        </w:r>
        <w:r w:rsidR="009E3E19">
          <w:rPr>
            <w:noProof/>
            <w:webHidden/>
          </w:rPr>
          <w:instrText xml:space="preserve"> PAGEREF _Toc118405144 \h </w:instrText>
        </w:r>
        <w:r w:rsidR="009E3E19">
          <w:rPr>
            <w:noProof/>
            <w:webHidden/>
          </w:rPr>
        </w:r>
        <w:r w:rsidR="009E3E19">
          <w:rPr>
            <w:noProof/>
            <w:webHidden/>
          </w:rPr>
          <w:fldChar w:fldCharType="separate"/>
        </w:r>
        <w:r w:rsidR="009E3E19">
          <w:rPr>
            <w:noProof/>
            <w:webHidden/>
          </w:rPr>
          <w:t>45</w:t>
        </w:r>
        <w:r w:rsidR="009E3E19">
          <w:rPr>
            <w:noProof/>
            <w:webHidden/>
          </w:rPr>
          <w:fldChar w:fldCharType="end"/>
        </w:r>
      </w:hyperlink>
    </w:p>
    <w:p w14:paraId="078D2559" w14:textId="3DC01BBC" w:rsidR="009E3E19" w:rsidRDefault="00000000">
      <w:pPr>
        <w:pStyle w:val="TOC1"/>
        <w:tabs>
          <w:tab w:val="right" w:leader="dot" w:pos="9016"/>
        </w:tabs>
        <w:rPr>
          <w:rFonts w:asciiTheme="minorHAnsi" w:hAnsiTheme="minorHAnsi" w:cstheme="minorBidi"/>
          <w:b w:val="0"/>
          <w:noProof/>
          <w:sz w:val="22"/>
          <w:szCs w:val="22"/>
        </w:rPr>
      </w:pPr>
      <w:hyperlink w:anchor="_Toc118405145" w:history="1">
        <w:r w:rsidR="009E3E19" w:rsidRPr="00BF6A1C">
          <w:rPr>
            <w:rStyle w:val="Hyperlink"/>
            <w:noProof/>
          </w:rPr>
          <w:t>Appendix</w:t>
        </w:r>
        <w:r w:rsidR="009E3E19">
          <w:rPr>
            <w:noProof/>
            <w:webHidden/>
          </w:rPr>
          <w:tab/>
        </w:r>
        <w:r w:rsidR="009E3E19">
          <w:rPr>
            <w:noProof/>
            <w:webHidden/>
          </w:rPr>
          <w:fldChar w:fldCharType="begin"/>
        </w:r>
        <w:r w:rsidR="009E3E19">
          <w:rPr>
            <w:noProof/>
            <w:webHidden/>
          </w:rPr>
          <w:instrText xml:space="preserve"> PAGEREF _Toc118405145 \h </w:instrText>
        </w:r>
        <w:r w:rsidR="009E3E19">
          <w:rPr>
            <w:noProof/>
            <w:webHidden/>
          </w:rPr>
        </w:r>
        <w:r w:rsidR="009E3E19">
          <w:rPr>
            <w:noProof/>
            <w:webHidden/>
          </w:rPr>
          <w:fldChar w:fldCharType="separate"/>
        </w:r>
        <w:r w:rsidR="009E3E19">
          <w:rPr>
            <w:noProof/>
            <w:webHidden/>
          </w:rPr>
          <w:t>46</w:t>
        </w:r>
        <w:r w:rsidR="009E3E19">
          <w:rPr>
            <w:noProof/>
            <w:webHidden/>
          </w:rPr>
          <w:fldChar w:fldCharType="end"/>
        </w:r>
      </w:hyperlink>
    </w:p>
    <w:p w14:paraId="4CDE8659" w14:textId="2EF962DA" w:rsidR="009E3E19" w:rsidRDefault="00000000">
      <w:pPr>
        <w:pStyle w:val="TOC2"/>
        <w:tabs>
          <w:tab w:val="right" w:leader="dot" w:pos="9016"/>
        </w:tabs>
        <w:rPr>
          <w:rFonts w:asciiTheme="minorHAnsi" w:hAnsiTheme="minorHAnsi" w:cstheme="minorBidi"/>
          <w:noProof/>
          <w:sz w:val="22"/>
        </w:rPr>
      </w:pPr>
      <w:hyperlink w:anchor="_Toc118405146" w:history="1">
        <w:r w:rsidR="009E3E19" w:rsidRPr="00BF6A1C">
          <w:rPr>
            <w:rStyle w:val="Hyperlink"/>
            <w:noProof/>
          </w:rPr>
          <w:t>Figure 1: Map of Regional Partnerships – Long Alternate Text</w:t>
        </w:r>
        <w:r w:rsidR="009E3E19">
          <w:rPr>
            <w:noProof/>
            <w:webHidden/>
          </w:rPr>
          <w:tab/>
        </w:r>
        <w:r w:rsidR="009E3E19">
          <w:rPr>
            <w:noProof/>
            <w:webHidden/>
          </w:rPr>
          <w:fldChar w:fldCharType="begin"/>
        </w:r>
        <w:r w:rsidR="009E3E19">
          <w:rPr>
            <w:noProof/>
            <w:webHidden/>
          </w:rPr>
          <w:instrText xml:space="preserve"> PAGEREF _Toc118405146 \h </w:instrText>
        </w:r>
        <w:r w:rsidR="009E3E19">
          <w:rPr>
            <w:noProof/>
            <w:webHidden/>
          </w:rPr>
        </w:r>
        <w:r w:rsidR="009E3E19">
          <w:rPr>
            <w:noProof/>
            <w:webHidden/>
          </w:rPr>
          <w:fldChar w:fldCharType="separate"/>
        </w:r>
        <w:r w:rsidR="009E3E19">
          <w:rPr>
            <w:noProof/>
            <w:webHidden/>
          </w:rPr>
          <w:t>46</w:t>
        </w:r>
        <w:r w:rsidR="009E3E19">
          <w:rPr>
            <w:noProof/>
            <w:webHidden/>
          </w:rPr>
          <w:fldChar w:fldCharType="end"/>
        </w:r>
      </w:hyperlink>
    </w:p>
    <w:p w14:paraId="0FD4D4F5" w14:textId="37667469" w:rsidR="009E3E19" w:rsidRDefault="00000000">
      <w:pPr>
        <w:pStyle w:val="TOC2"/>
        <w:tabs>
          <w:tab w:val="right" w:leader="dot" w:pos="9016"/>
        </w:tabs>
        <w:rPr>
          <w:rFonts w:asciiTheme="minorHAnsi" w:hAnsiTheme="minorHAnsi" w:cstheme="minorBidi"/>
          <w:noProof/>
          <w:sz w:val="22"/>
        </w:rPr>
      </w:pPr>
      <w:hyperlink w:anchor="_Toc118405147" w:history="1">
        <w:r w:rsidR="009E3E19" w:rsidRPr="00BF6A1C">
          <w:rPr>
            <w:rStyle w:val="Hyperlink"/>
            <w:noProof/>
          </w:rPr>
          <w:t>Figure 2 Map of Gippsland – Long Alternate Text</w:t>
        </w:r>
        <w:r w:rsidR="009E3E19">
          <w:rPr>
            <w:noProof/>
            <w:webHidden/>
          </w:rPr>
          <w:tab/>
        </w:r>
        <w:r w:rsidR="009E3E19">
          <w:rPr>
            <w:noProof/>
            <w:webHidden/>
          </w:rPr>
          <w:fldChar w:fldCharType="begin"/>
        </w:r>
        <w:r w:rsidR="009E3E19">
          <w:rPr>
            <w:noProof/>
            <w:webHidden/>
          </w:rPr>
          <w:instrText xml:space="preserve"> PAGEREF _Toc118405147 \h </w:instrText>
        </w:r>
        <w:r w:rsidR="009E3E19">
          <w:rPr>
            <w:noProof/>
            <w:webHidden/>
          </w:rPr>
        </w:r>
        <w:r w:rsidR="009E3E19">
          <w:rPr>
            <w:noProof/>
            <w:webHidden/>
          </w:rPr>
          <w:fldChar w:fldCharType="separate"/>
        </w:r>
        <w:r w:rsidR="009E3E19">
          <w:rPr>
            <w:noProof/>
            <w:webHidden/>
          </w:rPr>
          <w:t>46</w:t>
        </w:r>
        <w:r w:rsidR="009E3E19">
          <w:rPr>
            <w:noProof/>
            <w:webHidden/>
          </w:rPr>
          <w:fldChar w:fldCharType="end"/>
        </w:r>
      </w:hyperlink>
    </w:p>
    <w:p w14:paraId="72FA7F8F" w14:textId="4A7AC578" w:rsidR="009E3E19" w:rsidRDefault="00000000">
      <w:pPr>
        <w:pStyle w:val="TOC2"/>
        <w:tabs>
          <w:tab w:val="right" w:leader="dot" w:pos="9016"/>
        </w:tabs>
        <w:rPr>
          <w:rFonts w:asciiTheme="minorHAnsi" w:hAnsiTheme="minorHAnsi" w:cstheme="minorBidi"/>
          <w:noProof/>
          <w:sz w:val="22"/>
        </w:rPr>
      </w:pPr>
      <w:hyperlink w:anchor="_Toc118405148" w:history="1">
        <w:r w:rsidR="009E3E19" w:rsidRPr="00BF6A1C">
          <w:rPr>
            <w:rStyle w:val="Hyperlink"/>
            <w:noProof/>
          </w:rPr>
          <w:t>Figure 3 Gippsland industry Employment – Long Alternate Text</w:t>
        </w:r>
        <w:r w:rsidR="009E3E19">
          <w:rPr>
            <w:noProof/>
            <w:webHidden/>
          </w:rPr>
          <w:tab/>
        </w:r>
        <w:r w:rsidR="009E3E19">
          <w:rPr>
            <w:noProof/>
            <w:webHidden/>
          </w:rPr>
          <w:fldChar w:fldCharType="begin"/>
        </w:r>
        <w:r w:rsidR="009E3E19">
          <w:rPr>
            <w:noProof/>
            <w:webHidden/>
          </w:rPr>
          <w:instrText xml:space="preserve"> PAGEREF _Toc118405148 \h </w:instrText>
        </w:r>
        <w:r w:rsidR="009E3E19">
          <w:rPr>
            <w:noProof/>
            <w:webHidden/>
          </w:rPr>
        </w:r>
        <w:r w:rsidR="009E3E19">
          <w:rPr>
            <w:noProof/>
            <w:webHidden/>
          </w:rPr>
          <w:fldChar w:fldCharType="separate"/>
        </w:r>
        <w:r w:rsidR="009E3E19">
          <w:rPr>
            <w:noProof/>
            <w:webHidden/>
          </w:rPr>
          <w:t>47</w:t>
        </w:r>
        <w:r w:rsidR="009E3E19">
          <w:rPr>
            <w:noProof/>
            <w:webHidden/>
          </w:rPr>
          <w:fldChar w:fldCharType="end"/>
        </w:r>
      </w:hyperlink>
    </w:p>
    <w:p w14:paraId="0EFC98DF" w14:textId="40DDD166" w:rsidR="009E3E19" w:rsidRDefault="00000000">
      <w:pPr>
        <w:pStyle w:val="TOC2"/>
        <w:tabs>
          <w:tab w:val="right" w:leader="dot" w:pos="9016"/>
        </w:tabs>
        <w:rPr>
          <w:rFonts w:asciiTheme="minorHAnsi" w:hAnsiTheme="minorHAnsi" w:cstheme="minorBidi"/>
          <w:noProof/>
          <w:sz w:val="22"/>
        </w:rPr>
      </w:pPr>
      <w:hyperlink w:anchor="_Toc118405149" w:history="1">
        <w:r w:rsidR="009E3E19" w:rsidRPr="00BF6A1C">
          <w:rPr>
            <w:rStyle w:val="Hyperlink"/>
            <w:noProof/>
          </w:rPr>
          <w:t>Figure 4 Gippsland industry output (gross value add) – Long Alternate Text</w:t>
        </w:r>
        <w:r w:rsidR="009E3E19">
          <w:rPr>
            <w:noProof/>
            <w:webHidden/>
          </w:rPr>
          <w:tab/>
        </w:r>
        <w:r w:rsidR="009E3E19">
          <w:rPr>
            <w:noProof/>
            <w:webHidden/>
          </w:rPr>
          <w:fldChar w:fldCharType="begin"/>
        </w:r>
        <w:r w:rsidR="009E3E19">
          <w:rPr>
            <w:noProof/>
            <w:webHidden/>
          </w:rPr>
          <w:instrText xml:space="preserve"> PAGEREF _Toc118405149 \h </w:instrText>
        </w:r>
        <w:r w:rsidR="009E3E19">
          <w:rPr>
            <w:noProof/>
            <w:webHidden/>
          </w:rPr>
        </w:r>
        <w:r w:rsidR="009E3E19">
          <w:rPr>
            <w:noProof/>
            <w:webHidden/>
          </w:rPr>
          <w:fldChar w:fldCharType="separate"/>
        </w:r>
        <w:r w:rsidR="009E3E19">
          <w:rPr>
            <w:noProof/>
            <w:webHidden/>
          </w:rPr>
          <w:t>49</w:t>
        </w:r>
        <w:r w:rsidR="009E3E19">
          <w:rPr>
            <w:noProof/>
            <w:webHidden/>
          </w:rPr>
          <w:fldChar w:fldCharType="end"/>
        </w:r>
      </w:hyperlink>
    </w:p>
    <w:p w14:paraId="0B8169AC" w14:textId="1B57642C" w:rsidR="009E3E19" w:rsidRDefault="00000000">
      <w:pPr>
        <w:pStyle w:val="TOC2"/>
        <w:tabs>
          <w:tab w:val="right" w:leader="dot" w:pos="9016"/>
        </w:tabs>
        <w:rPr>
          <w:rFonts w:asciiTheme="minorHAnsi" w:hAnsiTheme="minorHAnsi" w:cstheme="minorBidi"/>
          <w:noProof/>
          <w:sz w:val="22"/>
        </w:rPr>
      </w:pPr>
      <w:hyperlink w:anchor="_Toc118405150" w:history="1">
        <w:r w:rsidR="009E3E19" w:rsidRPr="00BF6A1C">
          <w:rPr>
            <w:rStyle w:val="Hyperlink"/>
            <w:noProof/>
          </w:rPr>
          <w:t>Figure 5 Gippsland industry employment location quotient and growth – Long Alternate Text</w:t>
        </w:r>
        <w:r w:rsidR="009E3E19">
          <w:rPr>
            <w:noProof/>
            <w:webHidden/>
          </w:rPr>
          <w:tab/>
        </w:r>
        <w:r w:rsidR="009E3E19">
          <w:rPr>
            <w:noProof/>
            <w:webHidden/>
          </w:rPr>
          <w:fldChar w:fldCharType="begin"/>
        </w:r>
        <w:r w:rsidR="009E3E19">
          <w:rPr>
            <w:noProof/>
            <w:webHidden/>
          </w:rPr>
          <w:instrText xml:space="preserve"> PAGEREF _Toc118405150 \h </w:instrText>
        </w:r>
        <w:r w:rsidR="009E3E19">
          <w:rPr>
            <w:noProof/>
            <w:webHidden/>
          </w:rPr>
        </w:r>
        <w:r w:rsidR="009E3E19">
          <w:rPr>
            <w:noProof/>
            <w:webHidden/>
          </w:rPr>
          <w:fldChar w:fldCharType="separate"/>
        </w:r>
        <w:r w:rsidR="009E3E19">
          <w:rPr>
            <w:noProof/>
            <w:webHidden/>
          </w:rPr>
          <w:t>51</w:t>
        </w:r>
        <w:r w:rsidR="009E3E19">
          <w:rPr>
            <w:noProof/>
            <w:webHidden/>
          </w:rPr>
          <w:fldChar w:fldCharType="end"/>
        </w:r>
      </w:hyperlink>
    </w:p>
    <w:p w14:paraId="7EBFA9F9" w14:textId="04C985C3" w:rsidR="009E3E19" w:rsidRDefault="00000000">
      <w:pPr>
        <w:pStyle w:val="TOC2"/>
        <w:tabs>
          <w:tab w:val="right" w:leader="dot" w:pos="9016"/>
        </w:tabs>
        <w:rPr>
          <w:rFonts w:asciiTheme="minorHAnsi" w:hAnsiTheme="minorHAnsi" w:cstheme="minorBidi"/>
          <w:noProof/>
          <w:sz w:val="22"/>
        </w:rPr>
      </w:pPr>
      <w:hyperlink w:anchor="_Toc118405151" w:history="1">
        <w:r w:rsidR="009E3E19" w:rsidRPr="00BF6A1C">
          <w:rPr>
            <w:rStyle w:val="Hyperlink"/>
            <w:noProof/>
          </w:rPr>
          <w:t>Figure 6 Gippsland industry output (GVA) location quotient and growth – Long Alternate Text</w:t>
        </w:r>
        <w:r w:rsidR="009E3E19">
          <w:rPr>
            <w:noProof/>
            <w:webHidden/>
          </w:rPr>
          <w:tab/>
        </w:r>
        <w:r w:rsidR="009E3E19">
          <w:rPr>
            <w:noProof/>
            <w:webHidden/>
          </w:rPr>
          <w:fldChar w:fldCharType="begin"/>
        </w:r>
        <w:r w:rsidR="009E3E19">
          <w:rPr>
            <w:noProof/>
            <w:webHidden/>
          </w:rPr>
          <w:instrText xml:space="preserve"> PAGEREF _Toc118405151 \h </w:instrText>
        </w:r>
        <w:r w:rsidR="009E3E19">
          <w:rPr>
            <w:noProof/>
            <w:webHidden/>
          </w:rPr>
        </w:r>
        <w:r w:rsidR="009E3E19">
          <w:rPr>
            <w:noProof/>
            <w:webHidden/>
          </w:rPr>
          <w:fldChar w:fldCharType="separate"/>
        </w:r>
        <w:r w:rsidR="009E3E19">
          <w:rPr>
            <w:noProof/>
            <w:webHidden/>
          </w:rPr>
          <w:t>52</w:t>
        </w:r>
        <w:r w:rsidR="009E3E19">
          <w:rPr>
            <w:noProof/>
            <w:webHidden/>
          </w:rPr>
          <w:fldChar w:fldCharType="end"/>
        </w:r>
      </w:hyperlink>
    </w:p>
    <w:p w14:paraId="19E8A208" w14:textId="40917AFE" w:rsidR="009E3E19" w:rsidRDefault="00000000">
      <w:pPr>
        <w:pStyle w:val="TOC2"/>
        <w:tabs>
          <w:tab w:val="right" w:leader="dot" w:pos="9016"/>
        </w:tabs>
        <w:rPr>
          <w:rFonts w:asciiTheme="minorHAnsi" w:hAnsiTheme="minorHAnsi" w:cstheme="minorBidi"/>
          <w:noProof/>
          <w:sz w:val="22"/>
        </w:rPr>
      </w:pPr>
      <w:hyperlink w:anchor="_Toc118405152" w:history="1">
        <w:r w:rsidR="009E3E19" w:rsidRPr="00BF6A1C">
          <w:rPr>
            <w:rStyle w:val="Hyperlink"/>
            <w:noProof/>
          </w:rPr>
          <w:t>Figure 7 GVA of mining and energy industries 2001-20 – Long Alternate Text</w:t>
        </w:r>
        <w:r w:rsidR="009E3E19">
          <w:rPr>
            <w:noProof/>
            <w:webHidden/>
          </w:rPr>
          <w:tab/>
        </w:r>
        <w:r w:rsidR="009E3E19">
          <w:rPr>
            <w:noProof/>
            <w:webHidden/>
          </w:rPr>
          <w:fldChar w:fldCharType="begin"/>
        </w:r>
        <w:r w:rsidR="009E3E19">
          <w:rPr>
            <w:noProof/>
            <w:webHidden/>
          </w:rPr>
          <w:instrText xml:space="preserve"> PAGEREF _Toc118405152 \h </w:instrText>
        </w:r>
        <w:r w:rsidR="009E3E19">
          <w:rPr>
            <w:noProof/>
            <w:webHidden/>
          </w:rPr>
        </w:r>
        <w:r w:rsidR="009E3E19">
          <w:rPr>
            <w:noProof/>
            <w:webHidden/>
          </w:rPr>
          <w:fldChar w:fldCharType="separate"/>
        </w:r>
        <w:r w:rsidR="009E3E19">
          <w:rPr>
            <w:noProof/>
            <w:webHidden/>
          </w:rPr>
          <w:t>53</w:t>
        </w:r>
        <w:r w:rsidR="009E3E19">
          <w:rPr>
            <w:noProof/>
            <w:webHidden/>
          </w:rPr>
          <w:fldChar w:fldCharType="end"/>
        </w:r>
      </w:hyperlink>
    </w:p>
    <w:p w14:paraId="0C9CC807" w14:textId="6DF11656" w:rsidR="009E3E19" w:rsidRDefault="00000000">
      <w:pPr>
        <w:pStyle w:val="TOC2"/>
        <w:tabs>
          <w:tab w:val="right" w:leader="dot" w:pos="9016"/>
        </w:tabs>
        <w:rPr>
          <w:rFonts w:asciiTheme="minorHAnsi" w:hAnsiTheme="minorHAnsi" w:cstheme="minorBidi"/>
          <w:noProof/>
          <w:sz w:val="22"/>
        </w:rPr>
      </w:pPr>
      <w:hyperlink w:anchor="_Toc118405153" w:history="1">
        <w:r w:rsidR="009E3E19" w:rsidRPr="00BF6A1C">
          <w:rPr>
            <w:rStyle w:val="Hyperlink"/>
            <w:noProof/>
          </w:rPr>
          <w:t>Figure 8 Participation rate by gender (2016) – Long Alternate Text</w:t>
        </w:r>
        <w:r w:rsidR="009E3E19">
          <w:rPr>
            <w:noProof/>
            <w:webHidden/>
          </w:rPr>
          <w:tab/>
        </w:r>
        <w:r w:rsidR="009E3E19">
          <w:rPr>
            <w:noProof/>
            <w:webHidden/>
          </w:rPr>
          <w:fldChar w:fldCharType="begin"/>
        </w:r>
        <w:r w:rsidR="009E3E19">
          <w:rPr>
            <w:noProof/>
            <w:webHidden/>
          </w:rPr>
          <w:instrText xml:space="preserve"> PAGEREF _Toc118405153 \h </w:instrText>
        </w:r>
        <w:r w:rsidR="009E3E19">
          <w:rPr>
            <w:noProof/>
            <w:webHidden/>
          </w:rPr>
        </w:r>
        <w:r w:rsidR="009E3E19">
          <w:rPr>
            <w:noProof/>
            <w:webHidden/>
          </w:rPr>
          <w:fldChar w:fldCharType="separate"/>
        </w:r>
        <w:r w:rsidR="009E3E19">
          <w:rPr>
            <w:noProof/>
            <w:webHidden/>
          </w:rPr>
          <w:t>55</w:t>
        </w:r>
        <w:r w:rsidR="009E3E19">
          <w:rPr>
            <w:noProof/>
            <w:webHidden/>
          </w:rPr>
          <w:fldChar w:fldCharType="end"/>
        </w:r>
      </w:hyperlink>
    </w:p>
    <w:p w14:paraId="0842E399" w14:textId="75B27414" w:rsidR="00481FB1" w:rsidRDefault="00481FB1" w:rsidP="00481FB1">
      <w:r>
        <w:fldChar w:fldCharType="end"/>
      </w:r>
    </w:p>
    <w:p w14:paraId="09220EEC" w14:textId="77777777" w:rsidR="00481FB1" w:rsidRDefault="00481FB1" w:rsidP="00481FB1">
      <w:pPr>
        <w:pStyle w:val="Heading1"/>
      </w:pPr>
      <w:bookmarkStart w:id="17" w:name="_Toc106188783"/>
      <w:bookmarkStart w:id="18" w:name="_Toc106189421"/>
      <w:bookmarkStart w:id="19" w:name="_Toc118405104"/>
      <w:r>
        <w:t>01 Introduction</w:t>
      </w:r>
      <w:bookmarkEnd w:id="17"/>
      <w:bookmarkEnd w:id="18"/>
      <w:bookmarkEnd w:id="19"/>
    </w:p>
    <w:p w14:paraId="7AA318E5" w14:textId="77777777" w:rsidR="00481FB1" w:rsidRDefault="00481FB1" w:rsidP="00481FB1">
      <w:r>
        <w:t xml:space="preserve">The </w:t>
      </w:r>
      <w:r w:rsidRPr="00B14796">
        <w:rPr>
          <w:i/>
          <w:iCs/>
        </w:rPr>
        <w:t>Gippsland Regional Economic Development Strategy</w:t>
      </w:r>
      <w:r>
        <w:t xml:space="preserve"> (the Gippsland REDS) lays out the medium-to long-term strategic directions for driving economic growth and development across the region. </w:t>
      </w:r>
    </w:p>
    <w:p w14:paraId="5DFF0CFD" w14:textId="77777777" w:rsidR="00481FB1" w:rsidRDefault="00481FB1" w:rsidP="00481FB1">
      <w:r>
        <w:t xml:space="preserve">The Gippsland Regional Partnership region extends from outer Melbourne to the eastern-most point of Victoria and includes the local government areas (LGAs) of </w:t>
      </w:r>
      <w:r>
        <w:lastRenderedPageBreak/>
        <w:t xml:space="preserve">Bass Coast, Baw Baw, East Gippsland, Latrobe City, South Gippsland and Wellington. The region is home to the Gunaikurnai, Bunurong, Wurundjeri and Taungurung Nations who are the recognised Traditional Owners who have lived, worked and cared for their country and its resources for thousands of years. </w:t>
      </w:r>
    </w:p>
    <w:p w14:paraId="1CA2333C" w14:textId="77777777" w:rsidR="00481FB1" w:rsidRDefault="00481FB1" w:rsidP="00481FB1">
      <w:r>
        <w:t xml:space="preserve">Latrobe City is the most populous LGA in the Gippsland region and hosts several large centres including Traralgon, Moe and Morwell. The Latrobe Valley is a resource rich area and the traditional energy powerhouse of Victoria, home to large brown coal resources and significant electricity production. Beyond Latrobe City, the Gippsland region has abundant natural resources supporting new energy generation, agriculture and forestry as well as manufacturing. A bourgeoning food and wine scene along with arts and cultural festivals underpin a thriving visitor and creative economy while health and education precincts extend innovative service provision throughout the region. </w:t>
      </w:r>
    </w:p>
    <w:p w14:paraId="159438CD" w14:textId="77777777" w:rsidR="00481FB1" w:rsidRDefault="00481FB1" w:rsidP="00481FB1">
      <w:r>
        <w:t xml:space="preserve">The western parts of the region have more concentrated population centres connected with metropolitan Melbourne. The more rural communities in the eastern part of the region support agriculture, fishing and visitor economy enterprises. East Gippsland Shire borders New South Wales (NSW), influencing economic activity in both states. </w:t>
      </w:r>
    </w:p>
    <w:p w14:paraId="7253C632" w14:textId="77777777" w:rsidR="00481FB1" w:rsidRDefault="00481FB1" w:rsidP="00481FB1">
      <w:pPr>
        <w:pStyle w:val="Heading2"/>
      </w:pPr>
      <w:bookmarkStart w:id="20" w:name="_Toc106189422"/>
      <w:bookmarkStart w:id="21" w:name="_Toc118405105"/>
      <w:r>
        <w:t>A region in transition</w:t>
      </w:r>
      <w:bookmarkEnd w:id="20"/>
      <w:bookmarkEnd w:id="21"/>
      <w:r>
        <w:t xml:space="preserve"> </w:t>
      </w:r>
    </w:p>
    <w:p w14:paraId="12E74F13" w14:textId="77777777" w:rsidR="00481FB1" w:rsidRDefault="00481FB1" w:rsidP="005A3F54">
      <w:pPr>
        <w:pStyle w:val="Normalbeforebullet"/>
      </w:pPr>
      <w:r>
        <w:t>As the historical energy powerhouse of Victoria, the Gippsland region is in a period of transition away from a reliance on coal-fired power. Some areas of the region will also be impacted by the timber industry’s transition away from native forest timber harvesting. This will see the shape and structure of the regional economy change with a renewed focus on:</w:t>
      </w:r>
    </w:p>
    <w:p w14:paraId="4ED13663" w14:textId="77777777" w:rsidR="00481FB1" w:rsidRDefault="00481FB1" w:rsidP="00481FB1">
      <w:pPr>
        <w:pStyle w:val="Bullet"/>
        <w:numPr>
          <w:ilvl w:val="0"/>
          <w:numId w:val="35"/>
        </w:numPr>
        <w:spacing w:after="160"/>
      </w:pPr>
      <w:r>
        <w:t xml:space="preserve">strengthening areas of existing specialisation, including new energy and food and fibre </w:t>
      </w:r>
    </w:p>
    <w:p w14:paraId="4B204D6E" w14:textId="77777777" w:rsidR="00481FB1" w:rsidRDefault="00481FB1" w:rsidP="005A3F54">
      <w:pPr>
        <w:pStyle w:val="Bulletlast"/>
      </w:pPr>
      <w:r>
        <w:t>expanding areas of emerging specialisation, including value add manufacturing, health and wellness services, sustainability and the circular economy, and nature-based tourism.</w:t>
      </w:r>
    </w:p>
    <w:p w14:paraId="31474A28" w14:textId="77777777" w:rsidR="00481FB1" w:rsidRDefault="00481FB1" w:rsidP="00481FB1">
      <w:pPr>
        <w:pStyle w:val="Heading2"/>
      </w:pPr>
      <w:bookmarkStart w:id="22" w:name="_Toc106189423"/>
      <w:bookmarkStart w:id="23" w:name="_Toc118405106"/>
      <w:r>
        <w:t>Strategic directions</w:t>
      </w:r>
      <w:bookmarkEnd w:id="22"/>
      <w:bookmarkEnd w:id="23"/>
      <w:r>
        <w:t xml:space="preserve"> </w:t>
      </w:r>
    </w:p>
    <w:p w14:paraId="16F4A82A" w14:textId="77777777" w:rsidR="00481FB1" w:rsidRDefault="00481FB1" w:rsidP="005A3F54">
      <w:pPr>
        <w:pStyle w:val="Normalbeforebullet"/>
      </w:pPr>
      <w:r>
        <w:t>The Gippsland REDS defines five strategic directions for economic development in the region, based on comprehensive data analysis and review of existing policies and strategies:</w:t>
      </w:r>
    </w:p>
    <w:p w14:paraId="2ADA134B" w14:textId="77777777" w:rsidR="00480365" w:rsidRPr="00480365" w:rsidRDefault="00480365" w:rsidP="00480365">
      <w:pPr>
        <w:pStyle w:val="Numbered"/>
      </w:pPr>
      <w:r w:rsidRPr="00480365">
        <w:t>Maximise the role of the food and fibre industry in the local economy</w:t>
      </w:r>
    </w:p>
    <w:p w14:paraId="68C4BD67" w14:textId="63C839B3" w:rsidR="00480365" w:rsidRPr="00480365" w:rsidRDefault="00480365" w:rsidP="00480365">
      <w:pPr>
        <w:pStyle w:val="Numbered"/>
        <w:rPr>
          <w:lang w:val="en-US"/>
        </w:rPr>
      </w:pPr>
      <w:r w:rsidRPr="00480365">
        <w:rPr>
          <w:lang w:val="en-US"/>
        </w:rPr>
        <w:t>Accelerate advanced manufacturing capabilities in the region</w:t>
      </w:r>
    </w:p>
    <w:p w14:paraId="5406F7FC" w14:textId="77777777" w:rsidR="00480365" w:rsidRPr="00480365" w:rsidRDefault="00480365" w:rsidP="00480365">
      <w:pPr>
        <w:pStyle w:val="Numbered"/>
        <w:rPr>
          <w:lang w:val="en-US"/>
        </w:rPr>
      </w:pPr>
      <w:r w:rsidRPr="00480365">
        <w:rPr>
          <w:lang w:val="en-US"/>
        </w:rPr>
        <w:t>Pursue opportunities emerging from energy industry transition, including in clean and renewable energy and earth resources</w:t>
      </w:r>
    </w:p>
    <w:p w14:paraId="6612C5F9" w14:textId="77777777" w:rsidR="00480365" w:rsidRPr="00480365" w:rsidRDefault="00480365" w:rsidP="00480365">
      <w:pPr>
        <w:pStyle w:val="Numbered"/>
        <w:rPr>
          <w:lang w:val="en-US"/>
        </w:rPr>
      </w:pPr>
      <w:r w:rsidRPr="00480365">
        <w:rPr>
          <w:lang w:val="en-US"/>
        </w:rPr>
        <w:t xml:space="preserve">Support growth and diversification in the visitor economy </w:t>
      </w:r>
    </w:p>
    <w:p w14:paraId="6B2DF399" w14:textId="77777777" w:rsidR="00480365" w:rsidRPr="00480365" w:rsidRDefault="00480365" w:rsidP="00480365">
      <w:pPr>
        <w:pStyle w:val="Numbered"/>
        <w:rPr>
          <w:lang w:val="en-US"/>
        </w:rPr>
      </w:pPr>
      <w:r w:rsidRPr="00480365">
        <w:rPr>
          <w:lang w:val="en-US"/>
        </w:rPr>
        <w:t xml:space="preserve">Enhance regional specialisation in health care and social assistance. </w:t>
      </w:r>
    </w:p>
    <w:p w14:paraId="19382527" w14:textId="77777777" w:rsidR="00480365" w:rsidRDefault="00480365" w:rsidP="005A3F54">
      <w:pPr>
        <w:pStyle w:val="Normalbeforebullet"/>
      </w:pPr>
      <w:r>
        <w:lastRenderedPageBreak/>
        <w:t xml:space="preserve">For each of the directions, the Gippsland REDS provides: </w:t>
      </w:r>
    </w:p>
    <w:p w14:paraId="254B391D" w14:textId="05F31DFE" w:rsidR="00480365" w:rsidRDefault="00480365" w:rsidP="00480365">
      <w:pPr>
        <w:pStyle w:val="Bullet"/>
      </w:pPr>
      <w:r>
        <w:t>a rationale for its inclusion as part of the strategy</w:t>
      </w:r>
    </w:p>
    <w:p w14:paraId="51423537" w14:textId="77777777" w:rsidR="00480365" w:rsidRDefault="00480365" w:rsidP="00480365">
      <w:pPr>
        <w:pStyle w:val="Bullet"/>
      </w:pPr>
      <w:r>
        <w:t>an overview of opportunities and challenges which are likely to support or hinder future growth</w:t>
      </w:r>
    </w:p>
    <w:p w14:paraId="4FA0BC54" w14:textId="77777777" w:rsidR="00480365" w:rsidRDefault="00480365" w:rsidP="00480365">
      <w:pPr>
        <w:pStyle w:val="Bullet"/>
      </w:pPr>
      <w:r>
        <w:t>a summary of work underway and the policy context to support desired outcomes</w:t>
      </w:r>
    </w:p>
    <w:p w14:paraId="2C6B1294" w14:textId="77777777" w:rsidR="00480365" w:rsidRDefault="00480365" w:rsidP="00480365">
      <w:pPr>
        <w:pStyle w:val="Bullet"/>
      </w:pPr>
      <w:r>
        <w:t xml:space="preserve">the implication of the direction for the region’s Aboriginal communities </w:t>
      </w:r>
    </w:p>
    <w:p w14:paraId="0DD96E48" w14:textId="032EC566" w:rsidR="00480365" w:rsidRDefault="00480365" w:rsidP="00480365">
      <w:pPr>
        <w:pStyle w:val="Bulletlast"/>
      </w:pPr>
      <w:r>
        <w:t>examples of how the direction could be activated.</w:t>
      </w:r>
    </w:p>
    <w:p w14:paraId="42E41F9C" w14:textId="135A64CB" w:rsidR="00481FB1" w:rsidRDefault="00481FB1" w:rsidP="00481FB1">
      <w:r>
        <w:t>The Gippsland REDS recognises that approaches to regional economic development occur in an uncertain environment. While most of the analysis focuses on internal development drivers, it also considers the impact of, and opportunities emerging due to external trends, including the COVID-19 pandemic, patterns in global trade, a changing climate and technological change.</w:t>
      </w:r>
    </w:p>
    <w:p w14:paraId="449D8108" w14:textId="77777777" w:rsidR="00481FB1" w:rsidRDefault="00481FB1" w:rsidP="00481FB1">
      <w:r>
        <w:t>The Gippsland REDS acknowledges that the Aboriginal and cross-border communities within the region face unique challenges and opportunities, which are also reflected in the strategic directions.</w:t>
      </w:r>
    </w:p>
    <w:p w14:paraId="6DD04097" w14:textId="5518ADA4" w:rsidR="00481FB1" w:rsidRDefault="00481FB1" w:rsidP="00481FB1">
      <w:pPr>
        <w:pStyle w:val="Heading2"/>
      </w:pPr>
      <w:bookmarkStart w:id="24" w:name="_Toc106189424"/>
      <w:bookmarkStart w:id="25" w:name="_Toc118405107"/>
      <w:r>
        <w:t>Regional readiness to activate strategic directions</w:t>
      </w:r>
      <w:bookmarkEnd w:id="24"/>
      <w:bookmarkEnd w:id="25"/>
      <w:r>
        <w:t xml:space="preserve"> </w:t>
      </w:r>
    </w:p>
    <w:p w14:paraId="694AC0B0" w14:textId="77777777" w:rsidR="00481FB1" w:rsidRDefault="00481FB1" w:rsidP="005A3F54">
      <w:pPr>
        <w:pStyle w:val="Normalbeforebullet"/>
      </w:pPr>
      <w:r>
        <w:t xml:space="preserve">There is evidence of adaptive capacity in the Gippsland region and local stakeholders and industries have shown resilience in the face of industry transition. Local leaders are focused on opportunities in a range of future initiatives, including: </w:t>
      </w:r>
    </w:p>
    <w:p w14:paraId="73CF0610" w14:textId="77777777" w:rsidR="00481FB1" w:rsidRDefault="00481FB1" w:rsidP="00481FB1">
      <w:pPr>
        <w:pStyle w:val="Bullet"/>
        <w:numPr>
          <w:ilvl w:val="0"/>
          <w:numId w:val="35"/>
        </w:numPr>
        <w:spacing w:after="160"/>
      </w:pPr>
      <w:r>
        <w:t xml:space="preserve">value-added horticulture, food and fibre </w:t>
      </w:r>
    </w:p>
    <w:p w14:paraId="682883C1" w14:textId="77777777" w:rsidR="00481FB1" w:rsidRDefault="00481FB1" w:rsidP="00481FB1">
      <w:pPr>
        <w:pStyle w:val="Bullet"/>
        <w:numPr>
          <w:ilvl w:val="0"/>
          <w:numId w:val="35"/>
        </w:numPr>
        <w:spacing w:after="160"/>
      </w:pPr>
      <w:r>
        <w:t>entrepreneurship among young people</w:t>
      </w:r>
    </w:p>
    <w:p w14:paraId="75536B56" w14:textId="6B48A428" w:rsidR="00481FB1" w:rsidRDefault="00481FB1" w:rsidP="00481FB1">
      <w:pPr>
        <w:pStyle w:val="Bullet"/>
        <w:numPr>
          <w:ilvl w:val="0"/>
          <w:numId w:val="35"/>
        </w:numPr>
        <w:spacing w:after="160"/>
      </w:pPr>
      <w:r>
        <w:t>international investment in defence and new energy</w:t>
      </w:r>
    </w:p>
    <w:p w14:paraId="1C49B57C" w14:textId="77777777" w:rsidR="00481FB1" w:rsidRDefault="00481FB1" w:rsidP="00481FB1">
      <w:pPr>
        <w:pStyle w:val="Bullet"/>
        <w:numPr>
          <w:ilvl w:val="0"/>
          <w:numId w:val="35"/>
        </w:numPr>
        <w:spacing w:after="160"/>
      </w:pPr>
      <w:r>
        <w:t>circular economy</w:t>
      </w:r>
    </w:p>
    <w:p w14:paraId="52C4179C" w14:textId="77777777" w:rsidR="00481FB1" w:rsidRDefault="00481FB1" w:rsidP="00480365">
      <w:pPr>
        <w:pStyle w:val="Bullet"/>
        <w:keepNext/>
        <w:numPr>
          <w:ilvl w:val="0"/>
          <w:numId w:val="35"/>
        </w:numPr>
        <w:spacing w:after="160"/>
      </w:pPr>
      <w:r>
        <w:t xml:space="preserve">eco-tourism networks </w:t>
      </w:r>
    </w:p>
    <w:p w14:paraId="47CA930A" w14:textId="77777777" w:rsidR="00481FB1" w:rsidRDefault="00481FB1" w:rsidP="00480365">
      <w:pPr>
        <w:pStyle w:val="Bulletlast"/>
      </w:pPr>
      <w:r>
        <w:t>agri-tech adoption.</w:t>
      </w:r>
    </w:p>
    <w:p w14:paraId="4177B888" w14:textId="67559291" w:rsidR="00481FB1" w:rsidRDefault="00481FB1" w:rsidP="005A3F54">
      <w:pPr>
        <w:pStyle w:val="Normalbeforebullet"/>
      </w:pPr>
      <w:r>
        <w:t>The Latrobe Valley Authority conducted a survey in 2019 to better understand the type and degree of innovation in businesses across Gippsland. A sample of 453 businesses indicated that:</w:t>
      </w:r>
    </w:p>
    <w:p w14:paraId="28EF0157" w14:textId="77777777" w:rsidR="00481FB1" w:rsidRDefault="00481FB1" w:rsidP="00481FB1">
      <w:pPr>
        <w:pStyle w:val="Bullet"/>
        <w:numPr>
          <w:ilvl w:val="0"/>
          <w:numId w:val="35"/>
        </w:numPr>
        <w:spacing w:after="160"/>
      </w:pPr>
      <w:r>
        <w:t>63 per cent had undertaken innovation in either product, process, organisation or marketing.</w:t>
      </w:r>
    </w:p>
    <w:p w14:paraId="74132877" w14:textId="1C545B8B" w:rsidR="00481FB1" w:rsidRDefault="00481FB1" w:rsidP="00481FB1">
      <w:pPr>
        <w:pStyle w:val="Bullet"/>
        <w:numPr>
          <w:ilvl w:val="0"/>
          <w:numId w:val="35"/>
        </w:numPr>
        <w:spacing w:after="160"/>
      </w:pPr>
      <w:r>
        <w:t>Most innovation occurred in businesses with 20 or more employees.</w:t>
      </w:r>
    </w:p>
    <w:p w14:paraId="1E045079" w14:textId="77777777" w:rsidR="00481FB1" w:rsidRDefault="00481FB1" w:rsidP="00857E3F">
      <w:pPr>
        <w:pStyle w:val="Bulletlast"/>
      </w:pPr>
      <w:r>
        <w:t>Cross-business innovation is low within an industry, across multiple industries and outside the Gippsland region.</w:t>
      </w:r>
    </w:p>
    <w:p w14:paraId="268FF385" w14:textId="77777777" w:rsidR="00481FB1" w:rsidRDefault="00481FB1" w:rsidP="005A3F54">
      <w:pPr>
        <w:pStyle w:val="Normalbeforebullet"/>
      </w:pPr>
      <w:r>
        <w:lastRenderedPageBreak/>
        <w:t>The Gippsland Regional Partnership and Regional Development Australia Committee elevate priority economic projects for consideration by the Victorian and Commonwealth governments. In addition, a range of local leadership networks and entities guide economic development and priority setting in Gippsland. These networks include:</w:t>
      </w:r>
    </w:p>
    <w:p w14:paraId="7B7E0CAE" w14:textId="77777777" w:rsidR="00481FB1" w:rsidRDefault="00481FB1" w:rsidP="00481FB1">
      <w:pPr>
        <w:pStyle w:val="Bullet"/>
        <w:numPr>
          <w:ilvl w:val="0"/>
          <w:numId w:val="35"/>
        </w:numPr>
        <w:spacing w:after="160"/>
      </w:pPr>
      <w:r>
        <w:rPr>
          <w:rStyle w:val="Bodysemibold"/>
        </w:rPr>
        <w:t>One Gippsland</w:t>
      </w:r>
      <w:r>
        <w:t xml:space="preserve">, which brings together local government and a selection of industry and education representatives to collaborate and advocate for a range of place-based priorities and initiatives. </w:t>
      </w:r>
    </w:p>
    <w:p w14:paraId="2DB96779" w14:textId="77777777" w:rsidR="00481FB1" w:rsidRDefault="00481FB1" w:rsidP="00481FB1">
      <w:pPr>
        <w:pStyle w:val="Bullet"/>
        <w:numPr>
          <w:ilvl w:val="0"/>
          <w:numId w:val="35"/>
        </w:numPr>
        <w:spacing w:after="160"/>
      </w:pPr>
      <w:r>
        <w:rPr>
          <w:rStyle w:val="Bodysemibold"/>
        </w:rPr>
        <w:t>Committee for Gippsland</w:t>
      </w:r>
      <w:r>
        <w:t xml:space="preserve">, a member-driven advocacy organisation that takes a whole of region approach to shape and advocate for Gippsland’s future growth and development. </w:t>
      </w:r>
    </w:p>
    <w:p w14:paraId="3CC354F7" w14:textId="77777777" w:rsidR="00481FB1" w:rsidRDefault="00481FB1" w:rsidP="00481FB1">
      <w:pPr>
        <w:pStyle w:val="Bullet"/>
        <w:numPr>
          <w:ilvl w:val="0"/>
          <w:numId w:val="35"/>
        </w:numPr>
        <w:spacing w:after="160"/>
      </w:pPr>
      <w:r>
        <w:rPr>
          <w:rStyle w:val="Bodysemibold"/>
        </w:rPr>
        <w:t>Food &amp; Fibre Gippsland</w:t>
      </w:r>
      <w:r>
        <w:t>, an industry-led organisation and membership peak body that brings industry partners and stakeholders together to lead capacity building, advocacy and innovation and knowledge sharing.</w:t>
      </w:r>
    </w:p>
    <w:p w14:paraId="2C9F5090" w14:textId="77777777" w:rsidR="00481FB1" w:rsidRDefault="00481FB1" w:rsidP="00481FB1">
      <w:pPr>
        <w:pStyle w:val="Bullet"/>
        <w:numPr>
          <w:ilvl w:val="0"/>
          <w:numId w:val="35"/>
        </w:numPr>
        <w:spacing w:after="160"/>
      </w:pPr>
      <w:r>
        <w:rPr>
          <w:rStyle w:val="Bodysemibold"/>
        </w:rPr>
        <w:t xml:space="preserve">Destination Phillip Island </w:t>
      </w:r>
      <w:r>
        <w:t xml:space="preserve">and </w:t>
      </w:r>
      <w:r>
        <w:rPr>
          <w:rStyle w:val="Bodysemibold"/>
        </w:rPr>
        <w:t>Destination Gippsland</w:t>
      </w:r>
      <w:r>
        <w:t xml:space="preserve">, the regional tourism boards and peak tourism organisations for the region focusing on strategic tourism development across Gippsland. </w:t>
      </w:r>
    </w:p>
    <w:p w14:paraId="76E26D11" w14:textId="77777777" w:rsidR="00481FB1" w:rsidRDefault="00481FB1" w:rsidP="00857E3F">
      <w:pPr>
        <w:pStyle w:val="Bulletlast"/>
      </w:pPr>
      <w:r>
        <w:rPr>
          <w:rStyle w:val="Bodysemibold"/>
        </w:rPr>
        <w:t>Latrobe Valley Authority</w:t>
      </w:r>
      <w:r>
        <w:t>, the entity established by the State Government to support the Latrobe Valley and Gippsland through social and economic transition.</w:t>
      </w:r>
    </w:p>
    <w:p w14:paraId="677F0D53" w14:textId="77777777" w:rsidR="00481FB1" w:rsidRDefault="00481FB1" w:rsidP="005A3F54">
      <w:pPr>
        <w:pStyle w:val="Normalbeforebullet"/>
      </w:pPr>
      <w:r>
        <w:t xml:space="preserve">Local education institutions and innovation precincts provide the infrastructure to unlock future economic opportunity, including business growth and employment. Federation University provides tertiary education and research and development expertise and </w:t>
      </w:r>
      <w:r>
        <w:rPr>
          <w:caps/>
        </w:rPr>
        <w:t xml:space="preserve">TAFE </w:t>
      </w:r>
      <w:r>
        <w:t xml:space="preserve">Gippsland, through its nine campuses across the region, leads the delivery of vocational education and training. Several institutions foster industry innovation and collaboration. These include: </w:t>
      </w:r>
    </w:p>
    <w:p w14:paraId="102F1594" w14:textId="77777777" w:rsidR="00481FB1" w:rsidRDefault="00481FB1" w:rsidP="00481FB1">
      <w:pPr>
        <w:pStyle w:val="Bullet"/>
        <w:numPr>
          <w:ilvl w:val="0"/>
          <w:numId w:val="35"/>
        </w:numPr>
        <w:spacing w:after="160"/>
      </w:pPr>
      <w:r>
        <w:rPr>
          <w:rStyle w:val="Bodysemibold"/>
        </w:rPr>
        <w:t>Hi-Tech Precinct Gippsland</w:t>
      </w:r>
      <w:r>
        <w:t xml:space="preserve"> and the </w:t>
      </w:r>
      <w:r>
        <w:rPr>
          <w:rStyle w:val="Bodysemibold"/>
        </w:rPr>
        <w:t>Morwell Innovation Centre</w:t>
      </w:r>
      <w:r>
        <w:t xml:space="preserve">, which host a mix of private sector commercial tenants, industry project teams focused on transitional or transformative projects and university research teams. </w:t>
      </w:r>
    </w:p>
    <w:p w14:paraId="795B7BDF" w14:textId="7D3ACF31" w:rsidR="00481FB1" w:rsidRDefault="00481FB1" w:rsidP="00481FB1">
      <w:pPr>
        <w:pStyle w:val="Bullet"/>
        <w:numPr>
          <w:ilvl w:val="0"/>
          <w:numId w:val="35"/>
        </w:numPr>
        <w:spacing w:after="160"/>
      </w:pPr>
      <w:r>
        <w:rPr>
          <w:rStyle w:val="Bodysemibold"/>
        </w:rPr>
        <w:t>Latrobe Health Innovation Zone</w:t>
      </w:r>
      <w:r>
        <w:t>, which gives voice to community aspirations in the planning and delivering of better health and wellbeing outcomes.</w:t>
      </w:r>
    </w:p>
    <w:p w14:paraId="45AC0130" w14:textId="44ECBA40" w:rsidR="00481FB1" w:rsidRDefault="00481FB1" w:rsidP="00481FB1">
      <w:pPr>
        <w:pStyle w:val="Bullet"/>
        <w:numPr>
          <w:ilvl w:val="0"/>
          <w:numId w:val="35"/>
        </w:numPr>
        <w:spacing w:after="160"/>
      </w:pPr>
      <w:r>
        <w:rPr>
          <w:rStyle w:val="Bodysemibold"/>
        </w:rPr>
        <w:t>Gippsland Community Power Hub</w:t>
      </w:r>
      <w:r>
        <w:t xml:space="preserve">, a collaborative effort between the Gippsland Climate Change Network, Energy Innovation Cooperative and the Mallacoota Sustainable Energy group to develop and deliver community energy projects to promote reduced energy costs, energy self-reliance and income generation. </w:t>
      </w:r>
    </w:p>
    <w:p w14:paraId="72B66CEB" w14:textId="48B21406" w:rsidR="00481FB1" w:rsidRDefault="00481FB1" w:rsidP="00481FB1">
      <w:pPr>
        <w:pStyle w:val="Bullet"/>
        <w:numPr>
          <w:ilvl w:val="0"/>
          <w:numId w:val="35"/>
        </w:numPr>
        <w:spacing w:after="160"/>
      </w:pPr>
      <w:r>
        <w:rPr>
          <w:rStyle w:val="Bodysemibold"/>
        </w:rPr>
        <w:t xml:space="preserve">Gippsland Drought Resilience Adoption and Innovation Hub Node </w:t>
      </w:r>
      <w:r>
        <w:t>hosted at Food and Fibre Gippsland, which gives farmers and communities the tools to address vulnerability to drought.</w:t>
      </w:r>
    </w:p>
    <w:p w14:paraId="5B7D7572" w14:textId="77777777" w:rsidR="00481FB1" w:rsidRDefault="00481FB1" w:rsidP="00857E3F">
      <w:pPr>
        <w:pStyle w:val="Bulletlast"/>
      </w:pPr>
      <w:r>
        <w:rPr>
          <w:rStyle w:val="Bodysemibold"/>
        </w:rPr>
        <w:t>Gippsland Agricultural Group</w:t>
      </w:r>
      <w:r>
        <w:t xml:space="preserve">, a volunteer, not for profit organisation that carries out research and activities to deliver benefits to farmers. </w:t>
      </w:r>
    </w:p>
    <w:p w14:paraId="2835298F" w14:textId="77777777" w:rsidR="00481FB1" w:rsidRDefault="00481FB1" w:rsidP="00481FB1">
      <w:pPr>
        <w:pStyle w:val="Heading2"/>
      </w:pPr>
      <w:bookmarkStart w:id="26" w:name="_Toc106189425"/>
      <w:bookmarkStart w:id="27" w:name="_Toc118405108"/>
      <w:r>
        <w:lastRenderedPageBreak/>
        <w:t>Local priorities and strategies</w:t>
      </w:r>
      <w:bookmarkEnd w:id="26"/>
      <w:bookmarkEnd w:id="27"/>
      <w:r>
        <w:t xml:space="preserve"> </w:t>
      </w:r>
    </w:p>
    <w:p w14:paraId="1A882AB1" w14:textId="77777777" w:rsidR="00481FB1" w:rsidRDefault="00481FB1" w:rsidP="00481FB1">
      <w:r>
        <w:rPr>
          <w:spacing w:val="-2"/>
        </w:rPr>
        <w:t xml:space="preserve">The </w:t>
      </w:r>
      <w:r>
        <w:rPr>
          <w:rStyle w:val="bodyitalics"/>
          <w:spacing w:val="-2"/>
        </w:rPr>
        <w:t xml:space="preserve">Gippsland Regional Plan 2020-25 </w:t>
      </w:r>
      <w:r>
        <w:rPr>
          <w:spacing w:val="-2"/>
        </w:rPr>
        <w:t xml:space="preserve">and the </w:t>
      </w:r>
      <w:r>
        <w:rPr>
          <w:rStyle w:val="bodyitalics"/>
          <w:spacing w:val="-2"/>
        </w:rPr>
        <w:t>2021 Aboriginal Economic Development Strategy; Building on the Legacy</w:t>
      </w:r>
      <w:r>
        <w:rPr>
          <w:spacing w:val="-2"/>
        </w:rPr>
        <w:t xml:space="preserve"> are the most contemporary bodies of work that have informed the REDS economic narrative and strategic directions for Gippsland. </w:t>
      </w:r>
    </w:p>
    <w:p w14:paraId="74DA96AC" w14:textId="77777777" w:rsidR="00481FB1" w:rsidRDefault="00481FB1" w:rsidP="00481FB1">
      <w:r>
        <w:t>The</w:t>
      </w:r>
      <w:r>
        <w:rPr>
          <w:rStyle w:val="bodyitalics"/>
        </w:rPr>
        <w:t xml:space="preserve"> Gippsland Regional Plan 2020-25</w:t>
      </w:r>
      <w:r>
        <w:t xml:space="preserve"> is a strategic plan for improving economic, social and environmental outcomes for the Gippsland region. It outlines a long-term vision to be Australia’s most liveable region by 2040 and identifies priority actions to achieve this vision, including investment in leadership, environmental assets, regional innovation, enabling infrastructure, lifelong learning and inclusive communities over the next five years. The Plan was developed by the Gippsland Regional Plan Leadership Group who continue to monitor regional priorities and will lead a refresh of the Plan in the coming years. This group brings together the Gippsland Regional Partnership, Regional Development Australia Gippsland, Committee for Gippsland and One Gippsland. </w:t>
      </w:r>
    </w:p>
    <w:p w14:paraId="00D3448A" w14:textId="77777777" w:rsidR="00481FB1" w:rsidRDefault="00481FB1" w:rsidP="00481FB1">
      <w:r>
        <w:t xml:space="preserve">The </w:t>
      </w:r>
      <w:r>
        <w:rPr>
          <w:rStyle w:val="bodyitalics"/>
        </w:rPr>
        <w:t>Aboriginal Economic Development Strategy</w:t>
      </w:r>
      <w:r>
        <w:t xml:space="preserve">, developed by the Gunaikurnai Land and Waters Aboriginal Corporation (GLaWAC), facilitates and promotes opportunities for all Aboriginal communities in Gippsland to make a significant contribution to the economic development of the region. The Strategy identifies four focus areas: getting on with business, relationships and connections, business support and business innovation and growth. </w:t>
      </w:r>
    </w:p>
    <w:p w14:paraId="43F925F1" w14:textId="6699E895" w:rsidR="00481FB1" w:rsidRDefault="00481FB1" w:rsidP="00481FB1">
      <w:r>
        <w:t xml:space="preserve">Other local strategic planning that has informed the REDS includes strategic plans and studies commissioned by the Latrobe Valley Authority and other regional stakeholders. The Gippsland REDS also considers other State, regional and sub-regional policies and strategies as set out in the supporting documentation. </w:t>
      </w:r>
    </w:p>
    <w:p w14:paraId="7199D081" w14:textId="77777777" w:rsidR="00C950A3" w:rsidRDefault="00C950A3">
      <w:pPr>
        <w:widowControl w:val="0"/>
        <w:suppressAutoHyphens w:val="0"/>
        <w:autoSpaceDE w:val="0"/>
        <w:autoSpaceDN w:val="0"/>
        <w:spacing w:after="0"/>
        <w:rPr>
          <w:b/>
          <w:bCs/>
        </w:rPr>
      </w:pPr>
      <w:r>
        <w:rPr>
          <w:b/>
          <w:bCs/>
        </w:rPr>
        <w:br w:type="page"/>
      </w:r>
    </w:p>
    <w:p w14:paraId="397C7C43" w14:textId="24692AC0" w:rsidR="00857E3F" w:rsidRDefault="00857E3F" w:rsidP="00857E3F">
      <w:pPr>
        <w:keepNext/>
        <w:rPr>
          <w:b/>
          <w:bCs/>
        </w:rPr>
      </w:pPr>
      <w:r w:rsidRPr="00857E3F">
        <w:rPr>
          <w:b/>
          <w:bCs/>
        </w:rPr>
        <w:lastRenderedPageBreak/>
        <w:t>Figure 2: Map of Gippsland</w:t>
      </w:r>
    </w:p>
    <w:p w14:paraId="6FE96FBC" w14:textId="195FBFB3" w:rsidR="002F6B6E" w:rsidRDefault="002F6B6E" w:rsidP="00481FB1">
      <w:r>
        <w:rPr>
          <w:noProof/>
        </w:rPr>
        <w:drawing>
          <wp:inline distT="0" distB="0" distL="0" distR="0" wp14:anchorId="094A084D" wp14:editId="465F8F37">
            <wp:extent cx="5731510" cy="3448050"/>
            <wp:effectExtent l="0" t="0" r="2540" b="0"/>
            <wp:docPr id="9" name="Picture 9" descr="Map showing an overview of the Gippsland Regional Partnership region and key transport infrastructure. A detailed description is provided via the link below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showing an overview of the Gippsland Regional Partnership region and key transport infrastructure. A detailed description is provided via the link below the map. "/>
                    <pic:cNvPicPr/>
                  </pic:nvPicPr>
                  <pic:blipFill>
                    <a:blip r:embed="rId13">
                      <a:extLst>
                        <a:ext uri="{28A0092B-C50C-407E-A947-70E740481C1C}">
                          <a14:useLocalDpi xmlns:a14="http://schemas.microsoft.com/office/drawing/2010/main" val="0"/>
                        </a:ext>
                      </a:extLst>
                    </a:blip>
                    <a:stretch>
                      <a:fillRect/>
                    </a:stretch>
                  </pic:blipFill>
                  <pic:spPr>
                    <a:xfrm>
                      <a:off x="0" y="0"/>
                      <a:ext cx="5731510" cy="3448050"/>
                    </a:xfrm>
                    <a:prstGeom prst="rect">
                      <a:avLst/>
                    </a:prstGeom>
                  </pic:spPr>
                </pic:pic>
              </a:graphicData>
            </a:graphic>
          </wp:inline>
        </w:drawing>
      </w:r>
    </w:p>
    <w:p w14:paraId="187B9ADF" w14:textId="7CE78F6B" w:rsidR="00F25215" w:rsidRDefault="00000000" w:rsidP="00481FB1">
      <w:hyperlink w:anchor="_Figure_2_Map" w:history="1">
        <w:r w:rsidR="00F25215" w:rsidRPr="00F25215">
          <w:rPr>
            <w:rStyle w:val="Hyperlink"/>
          </w:rPr>
          <w:t>Figure 2 Map of Gippsland – Long Alternate Text</w:t>
        </w:r>
      </w:hyperlink>
    </w:p>
    <w:p w14:paraId="3334A010" w14:textId="51B42EA3" w:rsidR="00481FB1" w:rsidRDefault="00481FB1" w:rsidP="00481FB1">
      <w:pPr>
        <w:pStyle w:val="Heading1"/>
      </w:pPr>
      <w:bookmarkStart w:id="28" w:name="_02_Regional_profile"/>
      <w:bookmarkStart w:id="29" w:name="_Toc106189426"/>
      <w:bookmarkStart w:id="30" w:name="_Toc118405109"/>
      <w:bookmarkEnd w:id="28"/>
      <w:r>
        <w:t>02</w:t>
      </w:r>
      <w:r w:rsidR="00857E3F">
        <w:t xml:space="preserve"> </w:t>
      </w:r>
      <w:r>
        <w:t>Regional profile</w:t>
      </w:r>
      <w:bookmarkEnd w:id="29"/>
      <w:bookmarkEnd w:id="30"/>
    </w:p>
    <w:tbl>
      <w:tblPr>
        <w:tblStyle w:val="TableGrid"/>
        <w:tblW w:w="0" w:type="auto"/>
        <w:tblCellMar>
          <w:top w:w="0" w:type="dxa"/>
          <w:bottom w:w="0" w:type="dxa"/>
        </w:tblCellMar>
        <w:tblLook w:val="04A0" w:firstRow="1" w:lastRow="0" w:firstColumn="1" w:lastColumn="0" w:noHBand="0" w:noVBand="1"/>
      </w:tblPr>
      <w:tblGrid>
        <w:gridCol w:w="1413"/>
        <w:gridCol w:w="5670"/>
      </w:tblGrid>
      <w:tr w:rsidR="002F3FDB" w:rsidRPr="002F3FDB" w14:paraId="26C5A2F1" w14:textId="77777777" w:rsidTr="002F3FDB">
        <w:tc>
          <w:tcPr>
            <w:tcW w:w="1413" w:type="dxa"/>
          </w:tcPr>
          <w:p w14:paraId="59290D7C" w14:textId="77777777" w:rsidR="002F3FDB" w:rsidRPr="002F3FDB" w:rsidRDefault="002F3FDB" w:rsidP="002F3FDB">
            <w:pPr>
              <w:pStyle w:val="TableCopy"/>
            </w:pPr>
            <w:r w:rsidRPr="002F3FDB">
              <w:t>$18.0</w:t>
            </w:r>
          </w:p>
        </w:tc>
        <w:tc>
          <w:tcPr>
            <w:tcW w:w="5670" w:type="dxa"/>
          </w:tcPr>
          <w:p w14:paraId="16F742AD" w14:textId="77777777" w:rsidR="002F3FDB" w:rsidRPr="002F3FDB" w:rsidRDefault="002F3FDB" w:rsidP="002F3FDB">
            <w:pPr>
              <w:pStyle w:val="TableCopy"/>
            </w:pPr>
            <w:r w:rsidRPr="002F3FDB">
              <w:t>Gross regional product (billion) (2020)</w:t>
            </w:r>
          </w:p>
        </w:tc>
      </w:tr>
      <w:tr w:rsidR="002F3FDB" w:rsidRPr="002F3FDB" w14:paraId="0A4B1E8B" w14:textId="77777777" w:rsidTr="002F3FDB">
        <w:tc>
          <w:tcPr>
            <w:tcW w:w="1413" w:type="dxa"/>
          </w:tcPr>
          <w:p w14:paraId="0708C4F5" w14:textId="77777777" w:rsidR="002F3FDB" w:rsidRPr="002F3FDB" w:rsidRDefault="002F3FDB" w:rsidP="002F3FDB">
            <w:pPr>
              <w:pStyle w:val="TableCopy"/>
            </w:pPr>
            <w:r w:rsidRPr="002F3FDB">
              <w:t>291,000</w:t>
            </w:r>
          </w:p>
        </w:tc>
        <w:tc>
          <w:tcPr>
            <w:tcW w:w="5670" w:type="dxa"/>
          </w:tcPr>
          <w:p w14:paraId="76789077" w14:textId="77777777" w:rsidR="002F3FDB" w:rsidRPr="002F3FDB" w:rsidRDefault="002F3FDB" w:rsidP="002F3FDB">
            <w:pPr>
              <w:pStyle w:val="TableCopy"/>
            </w:pPr>
            <w:r w:rsidRPr="002F3FDB">
              <w:t>Population (2020)</w:t>
            </w:r>
          </w:p>
        </w:tc>
      </w:tr>
      <w:tr w:rsidR="002F3FDB" w:rsidRPr="002F3FDB" w14:paraId="0C3A4628" w14:textId="77777777" w:rsidTr="002F3FDB">
        <w:tc>
          <w:tcPr>
            <w:tcW w:w="1413" w:type="dxa"/>
          </w:tcPr>
          <w:p w14:paraId="7EDF70F7" w14:textId="77777777" w:rsidR="002F3FDB" w:rsidRPr="002F3FDB" w:rsidRDefault="002F3FDB" w:rsidP="002F3FDB">
            <w:pPr>
              <w:pStyle w:val="TableCopy"/>
            </w:pPr>
            <w:r w:rsidRPr="002F3FDB">
              <w:t>12.0%</w:t>
            </w:r>
          </w:p>
        </w:tc>
        <w:tc>
          <w:tcPr>
            <w:tcW w:w="5670" w:type="dxa"/>
          </w:tcPr>
          <w:p w14:paraId="5CFDB5F4" w14:textId="77777777" w:rsidR="002F3FDB" w:rsidRPr="002F3FDB" w:rsidRDefault="002F3FDB" w:rsidP="002F3FDB">
            <w:pPr>
              <w:pStyle w:val="TableCopy"/>
            </w:pPr>
            <w:r w:rsidRPr="002F3FDB">
              <w:t>Population growth (2011-20)</w:t>
            </w:r>
          </w:p>
        </w:tc>
      </w:tr>
      <w:tr w:rsidR="002F3FDB" w:rsidRPr="002F3FDB" w14:paraId="35C8B530" w14:textId="77777777" w:rsidTr="002F3FDB">
        <w:tc>
          <w:tcPr>
            <w:tcW w:w="1413" w:type="dxa"/>
          </w:tcPr>
          <w:p w14:paraId="32A23151" w14:textId="77777777" w:rsidR="002F3FDB" w:rsidRPr="002F3FDB" w:rsidRDefault="002F3FDB" w:rsidP="002F3FDB">
            <w:pPr>
              <w:pStyle w:val="TableCopy"/>
            </w:pPr>
            <w:r w:rsidRPr="002F3FDB">
              <w:t>45</w:t>
            </w:r>
          </w:p>
        </w:tc>
        <w:tc>
          <w:tcPr>
            <w:tcW w:w="5670" w:type="dxa"/>
          </w:tcPr>
          <w:p w14:paraId="134AC087" w14:textId="77777777" w:rsidR="002F3FDB" w:rsidRPr="002F3FDB" w:rsidRDefault="002F3FDB" w:rsidP="002F3FDB">
            <w:pPr>
              <w:pStyle w:val="TableCopy"/>
            </w:pPr>
            <w:r w:rsidRPr="002F3FDB">
              <w:t>Median age (2020)</w:t>
            </w:r>
          </w:p>
        </w:tc>
      </w:tr>
      <w:tr w:rsidR="002F3FDB" w:rsidRPr="002F3FDB" w14:paraId="64976E64" w14:textId="77777777" w:rsidTr="002F3FDB">
        <w:tc>
          <w:tcPr>
            <w:tcW w:w="1413" w:type="dxa"/>
          </w:tcPr>
          <w:p w14:paraId="6FDBCA7A" w14:textId="77777777" w:rsidR="002F3FDB" w:rsidRPr="002F3FDB" w:rsidRDefault="002F3FDB" w:rsidP="002F3FDB">
            <w:pPr>
              <w:pStyle w:val="TableCopy"/>
            </w:pPr>
            <w:r w:rsidRPr="002F3FDB">
              <w:t>59.4%</w:t>
            </w:r>
          </w:p>
        </w:tc>
        <w:tc>
          <w:tcPr>
            <w:tcW w:w="5670" w:type="dxa"/>
          </w:tcPr>
          <w:p w14:paraId="5DF39491" w14:textId="77777777" w:rsidR="002F3FDB" w:rsidRPr="002F3FDB" w:rsidRDefault="002F3FDB" w:rsidP="002F3FDB">
            <w:pPr>
              <w:pStyle w:val="TableCopy"/>
            </w:pPr>
            <w:r w:rsidRPr="002F3FDB">
              <w:t xml:space="preserve">Working age (15-64) (2020) </w:t>
            </w:r>
          </w:p>
        </w:tc>
      </w:tr>
      <w:tr w:rsidR="002F3FDB" w:rsidRPr="002F3FDB" w14:paraId="72209162" w14:textId="77777777" w:rsidTr="002F3FDB">
        <w:tc>
          <w:tcPr>
            <w:tcW w:w="1413" w:type="dxa"/>
          </w:tcPr>
          <w:p w14:paraId="2072EBDD" w14:textId="77777777" w:rsidR="002F3FDB" w:rsidRPr="002F3FDB" w:rsidRDefault="002F3FDB" w:rsidP="002F3FDB">
            <w:pPr>
              <w:pStyle w:val="TableCopy"/>
            </w:pPr>
            <w:r w:rsidRPr="002F3FDB">
              <w:t>22.7%</w:t>
            </w:r>
          </w:p>
        </w:tc>
        <w:tc>
          <w:tcPr>
            <w:tcW w:w="5670" w:type="dxa"/>
          </w:tcPr>
          <w:p w14:paraId="73CF4896" w14:textId="77777777" w:rsidR="002F3FDB" w:rsidRPr="002F3FDB" w:rsidRDefault="002F3FDB" w:rsidP="002F3FDB">
            <w:pPr>
              <w:pStyle w:val="TableCopy"/>
            </w:pPr>
            <w:r w:rsidRPr="002F3FDB">
              <w:t>Population aged over 65 (2020)</w:t>
            </w:r>
          </w:p>
        </w:tc>
      </w:tr>
      <w:tr w:rsidR="002F3FDB" w:rsidRPr="002F3FDB" w14:paraId="06C7FA1D" w14:textId="77777777" w:rsidTr="002F3FDB">
        <w:tc>
          <w:tcPr>
            <w:tcW w:w="1413" w:type="dxa"/>
          </w:tcPr>
          <w:p w14:paraId="66765635" w14:textId="77777777" w:rsidR="002F3FDB" w:rsidRPr="002F3FDB" w:rsidRDefault="002F3FDB" w:rsidP="002F3FDB">
            <w:pPr>
              <w:pStyle w:val="TableCopy"/>
            </w:pPr>
            <w:r w:rsidRPr="002F3FDB">
              <w:t xml:space="preserve">1.5% </w:t>
            </w:r>
          </w:p>
        </w:tc>
        <w:tc>
          <w:tcPr>
            <w:tcW w:w="5670" w:type="dxa"/>
          </w:tcPr>
          <w:p w14:paraId="64D627F6" w14:textId="77777777" w:rsidR="002F3FDB" w:rsidRPr="002F3FDB" w:rsidRDefault="002F3FDB" w:rsidP="002F3FDB">
            <w:pPr>
              <w:pStyle w:val="TableCopy"/>
            </w:pPr>
            <w:r w:rsidRPr="002F3FDB">
              <w:t>Are Aboriginal and/or Torres Strait Islander (2016)</w:t>
            </w:r>
          </w:p>
        </w:tc>
      </w:tr>
      <w:tr w:rsidR="002F3FDB" w:rsidRPr="002F3FDB" w14:paraId="2A94FF52" w14:textId="77777777" w:rsidTr="002F3FDB">
        <w:tc>
          <w:tcPr>
            <w:tcW w:w="1413" w:type="dxa"/>
          </w:tcPr>
          <w:p w14:paraId="40D2D3AC" w14:textId="77777777" w:rsidR="002F3FDB" w:rsidRPr="002F3FDB" w:rsidRDefault="002F3FDB" w:rsidP="002F3FDB">
            <w:pPr>
              <w:pStyle w:val="TableCopy"/>
            </w:pPr>
            <w:r w:rsidRPr="002F3FDB">
              <w:t xml:space="preserve">5.0% </w:t>
            </w:r>
          </w:p>
        </w:tc>
        <w:tc>
          <w:tcPr>
            <w:tcW w:w="5670" w:type="dxa"/>
          </w:tcPr>
          <w:p w14:paraId="730F3C9B" w14:textId="77777777" w:rsidR="002F3FDB" w:rsidRPr="002F3FDB" w:rsidRDefault="002F3FDB" w:rsidP="002F3FDB">
            <w:pPr>
              <w:pStyle w:val="TableCopy"/>
            </w:pPr>
            <w:r w:rsidRPr="002F3FDB">
              <w:t>Speak a language other than English at home (2016)</w:t>
            </w:r>
          </w:p>
        </w:tc>
      </w:tr>
      <w:tr w:rsidR="002F3FDB" w14:paraId="4BCE0A95" w14:textId="77777777" w:rsidTr="002F3FDB">
        <w:tc>
          <w:tcPr>
            <w:tcW w:w="1413" w:type="dxa"/>
          </w:tcPr>
          <w:p w14:paraId="3113ADC1" w14:textId="77777777" w:rsidR="002F3FDB" w:rsidRPr="002F3FDB" w:rsidRDefault="002F3FDB" w:rsidP="002F3FDB">
            <w:pPr>
              <w:pStyle w:val="TableCopy"/>
            </w:pPr>
            <w:r w:rsidRPr="002F3FDB">
              <w:t xml:space="preserve">12.8% </w:t>
            </w:r>
          </w:p>
        </w:tc>
        <w:tc>
          <w:tcPr>
            <w:tcW w:w="5670" w:type="dxa"/>
          </w:tcPr>
          <w:p w14:paraId="5AFD8B18" w14:textId="77777777" w:rsidR="002F3FDB" w:rsidRDefault="002F3FDB" w:rsidP="002F3FDB">
            <w:pPr>
              <w:pStyle w:val="TableCopy"/>
            </w:pPr>
            <w:r w:rsidRPr="002F3FDB">
              <w:t>Were born overseas (2016)</w:t>
            </w:r>
          </w:p>
        </w:tc>
      </w:tr>
    </w:tbl>
    <w:p w14:paraId="2F0EB6D5" w14:textId="2ADF721A" w:rsidR="00F25215" w:rsidRDefault="00F25215" w:rsidP="00F25215">
      <w:pPr>
        <w:rPr>
          <w:spacing w:val="-2"/>
        </w:rPr>
      </w:pPr>
    </w:p>
    <w:p w14:paraId="04ED66C6" w14:textId="055BD533" w:rsidR="00481FB1" w:rsidRDefault="00481FB1" w:rsidP="00481FB1">
      <w:r>
        <w:rPr>
          <w:spacing w:val="-2"/>
        </w:rPr>
        <w:t xml:space="preserve">Gippsland is one of the largest regions in Victoria, covering 41,600 square kilometres with many population centres and townships dispersed throughout the region. East Gippsland and Wellington LGAs are the dominant areas by landmass but contain only 28.3 per cent of the region’s total population. Latrobe City has three large population centres – Moe, Morwell and Traralgon – and is considered the economic and business hub of Gippsland, home to 26 per cent of Gippsland residents. Other regional centres </w:t>
      </w:r>
      <w:r>
        <w:rPr>
          <w:spacing w:val="-2"/>
        </w:rPr>
        <w:lastRenderedPageBreak/>
        <w:t>include Bairnsdale, Sale, Warragul, Drouin, Newborough, Inverloch, Leongatha, Maffra, Lakes Entrance, Wonthaggi and Cowes.</w:t>
      </w:r>
    </w:p>
    <w:p w14:paraId="228C6F0E" w14:textId="00C25A8B" w:rsidR="00481FB1" w:rsidRDefault="00481FB1" w:rsidP="00481FB1">
      <w:r>
        <w:t xml:space="preserve">Gippsland is experiencing slightly lower population growth than the regional average for Victoria. Population growth is concentrated in the peri-urban shires of Baw Baw and Bass Coast, which are proximate to Melbourne and have higher levels of workers commuting into metropolitan Melbourne’s employment markets. </w:t>
      </w:r>
    </w:p>
    <w:p w14:paraId="45815520" w14:textId="5D382E35" w:rsidR="00481FB1" w:rsidRDefault="00481FB1" w:rsidP="00481FB1">
      <w:r>
        <w:t xml:space="preserve">Population flows suggest Baw Baw, East Gippsland, Bass Coast and South Gippsland are attractive locations for families or people in the latter part of their careers. These areas experience inflows of residents aged between 0-14, 25-44 and 45-64. These regions also have higher than average inflows of residents aged over 65, which signals the attractiveness of the region as a retirement location. Similar to patterns across rural and regional Victoria, all shires, except Baw Baw, experience sizeable outflows of younger residents aged 15-25, likely due to fewer education and employment opportunities in Gippsland as compared to metropolitan centres in both Victoria and NSW. </w:t>
      </w:r>
    </w:p>
    <w:tbl>
      <w:tblPr>
        <w:tblStyle w:val="TableGrid"/>
        <w:tblW w:w="9055" w:type="dxa"/>
        <w:tblLayout w:type="fixed"/>
        <w:tblCellMar>
          <w:top w:w="0" w:type="dxa"/>
          <w:bottom w:w="0" w:type="dxa"/>
        </w:tblCellMar>
        <w:tblLook w:val="0000" w:firstRow="0" w:lastRow="0" w:firstColumn="0" w:lastColumn="0" w:noHBand="0" w:noVBand="0"/>
      </w:tblPr>
      <w:tblGrid>
        <w:gridCol w:w="3114"/>
        <w:gridCol w:w="2397"/>
        <w:gridCol w:w="3544"/>
      </w:tblGrid>
      <w:tr w:rsidR="00D45747" w:rsidRPr="002F3FDB" w14:paraId="2CDC2868" w14:textId="77777777" w:rsidTr="00D45747">
        <w:tc>
          <w:tcPr>
            <w:tcW w:w="3114" w:type="dxa"/>
          </w:tcPr>
          <w:p w14:paraId="19EF9B21" w14:textId="77777777" w:rsidR="00D45747" w:rsidRPr="002F3FDB" w:rsidRDefault="00D45747" w:rsidP="00F5289F">
            <w:pPr>
              <w:pStyle w:val="TableHeading"/>
              <w:rPr>
                <w:lang w:val="en-US"/>
              </w:rPr>
            </w:pPr>
            <w:bookmarkStart w:id="31" w:name="_Toc106189427"/>
            <w:r w:rsidRPr="002F3FDB">
              <w:rPr>
                <w:lang w:val="en-US"/>
              </w:rPr>
              <w:t>Local Government Area</w:t>
            </w:r>
          </w:p>
        </w:tc>
        <w:tc>
          <w:tcPr>
            <w:tcW w:w="2397" w:type="dxa"/>
          </w:tcPr>
          <w:p w14:paraId="181EFD4F" w14:textId="77777777" w:rsidR="00D45747" w:rsidRPr="002F3FDB" w:rsidRDefault="00D45747" w:rsidP="00F5289F">
            <w:pPr>
              <w:pStyle w:val="TableHeading"/>
              <w:rPr>
                <w:lang w:val="en-US"/>
              </w:rPr>
            </w:pPr>
            <w:r w:rsidRPr="002F3FDB">
              <w:rPr>
                <w:lang w:val="en-US"/>
              </w:rPr>
              <w:t>Population</w:t>
            </w:r>
            <w:r>
              <w:rPr>
                <w:rStyle w:val="FootnoteReference"/>
                <w:lang w:val="en-US"/>
              </w:rPr>
              <w:footnoteReference w:id="2"/>
            </w:r>
            <w:r w:rsidRPr="002F3FDB">
              <w:rPr>
                <w:lang w:val="en-US"/>
              </w:rPr>
              <w:t xml:space="preserve"> (2020)</w:t>
            </w:r>
          </w:p>
        </w:tc>
        <w:tc>
          <w:tcPr>
            <w:tcW w:w="3544" w:type="dxa"/>
          </w:tcPr>
          <w:p w14:paraId="77E87BA4" w14:textId="77777777" w:rsidR="00D45747" w:rsidRPr="002F3FDB" w:rsidRDefault="00D45747" w:rsidP="00F5289F">
            <w:pPr>
              <w:pStyle w:val="TableHeading"/>
              <w:rPr>
                <w:lang w:val="en-US"/>
              </w:rPr>
            </w:pPr>
            <w:r w:rsidRPr="002F3FDB">
              <w:rPr>
                <w:lang w:val="en-US"/>
              </w:rPr>
              <w:t>Projected growth</w:t>
            </w:r>
            <w:r>
              <w:rPr>
                <w:rStyle w:val="FootnoteReference"/>
                <w:lang w:val="en-US"/>
              </w:rPr>
              <w:footnoteReference w:id="3"/>
            </w:r>
            <w:r w:rsidRPr="002F3FDB">
              <w:rPr>
                <w:lang w:val="en-US"/>
              </w:rPr>
              <w:t xml:space="preserve"> (2021–36)</w:t>
            </w:r>
          </w:p>
        </w:tc>
      </w:tr>
      <w:tr w:rsidR="00D45747" w:rsidRPr="002F3FDB" w14:paraId="42297A4C" w14:textId="77777777" w:rsidTr="00D45747">
        <w:tc>
          <w:tcPr>
            <w:tcW w:w="3114" w:type="dxa"/>
          </w:tcPr>
          <w:p w14:paraId="1506F1EE" w14:textId="77777777" w:rsidR="00D45747" w:rsidRPr="002F3FDB" w:rsidRDefault="00D45747" w:rsidP="00F5289F">
            <w:pPr>
              <w:pStyle w:val="TableCopy"/>
              <w:rPr>
                <w:lang w:val="en-US"/>
              </w:rPr>
            </w:pPr>
            <w:r w:rsidRPr="002F3FDB">
              <w:rPr>
                <w:lang w:val="en-US"/>
              </w:rPr>
              <w:t xml:space="preserve">Latrobe City </w:t>
            </w:r>
          </w:p>
        </w:tc>
        <w:tc>
          <w:tcPr>
            <w:tcW w:w="2397" w:type="dxa"/>
          </w:tcPr>
          <w:p w14:paraId="467BEA43" w14:textId="77777777" w:rsidR="00D45747" w:rsidRPr="002F3FDB" w:rsidRDefault="00D45747" w:rsidP="00F5289F">
            <w:pPr>
              <w:pStyle w:val="TableCopy"/>
              <w:rPr>
                <w:lang w:val="en-US"/>
              </w:rPr>
            </w:pPr>
            <w:r w:rsidRPr="002F3FDB">
              <w:rPr>
                <w:lang w:val="en-US"/>
              </w:rPr>
              <w:t>75,900</w:t>
            </w:r>
          </w:p>
        </w:tc>
        <w:tc>
          <w:tcPr>
            <w:tcW w:w="3544" w:type="dxa"/>
          </w:tcPr>
          <w:p w14:paraId="1AD6EC07" w14:textId="77777777" w:rsidR="00D45747" w:rsidRPr="002F3FDB" w:rsidRDefault="00D45747" w:rsidP="00F5289F">
            <w:pPr>
              <w:pStyle w:val="TableCopy"/>
              <w:rPr>
                <w:lang w:val="en-US"/>
              </w:rPr>
            </w:pPr>
            <w:r w:rsidRPr="002F3FDB">
              <w:rPr>
                <w:lang w:val="en-US"/>
              </w:rPr>
              <w:t>8.8%</w:t>
            </w:r>
          </w:p>
        </w:tc>
      </w:tr>
      <w:tr w:rsidR="00D45747" w:rsidRPr="002F3FDB" w14:paraId="37C5384B" w14:textId="77777777" w:rsidTr="00D45747">
        <w:tc>
          <w:tcPr>
            <w:tcW w:w="3114" w:type="dxa"/>
          </w:tcPr>
          <w:p w14:paraId="4C458076" w14:textId="77777777" w:rsidR="00D45747" w:rsidRPr="002F3FDB" w:rsidRDefault="00D45747" w:rsidP="00F5289F">
            <w:pPr>
              <w:pStyle w:val="TableCopy"/>
              <w:rPr>
                <w:lang w:val="en-US"/>
              </w:rPr>
            </w:pPr>
            <w:r w:rsidRPr="002F3FDB">
              <w:rPr>
                <w:lang w:val="en-US"/>
              </w:rPr>
              <w:t>Baw Baw</w:t>
            </w:r>
          </w:p>
        </w:tc>
        <w:tc>
          <w:tcPr>
            <w:tcW w:w="2397" w:type="dxa"/>
          </w:tcPr>
          <w:p w14:paraId="215E1A51" w14:textId="77777777" w:rsidR="00D45747" w:rsidRPr="002F3FDB" w:rsidRDefault="00D45747" w:rsidP="00F5289F">
            <w:pPr>
              <w:pStyle w:val="TableCopy"/>
              <w:rPr>
                <w:lang w:val="en-US"/>
              </w:rPr>
            </w:pPr>
            <w:r w:rsidRPr="002F3FDB">
              <w:rPr>
                <w:lang w:val="en-US"/>
              </w:rPr>
              <w:t>54,900</w:t>
            </w:r>
          </w:p>
        </w:tc>
        <w:tc>
          <w:tcPr>
            <w:tcW w:w="3544" w:type="dxa"/>
          </w:tcPr>
          <w:p w14:paraId="32245B09" w14:textId="77777777" w:rsidR="00D45747" w:rsidRPr="002F3FDB" w:rsidRDefault="00D45747" w:rsidP="00F5289F">
            <w:pPr>
              <w:pStyle w:val="TableCopy"/>
              <w:rPr>
                <w:lang w:val="en-US"/>
              </w:rPr>
            </w:pPr>
            <w:r w:rsidRPr="002F3FDB">
              <w:rPr>
                <w:lang w:val="en-US"/>
              </w:rPr>
              <w:t>35.6%</w:t>
            </w:r>
          </w:p>
        </w:tc>
      </w:tr>
      <w:tr w:rsidR="00D45747" w:rsidRPr="002F3FDB" w14:paraId="132A5639" w14:textId="77777777" w:rsidTr="00D45747">
        <w:tc>
          <w:tcPr>
            <w:tcW w:w="3114" w:type="dxa"/>
          </w:tcPr>
          <w:p w14:paraId="240D6ECA" w14:textId="77777777" w:rsidR="00D45747" w:rsidRPr="002F3FDB" w:rsidRDefault="00D45747" w:rsidP="00F5289F">
            <w:pPr>
              <w:pStyle w:val="TableCopy"/>
              <w:rPr>
                <w:lang w:val="en-US"/>
              </w:rPr>
            </w:pPr>
            <w:r w:rsidRPr="002F3FDB">
              <w:rPr>
                <w:lang w:val="en-US"/>
              </w:rPr>
              <w:t xml:space="preserve">East Gippsland </w:t>
            </w:r>
          </w:p>
        </w:tc>
        <w:tc>
          <w:tcPr>
            <w:tcW w:w="2397" w:type="dxa"/>
          </w:tcPr>
          <w:p w14:paraId="325FF12F" w14:textId="77777777" w:rsidR="00D45747" w:rsidRPr="002F3FDB" w:rsidRDefault="00D45747" w:rsidP="00F5289F">
            <w:pPr>
              <w:pStyle w:val="TableCopy"/>
              <w:rPr>
                <w:lang w:val="en-US"/>
              </w:rPr>
            </w:pPr>
            <w:r w:rsidRPr="002F3FDB">
              <w:rPr>
                <w:lang w:val="en-US"/>
              </w:rPr>
              <w:t>47,700</w:t>
            </w:r>
          </w:p>
        </w:tc>
        <w:tc>
          <w:tcPr>
            <w:tcW w:w="3544" w:type="dxa"/>
          </w:tcPr>
          <w:p w14:paraId="25B45B96" w14:textId="77777777" w:rsidR="00D45747" w:rsidRPr="002F3FDB" w:rsidRDefault="00D45747" w:rsidP="00F5289F">
            <w:pPr>
              <w:pStyle w:val="TableCopy"/>
              <w:rPr>
                <w:lang w:val="en-US"/>
              </w:rPr>
            </w:pPr>
            <w:r w:rsidRPr="002F3FDB">
              <w:rPr>
                <w:lang w:val="en-US"/>
              </w:rPr>
              <w:t>15.8%</w:t>
            </w:r>
          </w:p>
        </w:tc>
      </w:tr>
      <w:tr w:rsidR="00D45747" w:rsidRPr="002F3FDB" w14:paraId="59136084" w14:textId="77777777" w:rsidTr="00D45747">
        <w:tc>
          <w:tcPr>
            <w:tcW w:w="3114" w:type="dxa"/>
          </w:tcPr>
          <w:p w14:paraId="5A3A7C2E" w14:textId="77777777" w:rsidR="00D45747" w:rsidRPr="002F3FDB" w:rsidRDefault="00D45747" w:rsidP="00F5289F">
            <w:pPr>
              <w:pStyle w:val="TableCopy"/>
              <w:rPr>
                <w:lang w:val="en-US"/>
              </w:rPr>
            </w:pPr>
            <w:r w:rsidRPr="002F3FDB">
              <w:rPr>
                <w:lang w:val="en-US"/>
              </w:rPr>
              <w:t>Wellington</w:t>
            </w:r>
          </w:p>
        </w:tc>
        <w:tc>
          <w:tcPr>
            <w:tcW w:w="2397" w:type="dxa"/>
          </w:tcPr>
          <w:p w14:paraId="10BAE8C0" w14:textId="77777777" w:rsidR="00D45747" w:rsidRPr="002F3FDB" w:rsidRDefault="00D45747" w:rsidP="00F5289F">
            <w:pPr>
              <w:pStyle w:val="TableCopy"/>
              <w:rPr>
                <w:lang w:val="en-US"/>
              </w:rPr>
            </w:pPr>
            <w:r w:rsidRPr="002F3FDB">
              <w:rPr>
                <w:lang w:val="en-US"/>
              </w:rPr>
              <w:t>44,800</w:t>
            </w:r>
          </w:p>
        </w:tc>
        <w:tc>
          <w:tcPr>
            <w:tcW w:w="3544" w:type="dxa"/>
          </w:tcPr>
          <w:p w14:paraId="6D7FC0C6" w14:textId="77777777" w:rsidR="00D45747" w:rsidRPr="002F3FDB" w:rsidRDefault="00D45747" w:rsidP="00F5289F">
            <w:pPr>
              <w:pStyle w:val="TableCopy"/>
              <w:rPr>
                <w:lang w:val="en-US"/>
              </w:rPr>
            </w:pPr>
            <w:r w:rsidRPr="002F3FDB">
              <w:rPr>
                <w:lang w:val="en-US"/>
              </w:rPr>
              <w:t>9.4%</w:t>
            </w:r>
          </w:p>
        </w:tc>
      </w:tr>
      <w:tr w:rsidR="00D45747" w:rsidRPr="002F3FDB" w14:paraId="6B8EDE42" w14:textId="77777777" w:rsidTr="00D45747">
        <w:tc>
          <w:tcPr>
            <w:tcW w:w="3114" w:type="dxa"/>
          </w:tcPr>
          <w:p w14:paraId="576A9A11" w14:textId="77777777" w:rsidR="00D45747" w:rsidRPr="002F3FDB" w:rsidRDefault="00D45747" w:rsidP="00F5289F">
            <w:pPr>
              <w:pStyle w:val="TableCopy"/>
              <w:rPr>
                <w:lang w:val="en-US"/>
              </w:rPr>
            </w:pPr>
            <w:r w:rsidRPr="002F3FDB">
              <w:rPr>
                <w:lang w:val="en-US"/>
              </w:rPr>
              <w:t xml:space="preserve">Bass Coast </w:t>
            </w:r>
          </w:p>
        </w:tc>
        <w:tc>
          <w:tcPr>
            <w:tcW w:w="2397" w:type="dxa"/>
          </w:tcPr>
          <w:p w14:paraId="2FA57085" w14:textId="77777777" w:rsidR="00D45747" w:rsidRPr="002F3FDB" w:rsidRDefault="00D45747" w:rsidP="00F5289F">
            <w:pPr>
              <w:pStyle w:val="TableCopy"/>
              <w:rPr>
                <w:lang w:val="en-US"/>
              </w:rPr>
            </w:pPr>
            <w:r w:rsidRPr="002F3FDB">
              <w:rPr>
                <w:lang w:val="en-US"/>
              </w:rPr>
              <w:t>37,400</w:t>
            </w:r>
          </w:p>
        </w:tc>
        <w:tc>
          <w:tcPr>
            <w:tcW w:w="3544" w:type="dxa"/>
          </w:tcPr>
          <w:p w14:paraId="78DA58D5" w14:textId="77777777" w:rsidR="00D45747" w:rsidRPr="002F3FDB" w:rsidRDefault="00D45747" w:rsidP="00F5289F">
            <w:pPr>
              <w:pStyle w:val="TableCopy"/>
              <w:rPr>
                <w:lang w:val="en-US"/>
              </w:rPr>
            </w:pPr>
            <w:r w:rsidRPr="002F3FDB">
              <w:rPr>
                <w:lang w:val="en-US"/>
              </w:rPr>
              <w:t>27.8%</w:t>
            </w:r>
          </w:p>
        </w:tc>
      </w:tr>
      <w:tr w:rsidR="00D45747" w:rsidRPr="002F3FDB" w14:paraId="3A57BD09" w14:textId="77777777" w:rsidTr="00D45747">
        <w:tc>
          <w:tcPr>
            <w:tcW w:w="3114" w:type="dxa"/>
          </w:tcPr>
          <w:p w14:paraId="62F185FB" w14:textId="77777777" w:rsidR="00D45747" w:rsidRPr="002F3FDB" w:rsidRDefault="00D45747" w:rsidP="00F5289F">
            <w:pPr>
              <w:pStyle w:val="TableCopy"/>
              <w:rPr>
                <w:lang w:val="en-US"/>
              </w:rPr>
            </w:pPr>
            <w:r w:rsidRPr="002F3FDB">
              <w:rPr>
                <w:lang w:val="en-US"/>
              </w:rPr>
              <w:t xml:space="preserve">South Gippsland </w:t>
            </w:r>
          </w:p>
        </w:tc>
        <w:tc>
          <w:tcPr>
            <w:tcW w:w="2397" w:type="dxa"/>
          </w:tcPr>
          <w:p w14:paraId="66ADDFB3" w14:textId="77777777" w:rsidR="00D45747" w:rsidRPr="002F3FDB" w:rsidRDefault="00D45747" w:rsidP="00F5289F">
            <w:pPr>
              <w:pStyle w:val="TableCopy"/>
              <w:rPr>
                <w:lang w:val="en-US"/>
              </w:rPr>
            </w:pPr>
            <w:r w:rsidRPr="002F3FDB">
              <w:rPr>
                <w:lang w:val="en-US"/>
              </w:rPr>
              <w:t>30,200</w:t>
            </w:r>
          </w:p>
        </w:tc>
        <w:tc>
          <w:tcPr>
            <w:tcW w:w="3544" w:type="dxa"/>
          </w:tcPr>
          <w:p w14:paraId="376BB6FC" w14:textId="77777777" w:rsidR="00D45747" w:rsidRPr="002F3FDB" w:rsidRDefault="00D45747" w:rsidP="00F5289F">
            <w:pPr>
              <w:pStyle w:val="TableCopy"/>
              <w:rPr>
                <w:lang w:val="en-US"/>
              </w:rPr>
            </w:pPr>
            <w:r w:rsidRPr="002F3FDB">
              <w:rPr>
                <w:lang w:val="en-US"/>
              </w:rPr>
              <w:t>12.1%</w:t>
            </w:r>
          </w:p>
        </w:tc>
      </w:tr>
    </w:tbl>
    <w:p w14:paraId="5FB9E563" w14:textId="79A1EE36" w:rsidR="00D45747" w:rsidRDefault="00D45747" w:rsidP="00D45747">
      <w:pPr>
        <w:pStyle w:val="NoSpacing"/>
      </w:pPr>
    </w:p>
    <w:tbl>
      <w:tblPr>
        <w:tblStyle w:val="TableGrid"/>
        <w:tblW w:w="9067" w:type="dxa"/>
        <w:tblLayout w:type="fixed"/>
        <w:tblCellMar>
          <w:top w:w="0" w:type="dxa"/>
          <w:bottom w:w="0" w:type="dxa"/>
        </w:tblCellMar>
        <w:tblLook w:val="0000" w:firstRow="0" w:lastRow="0" w:firstColumn="0" w:lastColumn="0" w:noHBand="0" w:noVBand="0"/>
      </w:tblPr>
      <w:tblGrid>
        <w:gridCol w:w="4390"/>
        <w:gridCol w:w="1361"/>
        <w:gridCol w:w="1360"/>
        <w:gridCol w:w="1956"/>
      </w:tblGrid>
      <w:tr w:rsidR="00D45747" w:rsidRPr="00D45747" w14:paraId="7375C1F8" w14:textId="77777777" w:rsidTr="00D45747">
        <w:tc>
          <w:tcPr>
            <w:tcW w:w="4390" w:type="dxa"/>
          </w:tcPr>
          <w:p w14:paraId="6305EFB9" w14:textId="77777777" w:rsidR="00D45747" w:rsidRPr="00D45747" w:rsidRDefault="00D45747" w:rsidP="00D45747">
            <w:pPr>
              <w:pStyle w:val="TableHeading"/>
            </w:pPr>
          </w:p>
        </w:tc>
        <w:tc>
          <w:tcPr>
            <w:tcW w:w="1361" w:type="dxa"/>
          </w:tcPr>
          <w:p w14:paraId="7462C1DE" w14:textId="30659BEC" w:rsidR="00D45747" w:rsidRPr="00D45747" w:rsidRDefault="00D45747" w:rsidP="00D45747">
            <w:pPr>
              <w:pStyle w:val="TableHeading"/>
              <w:rPr>
                <w:lang w:val="en-US"/>
              </w:rPr>
            </w:pPr>
            <w:r w:rsidRPr="00D45747">
              <w:rPr>
                <w:bCs/>
                <w:lang w:val="en-US"/>
              </w:rPr>
              <w:t>Gippsland</w:t>
            </w:r>
            <w:r>
              <w:rPr>
                <w:bCs/>
                <w:lang w:val="en-US"/>
              </w:rPr>
              <w:t xml:space="preserve"> </w:t>
            </w:r>
            <w:r w:rsidRPr="00D45747">
              <w:rPr>
                <w:lang w:val="en-US"/>
              </w:rPr>
              <w:t>%</w:t>
            </w:r>
          </w:p>
        </w:tc>
        <w:tc>
          <w:tcPr>
            <w:tcW w:w="1360" w:type="dxa"/>
          </w:tcPr>
          <w:p w14:paraId="21ECBC03" w14:textId="7411E379" w:rsidR="00D45747" w:rsidRPr="00D45747" w:rsidRDefault="00D45747" w:rsidP="00D45747">
            <w:pPr>
              <w:pStyle w:val="TableHeading"/>
              <w:rPr>
                <w:lang w:val="en-US"/>
              </w:rPr>
            </w:pPr>
            <w:r w:rsidRPr="00D45747">
              <w:rPr>
                <w:bCs/>
                <w:lang w:val="en-US"/>
              </w:rPr>
              <w:t>Regional average</w:t>
            </w:r>
            <w:r>
              <w:rPr>
                <w:bCs/>
                <w:lang w:val="en-US"/>
              </w:rPr>
              <w:t xml:space="preserve"> </w:t>
            </w:r>
            <w:r w:rsidRPr="00D45747">
              <w:rPr>
                <w:lang w:val="en-US"/>
              </w:rPr>
              <w:t>%</w:t>
            </w:r>
          </w:p>
        </w:tc>
        <w:tc>
          <w:tcPr>
            <w:tcW w:w="1956" w:type="dxa"/>
          </w:tcPr>
          <w:p w14:paraId="1554DB82" w14:textId="7D0C6E06" w:rsidR="00D45747" w:rsidRPr="00D45747" w:rsidRDefault="00D45747" w:rsidP="00D45747">
            <w:pPr>
              <w:pStyle w:val="TableHeading"/>
              <w:rPr>
                <w:lang w:val="en-US"/>
              </w:rPr>
            </w:pPr>
            <w:r w:rsidRPr="00D45747">
              <w:rPr>
                <w:bCs/>
                <w:lang w:val="en-US"/>
              </w:rPr>
              <w:t>Metropolitan Melbourne</w:t>
            </w:r>
            <w:r>
              <w:rPr>
                <w:bCs/>
                <w:lang w:val="en-US"/>
              </w:rPr>
              <w:t xml:space="preserve"> </w:t>
            </w:r>
            <w:r w:rsidRPr="00D45747">
              <w:rPr>
                <w:lang w:val="en-US"/>
              </w:rPr>
              <w:t>%</w:t>
            </w:r>
          </w:p>
        </w:tc>
      </w:tr>
      <w:tr w:rsidR="00D45747" w:rsidRPr="00D45747" w14:paraId="7F15FA83" w14:textId="77777777" w:rsidTr="00D45747">
        <w:tc>
          <w:tcPr>
            <w:tcW w:w="4390" w:type="dxa"/>
          </w:tcPr>
          <w:p w14:paraId="079F4CB2" w14:textId="5C2AD767" w:rsidR="00D45747" w:rsidRPr="00D45747" w:rsidRDefault="00D45747" w:rsidP="00D45747">
            <w:pPr>
              <w:pStyle w:val="TableCopy"/>
              <w:rPr>
                <w:lang w:val="en-US"/>
              </w:rPr>
            </w:pPr>
            <w:r w:rsidRPr="00D45747">
              <w:rPr>
                <w:lang w:val="en-US"/>
              </w:rPr>
              <w:t>Unemployment rate</w:t>
            </w:r>
            <w:r w:rsidR="000F1779">
              <w:rPr>
                <w:rStyle w:val="FootnoteReference"/>
                <w:lang w:val="en-US"/>
              </w:rPr>
              <w:footnoteReference w:id="4"/>
            </w:r>
            <w:r w:rsidRPr="00D45747">
              <w:rPr>
                <w:lang w:val="en-US"/>
              </w:rPr>
              <w:t xml:space="preserve"> (September 2021)</w:t>
            </w:r>
          </w:p>
        </w:tc>
        <w:tc>
          <w:tcPr>
            <w:tcW w:w="1361" w:type="dxa"/>
          </w:tcPr>
          <w:p w14:paraId="054DF70C" w14:textId="77777777" w:rsidR="00D45747" w:rsidRPr="00D45747" w:rsidRDefault="00D45747" w:rsidP="00D45747">
            <w:pPr>
              <w:pStyle w:val="TableCopy"/>
              <w:rPr>
                <w:lang w:val="en-US"/>
              </w:rPr>
            </w:pPr>
            <w:r w:rsidRPr="00D45747">
              <w:rPr>
                <w:lang w:val="en-US"/>
              </w:rPr>
              <w:t>6.1</w:t>
            </w:r>
          </w:p>
        </w:tc>
        <w:tc>
          <w:tcPr>
            <w:tcW w:w="1360" w:type="dxa"/>
          </w:tcPr>
          <w:p w14:paraId="1B0B4B8C" w14:textId="77777777" w:rsidR="00D45747" w:rsidRPr="00D45747" w:rsidRDefault="00D45747" w:rsidP="00D45747">
            <w:pPr>
              <w:pStyle w:val="TableCopy"/>
              <w:rPr>
                <w:lang w:val="en-US"/>
              </w:rPr>
            </w:pPr>
            <w:r w:rsidRPr="00D45747">
              <w:rPr>
                <w:lang w:val="en-US"/>
              </w:rPr>
              <w:t>4.2</w:t>
            </w:r>
          </w:p>
        </w:tc>
        <w:tc>
          <w:tcPr>
            <w:tcW w:w="1956" w:type="dxa"/>
          </w:tcPr>
          <w:p w14:paraId="1B5DF894" w14:textId="77777777" w:rsidR="00D45747" w:rsidRPr="00D45747" w:rsidRDefault="00D45747" w:rsidP="00D45747">
            <w:pPr>
              <w:pStyle w:val="TableCopy"/>
              <w:rPr>
                <w:lang w:val="en-US"/>
              </w:rPr>
            </w:pPr>
            <w:r w:rsidRPr="00D45747">
              <w:rPr>
                <w:lang w:val="en-US"/>
              </w:rPr>
              <w:t>6.0</w:t>
            </w:r>
          </w:p>
        </w:tc>
      </w:tr>
      <w:tr w:rsidR="00D45747" w:rsidRPr="00D45747" w14:paraId="1FF7FD05" w14:textId="77777777" w:rsidTr="00D45747">
        <w:tc>
          <w:tcPr>
            <w:tcW w:w="4390" w:type="dxa"/>
          </w:tcPr>
          <w:p w14:paraId="09386F00" w14:textId="77FBB438" w:rsidR="00D45747" w:rsidRPr="00D45747" w:rsidRDefault="00D45747" w:rsidP="00D45747">
            <w:pPr>
              <w:pStyle w:val="TableCopy"/>
              <w:rPr>
                <w:lang w:val="en-US"/>
              </w:rPr>
            </w:pPr>
            <w:r w:rsidRPr="00D45747">
              <w:rPr>
                <w:lang w:val="en-US"/>
              </w:rPr>
              <w:t>Labour force participation rate</w:t>
            </w:r>
            <w:r w:rsidR="000F1779">
              <w:rPr>
                <w:rStyle w:val="FootnoteReference"/>
                <w:lang w:val="en-US"/>
              </w:rPr>
              <w:footnoteReference w:id="5"/>
            </w:r>
            <w:r w:rsidRPr="00D45747">
              <w:rPr>
                <w:lang w:val="en-US"/>
              </w:rPr>
              <w:t xml:space="preserve"> (2016)</w:t>
            </w:r>
          </w:p>
        </w:tc>
        <w:tc>
          <w:tcPr>
            <w:tcW w:w="1361" w:type="dxa"/>
          </w:tcPr>
          <w:p w14:paraId="55070CC5" w14:textId="77777777" w:rsidR="00D45747" w:rsidRPr="00D45747" w:rsidRDefault="00D45747" w:rsidP="00D45747">
            <w:pPr>
              <w:pStyle w:val="TableCopy"/>
              <w:rPr>
                <w:lang w:val="en-US"/>
              </w:rPr>
            </w:pPr>
            <w:r w:rsidRPr="00D45747">
              <w:rPr>
                <w:lang w:val="en-US"/>
              </w:rPr>
              <w:t>57.7</w:t>
            </w:r>
          </w:p>
        </w:tc>
        <w:tc>
          <w:tcPr>
            <w:tcW w:w="1360" w:type="dxa"/>
          </w:tcPr>
          <w:p w14:paraId="0A81BD22" w14:textId="77777777" w:rsidR="00D45747" w:rsidRPr="00D45747" w:rsidRDefault="00D45747" w:rsidP="00D45747">
            <w:pPr>
              <w:pStyle w:val="TableCopy"/>
              <w:rPr>
                <w:lang w:val="en-US"/>
              </w:rPr>
            </w:pPr>
            <w:r w:rsidRPr="00D45747">
              <w:rPr>
                <w:lang w:val="en-US"/>
              </w:rPr>
              <w:t>60.9</w:t>
            </w:r>
          </w:p>
        </w:tc>
        <w:tc>
          <w:tcPr>
            <w:tcW w:w="1956" w:type="dxa"/>
          </w:tcPr>
          <w:p w14:paraId="2E41737B" w14:textId="77777777" w:rsidR="00D45747" w:rsidRPr="00D45747" w:rsidRDefault="00D45747" w:rsidP="00D45747">
            <w:pPr>
              <w:pStyle w:val="TableCopy"/>
              <w:rPr>
                <w:lang w:val="en-US"/>
              </w:rPr>
            </w:pPr>
            <w:r w:rsidRPr="00D45747">
              <w:rPr>
                <w:lang w:val="en-US"/>
              </w:rPr>
              <w:t>65.8</w:t>
            </w:r>
          </w:p>
        </w:tc>
      </w:tr>
      <w:tr w:rsidR="00D45747" w:rsidRPr="00D45747" w14:paraId="59D22E2B" w14:textId="77777777" w:rsidTr="00D45747">
        <w:tc>
          <w:tcPr>
            <w:tcW w:w="4390" w:type="dxa"/>
          </w:tcPr>
          <w:p w14:paraId="07B2594C" w14:textId="1DEDFA71" w:rsidR="00D45747" w:rsidRPr="00D45747" w:rsidRDefault="00D45747" w:rsidP="00D45747">
            <w:pPr>
              <w:pStyle w:val="TableCopy"/>
              <w:rPr>
                <w:lang w:val="en-US"/>
              </w:rPr>
            </w:pPr>
            <w:r w:rsidRPr="00D45747">
              <w:rPr>
                <w:lang w:val="en-US"/>
              </w:rPr>
              <w:t>Average annual employment growth</w:t>
            </w:r>
            <w:r w:rsidR="000F1779">
              <w:rPr>
                <w:rStyle w:val="FootnoteReference"/>
                <w:lang w:val="en-US"/>
              </w:rPr>
              <w:footnoteReference w:id="6"/>
            </w:r>
            <w:r w:rsidRPr="00D45747">
              <w:rPr>
                <w:lang w:val="en-US"/>
              </w:rPr>
              <w:t xml:space="preserve"> (2011–20)</w:t>
            </w:r>
          </w:p>
        </w:tc>
        <w:tc>
          <w:tcPr>
            <w:tcW w:w="1361" w:type="dxa"/>
          </w:tcPr>
          <w:p w14:paraId="60188017" w14:textId="77777777" w:rsidR="00D45747" w:rsidRPr="00D45747" w:rsidRDefault="00D45747" w:rsidP="00D45747">
            <w:pPr>
              <w:pStyle w:val="TableCopy"/>
              <w:rPr>
                <w:lang w:val="en-US"/>
              </w:rPr>
            </w:pPr>
            <w:r w:rsidRPr="00D45747">
              <w:rPr>
                <w:lang w:val="en-US"/>
              </w:rPr>
              <w:t>0.8</w:t>
            </w:r>
          </w:p>
        </w:tc>
        <w:tc>
          <w:tcPr>
            <w:tcW w:w="1360" w:type="dxa"/>
          </w:tcPr>
          <w:p w14:paraId="26F6D723" w14:textId="77777777" w:rsidR="00D45747" w:rsidRPr="00D45747" w:rsidRDefault="00D45747" w:rsidP="00D45747">
            <w:pPr>
              <w:pStyle w:val="TableCopy"/>
              <w:rPr>
                <w:lang w:val="en-US"/>
              </w:rPr>
            </w:pPr>
            <w:r w:rsidRPr="00D45747">
              <w:rPr>
                <w:lang w:val="en-US"/>
              </w:rPr>
              <w:t>1.0</w:t>
            </w:r>
          </w:p>
        </w:tc>
        <w:tc>
          <w:tcPr>
            <w:tcW w:w="1956" w:type="dxa"/>
          </w:tcPr>
          <w:p w14:paraId="66A818F4" w14:textId="77777777" w:rsidR="00D45747" w:rsidRPr="00D45747" w:rsidRDefault="00D45747" w:rsidP="00D45747">
            <w:pPr>
              <w:pStyle w:val="TableCopy"/>
              <w:rPr>
                <w:lang w:val="en-US"/>
              </w:rPr>
            </w:pPr>
            <w:r w:rsidRPr="00D45747">
              <w:rPr>
                <w:lang w:val="en-US"/>
              </w:rPr>
              <w:t>2.1</w:t>
            </w:r>
          </w:p>
        </w:tc>
      </w:tr>
    </w:tbl>
    <w:p w14:paraId="543C995C" w14:textId="4DAD8948" w:rsidR="00D45747" w:rsidRDefault="00D45747" w:rsidP="000F1779">
      <w:pPr>
        <w:pStyle w:val="NoSpacing"/>
      </w:pPr>
    </w:p>
    <w:p w14:paraId="5FD71819" w14:textId="55B181A1" w:rsidR="000F1779" w:rsidRPr="000F1779" w:rsidRDefault="000F1779" w:rsidP="000F1779">
      <w:pPr>
        <w:rPr>
          <w:lang w:val="en-US"/>
        </w:rPr>
      </w:pPr>
      <w:r w:rsidRPr="000F1779">
        <w:rPr>
          <w:lang w:val="en-US"/>
        </w:rPr>
        <w:t xml:space="preserve">The </w:t>
      </w:r>
      <w:r w:rsidRPr="000F1779">
        <w:t>labour</w:t>
      </w:r>
      <w:r w:rsidRPr="000F1779">
        <w:rPr>
          <w:lang w:val="en-US"/>
        </w:rPr>
        <w:t xml:space="preserve"> force participation rate in Gippsland (57.7 per cent) is significantly lower than the average for regional Victoria. The female participation rate (53.5 per cent) is </w:t>
      </w:r>
      <w:r w:rsidRPr="000F1779">
        <w:rPr>
          <w:lang w:val="en-US"/>
        </w:rPr>
        <w:lastRenderedPageBreak/>
        <w:t>significantly lower than for men (62.1 per cent). The largest employing sectors for women are health care and social assistance, education and training, and financial and insurance services.</w:t>
      </w:r>
    </w:p>
    <w:p w14:paraId="59C4647A" w14:textId="77777777" w:rsidR="000F1779" w:rsidRPr="000F1779" w:rsidRDefault="000F1779" w:rsidP="000F1779">
      <w:pPr>
        <w:keepNext/>
        <w:rPr>
          <w:b/>
          <w:bCs/>
          <w:lang w:val="en-US"/>
        </w:rPr>
      </w:pPr>
      <w:r w:rsidRPr="000F1779">
        <w:rPr>
          <w:b/>
          <w:bCs/>
          <w:lang w:val="en-US"/>
        </w:rPr>
        <w:t>Table 1: Employment in largest employing industries by workers (2020) and gender (2016)</w:t>
      </w:r>
    </w:p>
    <w:tbl>
      <w:tblPr>
        <w:tblStyle w:val="TableGrid"/>
        <w:tblW w:w="9067" w:type="dxa"/>
        <w:tblLayout w:type="fixed"/>
        <w:tblCellMar>
          <w:top w:w="0" w:type="dxa"/>
          <w:bottom w:w="0" w:type="dxa"/>
        </w:tblCellMar>
        <w:tblLook w:val="0000" w:firstRow="0" w:lastRow="0" w:firstColumn="0" w:lastColumn="0" w:noHBand="0" w:noVBand="0"/>
      </w:tblPr>
      <w:tblGrid>
        <w:gridCol w:w="3964"/>
        <w:gridCol w:w="1701"/>
        <w:gridCol w:w="1701"/>
        <w:gridCol w:w="1701"/>
      </w:tblGrid>
      <w:tr w:rsidR="000F1779" w:rsidRPr="000F1779" w14:paraId="138B1215" w14:textId="77777777" w:rsidTr="005D2CDB">
        <w:tc>
          <w:tcPr>
            <w:tcW w:w="3964" w:type="dxa"/>
          </w:tcPr>
          <w:p w14:paraId="5E4F7DA7" w14:textId="77777777" w:rsidR="000F1779" w:rsidRPr="000F1779" w:rsidRDefault="000F1779" w:rsidP="005D2CDB">
            <w:pPr>
              <w:pStyle w:val="TableHeading"/>
            </w:pPr>
          </w:p>
        </w:tc>
        <w:tc>
          <w:tcPr>
            <w:tcW w:w="1701" w:type="dxa"/>
          </w:tcPr>
          <w:p w14:paraId="158CF522" w14:textId="77777777" w:rsidR="000F1779" w:rsidRPr="000F1779" w:rsidRDefault="000F1779" w:rsidP="005D2CDB">
            <w:pPr>
              <w:pStyle w:val="TableHeading"/>
              <w:rPr>
                <w:bCs/>
                <w:lang w:val="en-US"/>
              </w:rPr>
            </w:pPr>
            <w:r w:rsidRPr="000F1779">
              <w:rPr>
                <w:bCs/>
                <w:lang w:val="en-US"/>
              </w:rPr>
              <w:t>Workers</w:t>
            </w:r>
          </w:p>
        </w:tc>
        <w:tc>
          <w:tcPr>
            <w:tcW w:w="1701" w:type="dxa"/>
          </w:tcPr>
          <w:p w14:paraId="60326612" w14:textId="77777777" w:rsidR="000F1779" w:rsidRPr="000F1779" w:rsidRDefault="000F1779" w:rsidP="005D2CDB">
            <w:pPr>
              <w:pStyle w:val="TableHeading"/>
              <w:rPr>
                <w:bCs/>
                <w:lang w:val="en-US"/>
              </w:rPr>
            </w:pPr>
            <w:r w:rsidRPr="000F1779">
              <w:rPr>
                <w:bCs/>
                <w:lang w:val="en-US"/>
              </w:rPr>
              <w:t>Male</w:t>
            </w:r>
          </w:p>
        </w:tc>
        <w:tc>
          <w:tcPr>
            <w:tcW w:w="1701" w:type="dxa"/>
          </w:tcPr>
          <w:p w14:paraId="14FEF1B3" w14:textId="77777777" w:rsidR="000F1779" w:rsidRPr="000F1779" w:rsidRDefault="000F1779" w:rsidP="005D2CDB">
            <w:pPr>
              <w:pStyle w:val="TableHeading"/>
              <w:rPr>
                <w:bCs/>
                <w:lang w:val="en-US"/>
              </w:rPr>
            </w:pPr>
            <w:r w:rsidRPr="000F1779">
              <w:rPr>
                <w:bCs/>
                <w:lang w:val="en-US"/>
              </w:rPr>
              <w:t>Female</w:t>
            </w:r>
          </w:p>
        </w:tc>
      </w:tr>
      <w:tr w:rsidR="000F1779" w:rsidRPr="000F1779" w14:paraId="3A86C835" w14:textId="77777777" w:rsidTr="005D2CDB">
        <w:tc>
          <w:tcPr>
            <w:tcW w:w="3964" w:type="dxa"/>
          </w:tcPr>
          <w:p w14:paraId="59416FFE" w14:textId="77777777" w:rsidR="000F1779" w:rsidRPr="000F1779" w:rsidRDefault="000F1779" w:rsidP="005D2CDB">
            <w:pPr>
              <w:pStyle w:val="TableCopy"/>
              <w:rPr>
                <w:lang w:val="en-US"/>
              </w:rPr>
            </w:pPr>
            <w:r w:rsidRPr="000F1779">
              <w:rPr>
                <w:lang w:val="en-US"/>
              </w:rPr>
              <w:t>Health care and social assistance</w:t>
            </w:r>
          </w:p>
        </w:tc>
        <w:tc>
          <w:tcPr>
            <w:tcW w:w="1701" w:type="dxa"/>
          </w:tcPr>
          <w:p w14:paraId="3E723E3D" w14:textId="77777777" w:rsidR="000F1779" w:rsidRPr="000F1779" w:rsidRDefault="000F1779" w:rsidP="005D2CDB">
            <w:pPr>
              <w:pStyle w:val="TableCopy"/>
              <w:rPr>
                <w:lang w:val="en-US"/>
              </w:rPr>
            </w:pPr>
            <w:r w:rsidRPr="000F1779">
              <w:rPr>
                <w:lang w:val="en-US"/>
              </w:rPr>
              <w:t>17,100</w:t>
            </w:r>
          </w:p>
        </w:tc>
        <w:tc>
          <w:tcPr>
            <w:tcW w:w="1701" w:type="dxa"/>
          </w:tcPr>
          <w:p w14:paraId="3FCA7144" w14:textId="77777777" w:rsidR="000F1779" w:rsidRPr="000F1779" w:rsidRDefault="000F1779" w:rsidP="005D2CDB">
            <w:pPr>
              <w:pStyle w:val="TableCopy"/>
              <w:rPr>
                <w:lang w:val="en-US"/>
              </w:rPr>
            </w:pPr>
            <w:r w:rsidRPr="000F1779">
              <w:rPr>
                <w:lang w:val="en-US"/>
              </w:rPr>
              <w:t>16.5%</w:t>
            </w:r>
          </w:p>
        </w:tc>
        <w:tc>
          <w:tcPr>
            <w:tcW w:w="1701" w:type="dxa"/>
          </w:tcPr>
          <w:p w14:paraId="54682601" w14:textId="77777777" w:rsidR="000F1779" w:rsidRPr="000F1779" w:rsidRDefault="000F1779" w:rsidP="005D2CDB">
            <w:pPr>
              <w:pStyle w:val="TableCopy"/>
              <w:rPr>
                <w:lang w:val="en-US"/>
              </w:rPr>
            </w:pPr>
            <w:r w:rsidRPr="000F1779">
              <w:rPr>
                <w:lang w:val="en-US"/>
              </w:rPr>
              <w:t>83.5%</w:t>
            </w:r>
          </w:p>
        </w:tc>
      </w:tr>
      <w:tr w:rsidR="000F1779" w:rsidRPr="000F1779" w14:paraId="46FA22A1" w14:textId="77777777" w:rsidTr="005D2CDB">
        <w:tc>
          <w:tcPr>
            <w:tcW w:w="3964" w:type="dxa"/>
          </w:tcPr>
          <w:p w14:paraId="5FBB7CE8" w14:textId="77777777" w:rsidR="000F1779" w:rsidRPr="000F1779" w:rsidRDefault="000F1779" w:rsidP="005D2CDB">
            <w:pPr>
              <w:pStyle w:val="TableCopy"/>
              <w:rPr>
                <w:lang w:val="en-US"/>
              </w:rPr>
            </w:pPr>
            <w:r w:rsidRPr="000F1779">
              <w:rPr>
                <w:lang w:val="en-US"/>
              </w:rPr>
              <w:t>Retail trade</w:t>
            </w:r>
          </w:p>
        </w:tc>
        <w:tc>
          <w:tcPr>
            <w:tcW w:w="1701" w:type="dxa"/>
          </w:tcPr>
          <w:p w14:paraId="36B3C073" w14:textId="77777777" w:rsidR="000F1779" w:rsidRPr="000F1779" w:rsidRDefault="000F1779" w:rsidP="005D2CDB">
            <w:pPr>
              <w:pStyle w:val="TableCopy"/>
              <w:rPr>
                <w:lang w:val="en-US"/>
              </w:rPr>
            </w:pPr>
            <w:r w:rsidRPr="000F1779">
              <w:rPr>
                <w:lang w:val="en-US"/>
              </w:rPr>
              <w:t>11,800</w:t>
            </w:r>
          </w:p>
        </w:tc>
        <w:tc>
          <w:tcPr>
            <w:tcW w:w="1701" w:type="dxa"/>
          </w:tcPr>
          <w:p w14:paraId="28EAD265" w14:textId="77777777" w:rsidR="000F1779" w:rsidRPr="000F1779" w:rsidRDefault="000F1779" w:rsidP="005D2CDB">
            <w:pPr>
              <w:pStyle w:val="TableCopy"/>
              <w:rPr>
                <w:lang w:val="en-US"/>
              </w:rPr>
            </w:pPr>
            <w:r w:rsidRPr="000F1779">
              <w:rPr>
                <w:lang w:val="en-US"/>
              </w:rPr>
              <w:t>40.5%</w:t>
            </w:r>
          </w:p>
        </w:tc>
        <w:tc>
          <w:tcPr>
            <w:tcW w:w="1701" w:type="dxa"/>
          </w:tcPr>
          <w:p w14:paraId="539645A1" w14:textId="77777777" w:rsidR="000F1779" w:rsidRPr="000F1779" w:rsidRDefault="000F1779" w:rsidP="005D2CDB">
            <w:pPr>
              <w:pStyle w:val="TableCopy"/>
              <w:rPr>
                <w:lang w:val="en-US"/>
              </w:rPr>
            </w:pPr>
            <w:r w:rsidRPr="000F1779">
              <w:rPr>
                <w:lang w:val="en-US"/>
              </w:rPr>
              <w:t>59.5%</w:t>
            </w:r>
          </w:p>
        </w:tc>
      </w:tr>
      <w:tr w:rsidR="000F1779" w:rsidRPr="000F1779" w14:paraId="2E7D69AD" w14:textId="77777777" w:rsidTr="005D2CDB">
        <w:tc>
          <w:tcPr>
            <w:tcW w:w="3964" w:type="dxa"/>
          </w:tcPr>
          <w:p w14:paraId="050F5EF9" w14:textId="77777777" w:rsidR="000F1779" w:rsidRPr="000F1779" w:rsidRDefault="000F1779" w:rsidP="005D2CDB">
            <w:pPr>
              <w:pStyle w:val="TableCopy"/>
              <w:rPr>
                <w:lang w:val="en-US"/>
              </w:rPr>
            </w:pPr>
            <w:r w:rsidRPr="000F1779">
              <w:rPr>
                <w:lang w:val="en-US"/>
              </w:rPr>
              <w:t>Construction</w:t>
            </w:r>
          </w:p>
        </w:tc>
        <w:tc>
          <w:tcPr>
            <w:tcW w:w="1701" w:type="dxa"/>
          </w:tcPr>
          <w:p w14:paraId="39BB19D3" w14:textId="77777777" w:rsidR="000F1779" w:rsidRPr="000F1779" w:rsidRDefault="000F1779" w:rsidP="005D2CDB">
            <w:pPr>
              <w:pStyle w:val="TableCopy"/>
              <w:rPr>
                <w:lang w:val="en-US"/>
              </w:rPr>
            </w:pPr>
            <w:r w:rsidRPr="000F1779">
              <w:rPr>
                <w:lang w:val="en-US"/>
              </w:rPr>
              <w:t>11,400</w:t>
            </w:r>
          </w:p>
        </w:tc>
        <w:tc>
          <w:tcPr>
            <w:tcW w:w="1701" w:type="dxa"/>
          </w:tcPr>
          <w:p w14:paraId="59DA834D" w14:textId="77777777" w:rsidR="000F1779" w:rsidRPr="000F1779" w:rsidRDefault="000F1779" w:rsidP="005D2CDB">
            <w:pPr>
              <w:pStyle w:val="TableCopy"/>
              <w:rPr>
                <w:lang w:val="en-US"/>
              </w:rPr>
            </w:pPr>
            <w:r w:rsidRPr="000F1779">
              <w:rPr>
                <w:lang w:val="en-US"/>
              </w:rPr>
              <w:t>90.0%</w:t>
            </w:r>
          </w:p>
        </w:tc>
        <w:tc>
          <w:tcPr>
            <w:tcW w:w="1701" w:type="dxa"/>
          </w:tcPr>
          <w:p w14:paraId="2EEBFE09" w14:textId="77777777" w:rsidR="000F1779" w:rsidRPr="000F1779" w:rsidRDefault="000F1779" w:rsidP="005D2CDB">
            <w:pPr>
              <w:pStyle w:val="TableCopy"/>
              <w:rPr>
                <w:lang w:val="en-US"/>
              </w:rPr>
            </w:pPr>
            <w:r w:rsidRPr="000F1779">
              <w:rPr>
                <w:lang w:val="en-US"/>
              </w:rPr>
              <w:t>10.0%</w:t>
            </w:r>
          </w:p>
        </w:tc>
      </w:tr>
      <w:tr w:rsidR="000F1779" w:rsidRPr="000F1779" w14:paraId="3733CD33" w14:textId="77777777" w:rsidTr="005D2CDB">
        <w:tc>
          <w:tcPr>
            <w:tcW w:w="3964" w:type="dxa"/>
          </w:tcPr>
          <w:p w14:paraId="1C4BD37D" w14:textId="77777777" w:rsidR="000F1779" w:rsidRPr="000F1779" w:rsidRDefault="000F1779" w:rsidP="005D2CDB">
            <w:pPr>
              <w:pStyle w:val="TableCopy"/>
              <w:rPr>
                <w:lang w:val="en-US"/>
              </w:rPr>
            </w:pPr>
            <w:r w:rsidRPr="000F1779">
              <w:rPr>
                <w:lang w:val="en-US"/>
              </w:rPr>
              <w:t>Agriculture, forestry and fishing</w:t>
            </w:r>
          </w:p>
        </w:tc>
        <w:tc>
          <w:tcPr>
            <w:tcW w:w="1701" w:type="dxa"/>
          </w:tcPr>
          <w:p w14:paraId="23FD1A62" w14:textId="77777777" w:rsidR="000F1779" w:rsidRPr="000F1779" w:rsidRDefault="000F1779" w:rsidP="005D2CDB">
            <w:pPr>
              <w:pStyle w:val="TableCopy"/>
              <w:rPr>
                <w:lang w:val="en-US"/>
              </w:rPr>
            </w:pPr>
            <w:r w:rsidRPr="000F1779">
              <w:rPr>
                <w:lang w:val="en-US"/>
              </w:rPr>
              <w:t>10,300</w:t>
            </w:r>
          </w:p>
        </w:tc>
        <w:tc>
          <w:tcPr>
            <w:tcW w:w="1701" w:type="dxa"/>
          </w:tcPr>
          <w:p w14:paraId="3FE9EF61" w14:textId="77777777" w:rsidR="000F1779" w:rsidRPr="000F1779" w:rsidRDefault="000F1779" w:rsidP="005D2CDB">
            <w:pPr>
              <w:pStyle w:val="TableCopy"/>
              <w:rPr>
                <w:lang w:val="en-US"/>
              </w:rPr>
            </w:pPr>
            <w:r w:rsidRPr="000F1779">
              <w:rPr>
                <w:lang w:val="en-US"/>
              </w:rPr>
              <w:t>66.6%</w:t>
            </w:r>
          </w:p>
        </w:tc>
        <w:tc>
          <w:tcPr>
            <w:tcW w:w="1701" w:type="dxa"/>
          </w:tcPr>
          <w:p w14:paraId="0C91248C" w14:textId="77777777" w:rsidR="000F1779" w:rsidRPr="000F1779" w:rsidRDefault="000F1779" w:rsidP="005D2CDB">
            <w:pPr>
              <w:pStyle w:val="TableCopy"/>
              <w:rPr>
                <w:lang w:val="en-US"/>
              </w:rPr>
            </w:pPr>
            <w:r w:rsidRPr="000F1779">
              <w:rPr>
                <w:lang w:val="en-US"/>
              </w:rPr>
              <w:t>33.4%</w:t>
            </w:r>
          </w:p>
        </w:tc>
      </w:tr>
      <w:tr w:rsidR="000F1779" w:rsidRPr="000F1779" w14:paraId="695DEC0E" w14:textId="77777777" w:rsidTr="005D2CDB">
        <w:tc>
          <w:tcPr>
            <w:tcW w:w="3964" w:type="dxa"/>
          </w:tcPr>
          <w:p w14:paraId="5953FC29" w14:textId="77777777" w:rsidR="000F1779" w:rsidRPr="000F1779" w:rsidRDefault="000F1779" w:rsidP="005D2CDB">
            <w:pPr>
              <w:pStyle w:val="TableCopy"/>
              <w:rPr>
                <w:lang w:val="en-US"/>
              </w:rPr>
            </w:pPr>
            <w:r w:rsidRPr="000F1779">
              <w:rPr>
                <w:lang w:val="en-US"/>
              </w:rPr>
              <w:t>Education and training</w:t>
            </w:r>
          </w:p>
        </w:tc>
        <w:tc>
          <w:tcPr>
            <w:tcW w:w="1701" w:type="dxa"/>
          </w:tcPr>
          <w:p w14:paraId="05FD9A8C" w14:textId="77777777" w:rsidR="000F1779" w:rsidRPr="000F1779" w:rsidRDefault="000F1779" w:rsidP="005D2CDB">
            <w:pPr>
              <w:pStyle w:val="TableCopy"/>
              <w:rPr>
                <w:lang w:val="en-US"/>
              </w:rPr>
            </w:pPr>
            <w:r w:rsidRPr="000F1779">
              <w:rPr>
                <w:lang w:val="en-US"/>
              </w:rPr>
              <w:t>10,200</w:t>
            </w:r>
          </w:p>
        </w:tc>
        <w:tc>
          <w:tcPr>
            <w:tcW w:w="1701" w:type="dxa"/>
          </w:tcPr>
          <w:p w14:paraId="6D1EA4AE" w14:textId="77777777" w:rsidR="000F1779" w:rsidRPr="000F1779" w:rsidRDefault="000F1779" w:rsidP="005D2CDB">
            <w:pPr>
              <w:pStyle w:val="TableCopy"/>
              <w:rPr>
                <w:lang w:val="en-US"/>
              </w:rPr>
            </w:pPr>
            <w:r w:rsidRPr="000F1779">
              <w:rPr>
                <w:lang w:val="en-US"/>
              </w:rPr>
              <w:t>25.1%</w:t>
            </w:r>
          </w:p>
        </w:tc>
        <w:tc>
          <w:tcPr>
            <w:tcW w:w="1701" w:type="dxa"/>
          </w:tcPr>
          <w:p w14:paraId="4BA08D6A" w14:textId="77777777" w:rsidR="000F1779" w:rsidRPr="000F1779" w:rsidRDefault="000F1779" w:rsidP="005D2CDB">
            <w:pPr>
              <w:pStyle w:val="TableCopy"/>
              <w:rPr>
                <w:lang w:val="en-US"/>
              </w:rPr>
            </w:pPr>
            <w:r w:rsidRPr="000F1779">
              <w:rPr>
                <w:lang w:val="en-US"/>
              </w:rPr>
              <w:t>74.9%</w:t>
            </w:r>
          </w:p>
        </w:tc>
      </w:tr>
    </w:tbl>
    <w:p w14:paraId="4F089A4F" w14:textId="77777777" w:rsidR="000F1779" w:rsidRPr="000F1779" w:rsidRDefault="000F1779" w:rsidP="005D2CDB">
      <w:pPr>
        <w:pStyle w:val="Source"/>
        <w:rPr>
          <w:lang w:val="en-US"/>
        </w:rPr>
      </w:pPr>
      <w:r w:rsidRPr="000F1779">
        <w:rPr>
          <w:lang w:val="en-US"/>
        </w:rPr>
        <w:t>Source: National Institute of Economic and Industry Research, 2020 and ABS Census, 2016</w:t>
      </w:r>
    </w:p>
    <w:p w14:paraId="07D10631" w14:textId="35CEF5D6" w:rsidR="00481FB1" w:rsidRDefault="00481FB1" w:rsidP="00481FB1">
      <w:pPr>
        <w:pStyle w:val="Heading2"/>
      </w:pPr>
      <w:bookmarkStart w:id="32" w:name="_Toc118405110"/>
      <w:r>
        <w:t>Employment by industry</w:t>
      </w:r>
      <w:bookmarkEnd w:id="31"/>
      <w:bookmarkEnd w:id="32"/>
    </w:p>
    <w:p w14:paraId="78E72A70" w14:textId="78DC484F" w:rsidR="00481FB1" w:rsidRDefault="00481FB1" w:rsidP="00481FB1">
      <w:r>
        <w:t xml:space="preserve">The health care and social assistance sector has been the region’s largest employer since 2009. This is consistent with the region’s growing demand for population services due to population growth and ageing. Other sectors associated with population growth have also grown consistently over the past two years, these include education and training and public administration and safety. </w:t>
      </w:r>
    </w:p>
    <w:p w14:paraId="4D2D0A45" w14:textId="2AAA2F3E" w:rsidR="00481FB1" w:rsidRDefault="00481FB1" w:rsidP="00481FB1">
      <w:r>
        <w:t xml:space="preserve">Other significant employing sectors in the region include retail trade, construction, agriculture, forestry and fishing, and manufacturing. Employment growth in these sectors has been more variable over time. Employment variability in the construction sector is likely due to housing demand in the rapidly growing peri-urban areas and the timing of large-scale infrastructure projects such as road and rail upgrades, specialist infrastructure and precinct development. Employment variability in the agriculture, forestry and fishing sector is likely due to seasonal conditions and shocks associated with industry transition. More recent fluctuations in 2019 and 2020 are likely due to bushfires, flood events and constrained access to labour during </w:t>
      </w:r>
      <w:r>
        <w:br/>
        <w:t xml:space="preserve">the COVID-19 pandemic. </w:t>
      </w:r>
    </w:p>
    <w:p w14:paraId="5DE31EC9" w14:textId="77DFE9E3" w:rsidR="005D2CDB" w:rsidRPr="005D2CDB" w:rsidRDefault="005D2CDB" w:rsidP="005D2CDB">
      <w:pPr>
        <w:keepNext/>
        <w:rPr>
          <w:b/>
          <w:bCs/>
        </w:rPr>
      </w:pPr>
      <w:r w:rsidRPr="005D2CDB">
        <w:rPr>
          <w:b/>
          <w:bCs/>
        </w:rPr>
        <w:lastRenderedPageBreak/>
        <w:t>Figure 3: Gippsland industry employment (2001-20)</w:t>
      </w:r>
    </w:p>
    <w:p w14:paraId="59ACE6C5" w14:textId="5595684C" w:rsidR="00B0117D" w:rsidRDefault="009E5F90" w:rsidP="00481FB1">
      <w:r>
        <w:rPr>
          <w:noProof/>
        </w:rPr>
        <w:drawing>
          <wp:inline distT="0" distB="0" distL="0" distR="0" wp14:anchorId="5FCF1602" wp14:editId="4821C917">
            <wp:extent cx="5727700" cy="3044453"/>
            <wp:effectExtent l="0" t="0" r="6350" b="0"/>
            <wp:docPr id="2" name="Picture 2" descr="Graph showing trends in the number of persons employed in the top 10 employing industries in the Gippsland region from 2001 to 2020. A detailed description is provided via the link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trends in the number of persons employed in the top 10 employing industries in the Gippsland region from 2001 to 2020. A detailed description is provided via the link below the graph. "/>
                    <pic:cNvPicPr/>
                  </pic:nvPicPr>
                  <pic:blipFill rotWithShape="1">
                    <a:blip r:embed="rId14" cstate="print">
                      <a:extLst>
                        <a:ext uri="{28A0092B-C50C-407E-A947-70E740481C1C}">
                          <a14:useLocalDpi xmlns:a14="http://schemas.microsoft.com/office/drawing/2010/main" val="0"/>
                        </a:ext>
                      </a:extLst>
                    </a:blip>
                    <a:srcRect r="13915"/>
                    <a:stretch/>
                  </pic:blipFill>
                  <pic:spPr bwMode="auto">
                    <a:xfrm>
                      <a:off x="0" y="0"/>
                      <a:ext cx="5747716" cy="3055092"/>
                    </a:xfrm>
                    <a:prstGeom prst="rect">
                      <a:avLst/>
                    </a:prstGeom>
                    <a:ln>
                      <a:noFill/>
                    </a:ln>
                    <a:extLst>
                      <a:ext uri="{53640926-AAD7-44D8-BBD7-CCE9431645EC}">
                        <a14:shadowObscured xmlns:a14="http://schemas.microsoft.com/office/drawing/2010/main"/>
                      </a:ext>
                    </a:extLst>
                  </pic:spPr>
                </pic:pic>
              </a:graphicData>
            </a:graphic>
          </wp:inline>
        </w:drawing>
      </w:r>
    </w:p>
    <w:p w14:paraId="4FE00C86" w14:textId="5EF1CE52" w:rsidR="006609EF" w:rsidRDefault="00000000" w:rsidP="00481FB1">
      <w:hyperlink w:anchor="_Figure_3_Gippsland" w:history="1">
        <w:r w:rsidR="006609EF" w:rsidRPr="006609EF">
          <w:rPr>
            <w:rStyle w:val="Hyperlink"/>
          </w:rPr>
          <w:t>Figure 3 Gippsland industry Employment – Long Alternate Text</w:t>
        </w:r>
      </w:hyperlink>
    </w:p>
    <w:p w14:paraId="1A0305C0" w14:textId="77777777" w:rsidR="00090BE6" w:rsidRDefault="00090BE6" w:rsidP="00090BE6">
      <w:pPr>
        <w:pStyle w:val="Source"/>
      </w:pPr>
      <w:bookmarkStart w:id="33" w:name="Fig_3"/>
      <w:bookmarkEnd w:id="33"/>
      <w:r>
        <w:t>Source: National Institute of Economic and Industry Research, 202</w:t>
      </w:r>
    </w:p>
    <w:p w14:paraId="2487297F" w14:textId="010065BB" w:rsidR="00090BE6" w:rsidRDefault="00090BE6" w:rsidP="00090BE6">
      <w:pPr>
        <w:pStyle w:val="Source"/>
      </w:pPr>
      <w:r>
        <w:t>Note: Top 10 employing industries in 2020 presented in chart, based on Journey to Work employment estimates.</w:t>
      </w:r>
    </w:p>
    <w:p w14:paraId="53EFC9D7" w14:textId="77777777" w:rsidR="00481FB1" w:rsidRDefault="00481FB1" w:rsidP="00481FB1">
      <w:pPr>
        <w:pStyle w:val="Heading2"/>
      </w:pPr>
      <w:bookmarkStart w:id="34" w:name="_Toc106189428"/>
      <w:bookmarkStart w:id="35" w:name="_Toc118405111"/>
      <w:r>
        <w:t>Output by industry</w:t>
      </w:r>
      <w:bookmarkEnd w:id="34"/>
      <w:bookmarkEnd w:id="35"/>
      <w:r>
        <w:t xml:space="preserve"> </w:t>
      </w:r>
    </w:p>
    <w:p w14:paraId="311F0F9A" w14:textId="77777777" w:rsidR="00481FB1" w:rsidRDefault="00481FB1" w:rsidP="00481FB1">
      <w:r>
        <w:t xml:space="preserve">Mining is the largest contributor to regional GVA despite being one of the smallest employing industries. Mining output has fluctuated over the past 20 years, with a significant dip in 2012 and 2014 coinciding with declines in global coal prices and Australian policy changes. Since 2014 there has been an upward trend in mining value, largely due to an increase in oil and gas extraction in the state which began in 2012. </w:t>
      </w:r>
    </w:p>
    <w:p w14:paraId="0FA66043" w14:textId="77777777" w:rsidR="00481FB1" w:rsidRDefault="00481FB1" w:rsidP="00481FB1">
      <w:r>
        <w:t xml:space="preserve">The electricity, gas, water and waste services sector has been on a downward trend since 2001 and has fallen from the second most important sector by output in 2001 to the fifth most important in 2020. During this time, the sector has lost ground to the construction, health care and social assistance, and agriculture, forestry and fishing sectors. Health care and social assistance has seen particularly steady output growth over the past 20 years associated with population growth, ageing of the population, and investments in the region’s health system. </w:t>
      </w:r>
    </w:p>
    <w:p w14:paraId="6DD26895" w14:textId="2AD12096" w:rsidR="00555B5C" w:rsidRPr="00DA15A1" w:rsidRDefault="00555B5C" w:rsidP="00555B5C">
      <w:pPr>
        <w:pStyle w:val="Heading3"/>
      </w:pPr>
      <w:r w:rsidRPr="00DA15A1">
        <w:lastRenderedPageBreak/>
        <w:t>$</w:t>
      </w:r>
      <w:r>
        <w:t>15.2</w:t>
      </w:r>
      <w:r w:rsidRPr="00DA15A1">
        <w:t xml:space="preserve"> billion Gross Value Added (GVA) (2020)</w:t>
      </w:r>
    </w:p>
    <w:p w14:paraId="3C031A3C" w14:textId="77777777" w:rsidR="00555B5C" w:rsidRPr="00995811" w:rsidRDefault="00555B5C" w:rsidP="00C865B6">
      <w:pPr>
        <w:keepNext/>
        <w:rPr>
          <w:color w:val="008044"/>
          <w:lang w:val="en-US"/>
        </w:rPr>
      </w:pPr>
      <w:r w:rsidRPr="00995811">
        <w:rPr>
          <w:lang w:val="en-US"/>
        </w:rPr>
        <w:t>Top sectors by GVA:</w:t>
      </w:r>
    </w:p>
    <w:tbl>
      <w:tblPr>
        <w:tblStyle w:val="TableGrid"/>
        <w:tblW w:w="0" w:type="auto"/>
        <w:tblLayout w:type="fixed"/>
        <w:tblCellMar>
          <w:top w:w="0" w:type="dxa"/>
          <w:bottom w:w="0" w:type="dxa"/>
        </w:tblCellMar>
        <w:tblLook w:val="0000" w:firstRow="0" w:lastRow="0" w:firstColumn="0" w:lastColumn="0" w:noHBand="0" w:noVBand="0"/>
      </w:tblPr>
      <w:tblGrid>
        <w:gridCol w:w="425"/>
        <w:gridCol w:w="4815"/>
        <w:gridCol w:w="1633"/>
      </w:tblGrid>
      <w:tr w:rsidR="00555B5C" w:rsidRPr="00555B5C" w14:paraId="2BDC4708" w14:textId="77777777" w:rsidTr="00555B5C">
        <w:tc>
          <w:tcPr>
            <w:tcW w:w="425" w:type="dxa"/>
          </w:tcPr>
          <w:p w14:paraId="1D99A2F3" w14:textId="0762A9B5" w:rsidR="00555B5C" w:rsidRPr="00555B5C" w:rsidRDefault="00555B5C" w:rsidP="00C865B6">
            <w:pPr>
              <w:pStyle w:val="TableCopy"/>
              <w:keepNext/>
              <w:rPr>
                <w:lang w:val="en-US"/>
              </w:rPr>
            </w:pPr>
            <w:r>
              <w:rPr>
                <w:lang w:val="en-US"/>
              </w:rPr>
              <w:t>1</w:t>
            </w:r>
          </w:p>
        </w:tc>
        <w:tc>
          <w:tcPr>
            <w:tcW w:w="4815" w:type="dxa"/>
          </w:tcPr>
          <w:p w14:paraId="2A0D0D42" w14:textId="77777777" w:rsidR="00555B5C" w:rsidRPr="00555B5C" w:rsidRDefault="00555B5C" w:rsidP="00C865B6">
            <w:pPr>
              <w:pStyle w:val="TableCopy"/>
              <w:keepNext/>
              <w:rPr>
                <w:lang w:val="en-US"/>
              </w:rPr>
            </w:pPr>
            <w:r w:rsidRPr="00555B5C">
              <w:rPr>
                <w:lang w:val="en-US"/>
              </w:rPr>
              <w:t xml:space="preserve">Mining: </w:t>
            </w:r>
          </w:p>
        </w:tc>
        <w:tc>
          <w:tcPr>
            <w:tcW w:w="1633" w:type="dxa"/>
          </w:tcPr>
          <w:p w14:paraId="51C273AB" w14:textId="77777777" w:rsidR="00555B5C" w:rsidRPr="00555B5C" w:rsidRDefault="00555B5C" w:rsidP="00C865B6">
            <w:pPr>
              <w:pStyle w:val="TableCopy"/>
              <w:keepNext/>
              <w:rPr>
                <w:lang w:val="en-US"/>
              </w:rPr>
            </w:pPr>
            <w:r w:rsidRPr="00555B5C">
              <w:rPr>
                <w:lang w:val="en-US"/>
              </w:rPr>
              <w:t>$4.3 billion</w:t>
            </w:r>
          </w:p>
        </w:tc>
      </w:tr>
      <w:tr w:rsidR="00555B5C" w:rsidRPr="00555B5C" w14:paraId="4FEC766C" w14:textId="77777777" w:rsidTr="00555B5C">
        <w:tc>
          <w:tcPr>
            <w:tcW w:w="425" w:type="dxa"/>
          </w:tcPr>
          <w:p w14:paraId="3C9DC490" w14:textId="1D2EF4B1" w:rsidR="00555B5C" w:rsidRPr="00555B5C" w:rsidRDefault="00555B5C" w:rsidP="00C865B6">
            <w:pPr>
              <w:pStyle w:val="TableCopy"/>
              <w:keepNext/>
              <w:rPr>
                <w:lang w:val="en-US"/>
              </w:rPr>
            </w:pPr>
            <w:r>
              <w:rPr>
                <w:lang w:val="en-US"/>
              </w:rPr>
              <w:t>2</w:t>
            </w:r>
          </w:p>
        </w:tc>
        <w:tc>
          <w:tcPr>
            <w:tcW w:w="4815" w:type="dxa"/>
          </w:tcPr>
          <w:p w14:paraId="0B8AAD2B" w14:textId="77777777" w:rsidR="00555B5C" w:rsidRPr="00555B5C" w:rsidRDefault="00555B5C" w:rsidP="00C865B6">
            <w:pPr>
              <w:pStyle w:val="TableCopy"/>
              <w:keepNext/>
              <w:rPr>
                <w:lang w:val="en-US"/>
              </w:rPr>
            </w:pPr>
            <w:r w:rsidRPr="00555B5C">
              <w:rPr>
                <w:lang w:val="en-US"/>
              </w:rPr>
              <w:t xml:space="preserve">Construction: </w:t>
            </w:r>
          </w:p>
        </w:tc>
        <w:tc>
          <w:tcPr>
            <w:tcW w:w="1633" w:type="dxa"/>
          </w:tcPr>
          <w:p w14:paraId="622210D4" w14:textId="77777777" w:rsidR="00555B5C" w:rsidRPr="00555B5C" w:rsidRDefault="00555B5C" w:rsidP="00C865B6">
            <w:pPr>
              <w:pStyle w:val="TableCopy"/>
              <w:keepNext/>
              <w:rPr>
                <w:lang w:val="en-US"/>
              </w:rPr>
            </w:pPr>
            <w:r w:rsidRPr="00555B5C">
              <w:rPr>
                <w:lang w:val="en-US"/>
              </w:rPr>
              <w:t>$1.4 billion</w:t>
            </w:r>
          </w:p>
        </w:tc>
      </w:tr>
      <w:tr w:rsidR="00555B5C" w:rsidRPr="00555B5C" w14:paraId="6F49E4C2" w14:textId="77777777" w:rsidTr="00555B5C">
        <w:tc>
          <w:tcPr>
            <w:tcW w:w="425" w:type="dxa"/>
          </w:tcPr>
          <w:p w14:paraId="3D87EC2B" w14:textId="6ECA3FF5" w:rsidR="00555B5C" w:rsidRPr="00555B5C" w:rsidRDefault="00555B5C" w:rsidP="00555B5C">
            <w:pPr>
              <w:pStyle w:val="TableCopy"/>
              <w:rPr>
                <w:lang w:val="en-US"/>
              </w:rPr>
            </w:pPr>
            <w:r>
              <w:rPr>
                <w:lang w:val="en-US"/>
              </w:rPr>
              <w:t>3</w:t>
            </w:r>
          </w:p>
        </w:tc>
        <w:tc>
          <w:tcPr>
            <w:tcW w:w="4815" w:type="dxa"/>
          </w:tcPr>
          <w:p w14:paraId="227C0CC8" w14:textId="129C4EF0" w:rsidR="00555B5C" w:rsidRPr="00555B5C" w:rsidRDefault="00555B5C" w:rsidP="00555B5C">
            <w:pPr>
              <w:pStyle w:val="TableCopy"/>
              <w:rPr>
                <w:lang w:val="en-US"/>
              </w:rPr>
            </w:pPr>
            <w:r w:rsidRPr="00555B5C">
              <w:rPr>
                <w:lang w:val="en-US"/>
              </w:rPr>
              <w:t>Health care and social assistance:</w:t>
            </w:r>
          </w:p>
        </w:tc>
        <w:tc>
          <w:tcPr>
            <w:tcW w:w="1633" w:type="dxa"/>
          </w:tcPr>
          <w:p w14:paraId="0C03225C" w14:textId="77777777" w:rsidR="00555B5C" w:rsidRPr="00555B5C" w:rsidRDefault="00555B5C" w:rsidP="00555B5C">
            <w:pPr>
              <w:pStyle w:val="TableCopy"/>
              <w:rPr>
                <w:lang w:val="en-US"/>
              </w:rPr>
            </w:pPr>
            <w:r w:rsidRPr="00555B5C">
              <w:rPr>
                <w:lang w:val="en-US"/>
              </w:rPr>
              <w:t>$1.2 billion</w:t>
            </w:r>
          </w:p>
        </w:tc>
      </w:tr>
      <w:tr w:rsidR="00555B5C" w:rsidRPr="00555B5C" w14:paraId="49556317" w14:textId="77777777" w:rsidTr="00555B5C">
        <w:tc>
          <w:tcPr>
            <w:tcW w:w="425" w:type="dxa"/>
          </w:tcPr>
          <w:p w14:paraId="00D9CF4E" w14:textId="29580F20" w:rsidR="00555B5C" w:rsidRPr="00555B5C" w:rsidRDefault="00555B5C" w:rsidP="00555B5C">
            <w:pPr>
              <w:pStyle w:val="TableCopy"/>
              <w:rPr>
                <w:lang w:val="en-US"/>
              </w:rPr>
            </w:pPr>
            <w:r>
              <w:rPr>
                <w:lang w:val="en-US"/>
              </w:rPr>
              <w:t>4</w:t>
            </w:r>
          </w:p>
        </w:tc>
        <w:tc>
          <w:tcPr>
            <w:tcW w:w="4815" w:type="dxa"/>
          </w:tcPr>
          <w:p w14:paraId="3EF29B4F" w14:textId="47FED2A2" w:rsidR="00555B5C" w:rsidRPr="00555B5C" w:rsidRDefault="00555B5C" w:rsidP="00555B5C">
            <w:pPr>
              <w:pStyle w:val="TableCopy"/>
              <w:rPr>
                <w:lang w:val="en-US"/>
              </w:rPr>
            </w:pPr>
            <w:r w:rsidRPr="00555B5C">
              <w:rPr>
                <w:lang w:val="en-US"/>
              </w:rPr>
              <w:t>Agriculture, forestry and fishing:</w:t>
            </w:r>
          </w:p>
        </w:tc>
        <w:tc>
          <w:tcPr>
            <w:tcW w:w="1633" w:type="dxa"/>
          </w:tcPr>
          <w:p w14:paraId="7C3CF379" w14:textId="77777777" w:rsidR="00555B5C" w:rsidRPr="00555B5C" w:rsidRDefault="00555B5C" w:rsidP="00555B5C">
            <w:pPr>
              <w:pStyle w:val="TableCopy"/>
              <w:rPr>
                <w:lang w:val="en-US"/>
              </w:rPr>
            </w:pPr>
            <w:r w:rsidRPr="00555B5C">
              <w:rPr>
                <w:lang w:val="en-US"/>
              </w:rPr>
              <w:t>$1.0 billion</w:t>
            </w:r>
          </w:p>
        </w:tc>
      </w:tr>
      <w:tr w:rsidR="00555B5C" w:rsidRPr="00555B5C" w14:paraId="5BB8E36D" w14:textId="77777777" w:rsidTr="00555B5C">
        <w:tc>
          <w:tcPr>
            <w:tcW w:w="425" w:type="dxa"/>
          </w:tcPr>
          <w:p w14:paraId="6BC74630" w14:textId="387BC791" w:rsidR="00555B5C" w:rsidRPr="00555B5C" w:rsidRDefault="00555B5C" w:rsidP="00555B5C">
            <w:pPr>
              <w:pStyle w:val="TableCopy"/>
              <w:rPr>
                <w:lang w:val="en-US"/>
              </w:rPr>
            </w:pPr>
            <w:r>
              <w:rPr>
                <w:lang w:val="en-US"/>
              </w:rPr>
              <w:t>6</w:t>
            </w:r>
          </w:p>
        </w:tc>
        <w:tc>
          <w:tcPr>
            <w:tcW w:w="4815" w:type="dxa"/>
          </w:tcPr>
          <w:p w14:paraId="56DCA1A9" w14:textId="77777777" w:rsidR="00555B5C" w:rsidRPr="00555B5C" w:rsidRDefault="00555B5C" w:rsidP="00555B5C">
            <w:pPr>
              <w:pStyle w:val="TableCopy"/>
              <w:rPr>
                <w:lang w:val="en-US"/>
              </w:rPr>
            </w:pPr>
            <w:r w:rsidRPr="00555B5C">
              <w:rPr>
                <w:lang w:val="en-US"/>
              </w:rPr>
              <w:t>Electricity, gas, water and waste services:</w:t>
            </w:r>
          </w:p>
        </w:tc>
        <w:tc>
          <w:tcPr>
            <w:tcW w:w="1633" w:type="dxa"/>
          </w:tcPr>
          <w:p w14:paraId="6932C4E8" w14:textId="77777777" w:rsidR="00555B5C" w:rsidRPr="00555B5C" w:rsidRDefault="00555B5C" w:rsidP="00555B5C">
            <w:pPr>
              <w:pStyle w:val="TableCopy"/>
              <w:rPr>
                <w:lang w:val="en-US"/>
              </w:rPr>
            </w:pPr>
            <w:r w:rsidRPr="00555B5C">
              <w:rPr>
                <w:lang w:val="en-US"/>
              </w:rPr>
              <w:t>$975.7 million</w:t>
            </w:r>
          </w:p>
        </w:tc>
      </w:tr>
    </w:tbl>
    <w:p w14:paraId="7CC7B198" w14:textId="7FA3E6A1" w:rsidR="00481FB1" w:rsidRDefault="00481FB1" w:rsidP="00C9364E"/>
    <w:p w14:paraId="4DD3B057" w14:textId="76380085" w:rsidR="00555B5C" w:rsidRDefault="00555B5C" w:rsidP="00481FB1">
      <w:pPr>
        <w:rPr>
          <w:b/>
          <w:bCs/>
        </w:rPr>
      </w:pPr>
      <w:r w:rsidRPr="00555B5C">
        <w:rPr>
          <w:b/>
          <w:bCs/>
        </w:rPr>
        <w:t>Figure 4: Gippsland industry output (Gross Value Add) (2001-20)</w:t>
      </w:r>
    </w:p>
    <w:p w14:paraId="5227FE45" w14:textId="704ED56E" w:rsidR="00B778C3" w:rsidRDefault="00B778C3" w:rsidP="00481FB1">
      <w:r>
        <w:rPr>
          <w:noProof/>
        </w:rPr>
        <w:drawing>
          <wp:inline distT="0" distB="0" distL="0" distR="0" wp14:anchorId="1B5ECF3B" wp14:editId="4231CE94">
            <wp:extent cx="5731510" cy="3308350"/>
            <wp:effectExtent l="0" t="0" r="2540" b="0"/>
            <wp:docPr id="3" name="Picture 3" descr="Graph showing trends in the top 10 gross value add (GVA) industries in the Gippsland region from 2001 to 2020. A detailed description is provided via the link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rends in the top 10 gross value add (GVA) industries in the Gippsland region from 2001 to 2020. A detailed description is provided via the link below the graph.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08350"/>
                    </a:xfrm>
                    <a:prstGeom prst="rect">
                      <a:avLst/>
                    </a:prstGeom>
                  </pic:spPr>
                </pic:pic>
              </a:graphicData>
            </a:graphic>
          </wp:inline>
        </w:drawing>
      </w:r>
    </w:p>
    <w:p w14:paraId="6523DC5C" w14:textId="30C12B31" w:rsidR="00C865B6" w:rsidRDefault="00000000" w:rsidP="00481FB1">
      <w:hyperlink w:anchor="_Figure_4_Gippsland" w:history="1">
        <w:r w:rsidR="00C865B6" w:rsidRPr="00C865B6">
          <w:rPr>
            <w:rStyle w:val="Hyperlink"/>
          </w:rPr>
          <w:t>Figure 4 Gippsland industry output (gross value add) – Long Alternate Text</w:t>
        </w:r>
      </w:hyperlink>
    </w:p>
    <w:p w14:paraId="799FEA72" w14:textId="4B7DD979" w:rsidR="006609EF" w:rsidRDefault="006609EF" w:rsidP="006609EF">
      <w:pPr>
        <w:pStyle w:val="Source"/>
      </w:pPr>
      <w:bookmarkStart w:id="36" w:name="Fig_4"/>
      <w:bookmarkEnd w:id="36"/>
      <w:r w:rsidRPr="006609EF">
        <w:t>Source: National Institute of Economic and Industry Research, 2020</w:t>
      </w:r>
    </w:p>
    <w:p w14:paraId="5B418D08" w14:textId="77777777" w:rsidR="00C865B6" w:rsidRDefault="00C865B6" w:rsidP="00C865B6">
      <w:pPr>
        <w:pStyle w:val="Heading2"/>
      </w:pPr>
      <w:bookmarkStart w:id="37" w:name="_Toc118405112"/>
      <w:r>
        <w:t>Regional exports</w:t>
      </w:r>
      <w:bookmarkEnd w:id="37"/>
      <w:r>
        <w:t xml:space="preserve"> </w:t>
      </w:r>
    </w:p>
    <w:p w14:paraId="7CCC4B83" w14:textId="77777777" w:rsidR="00C865B6" w:rsidRDefault="00C865B6" w:rsidP="00C865B6">
      <w:r>
        <w:t xml:space="preserve">Strong connections to international markets and rich natural resources have seen international export value double over the past decade to $2.5 billion in 2020. Top export sectors for 2020 were: </w:t>
      </w:r>
    </w:p>
    <w:p w14:paraId="4479D81A" w14:textId="77777777" w:rsidR="00C865B6" w:rsidRDefault="00C865B6" w:rsidP="00C865B6">
      <w:pPr>
        <w:pStyle w:val="Numbered"/>
        <w:numPr>
          <w:ilvl w:val="0"/>
          <w:numId w:val="37"/>
        </w:numPr>
      </w:pPr>
      <w:r>
        <w:t xml:space="preserve">Mining: $871.8 million </w:t>
      </w:r>
    </w:p>
    <w:p w14:paraId="11642C7F" w14:textId="77777777" w:rsidR="00C865B6" w:rsidRDefault="00C865B6" w:rsidP="00C865B6">
      <w:pPr>
        <w:pStyle w:val="Numbered"/>
      </w:pPr>
      <w:r>
        <w:t xml:space="preserve">Agriculture, forestry and fishing: $564.6 million </w:t>
      </w:r>
    </w:p>
    <w:p w14:paraId="360CDAB0" w14:textId="4B0BCFD0" w:rsidR="00C865B6" w:rsidRPr="00555B5C" w:rsidRDefault="00C865B6" w:rsidP="00C865B6">
      <w:pPr>
        <w:pStyle w:val="Numbered"/>
      </w:pPr>
      <w:r>
        <w:t>Manufacturing: $551.4 million</w:t>
      </w:r>
    </w:p>
    <w:p w14:paraId="13F50A75" w14:textId="0FF10692" w:rsidR="00481FB1" w:rsidRDefault="00481FB1" w:rsidP="00481FB1">
      <w:pPr>
        <w:pStyle w:val="Heading1"/>
      </w:pPr>
      <w:bookmarkStart w:id="38" w:name="_Toc106189429"/>
      <w:bookmarkStart w:id="39" w:name="_Toc118405113"/>
      <w:r>
        <w:lastRenderedPageBreak/>
        <w:t>03</w:t>
      </w:r>
      <w:r w:rsidR="00C865B6">
        <w:t xml:space="preserve"> </w:t>
      </w:r>
      <w:r>
        <w:t>Comparative advantage</w:t>
      </w:r>
      <w:bookmarkEnd w:id="38"/>
      <w:bookmarkEnd w:id="39"/>
    </w:p>
    <w:p w14:paraId="3A9EF642" w14:textId="77777777" w:rsidR="00481FB1" w:rsidRDefault="00481FB1" w:rsidP="00C865B6">
      <w:r>
        <w:t xml:space="preserve">For the purposes of the REDS, ‘comparative advantage’ is defined simply as a description of what the region does well compared to other regions. This includes both the relative competitiveness of the region’s businesses as well as cultural, social and environmental factors. </w:t>
      </w:r>
    </w:p>
    <w:p w14:paraId="7F5A0DF3" w14:textId="77777777" w:rsidR="00481FB1" w:rsidRDefault="00481FB1" w:rsidP="00481FB1">
      <w:r>
        <w:t xml:space="preserve">Contemporary place-based development emphasises the importance of local endowments as a driver of local comparative advantage. In economic terms, endowments refer to any natural, human, cultural and built resources present in a place which can be harnessed to support economic activity. Regional economic strengths can also be identified using other measures including location quotient analysis, shift share analysis and industry cluster analysis. A comprehensive assessment of these measures is included in the </w:t>
      </w:r>
      <w:r>
        <w:rPr>
          <w:rStyle w:val="bodyitalics"/>
        </w:rPr>
        <w:t>Gippsland Regional Economic Development Strategy – Supporting Analysis</w:t>
      </w:r>
      <w:r>
        <w:t xml:space="preserve">. </w:t>
      </w:r>
    </w:p>
    <w:p w14:paraId="7F2A2B45" w14:textId="20F32F26" w:rsidR="00481FB1" w:rsidRDefault="00481FB1" w:rsidP="00481FB1">
      <w:pPr>
        <w:pStyle w:val="Heading2"/>
      </w:pPr>
      <w:bookmarkStart w:id="40" w:name="_Toc106189430"/>
      <w:bookmarkStart w:id="41" w:name="_Toc118405114"/>
      <w:r>
        <w:t>3.1</w:t>
      </w:r>
      <w:r w:rsidR="00C865B6">
        <w:t xml:space="preserve"> </w:t>
      </w:r>
      <w:r>
        <w:t>Endowments</w:t>
      </w:r>
      <w:bookmarkEnd w:id="40"/>
      <w:bookmarkEnd w:id="41"/>
    </w:p>
    <w:p w14:paraId="0FCAF90B" w14:textId="77777777" w:rsidR="00481FB1" w:rsidRDefault="00481FB1" w:rsidP="00481FB1">
      <w:pPr>
        <w:pStyle w:val="Heading3"/>
      </w:pPr>
      <w:r>
        <w:t>Natural endowments</w:t>
      </w:r>
    </w:p>
    <w:p w14:paraId="78C0E1F3" w14:textId="77777777" w:rsidR="00481FB1" w:rsidRDefault="00481FB1" w:rsidP="00481FB1">
      <w:pPr>
        <w:pStyle w:val="Heading4"/>
      </w:pPr>
      <w:r>
        <w:t>Fertile land and water access</w:t>
      </w:r>
    </w:p>
    <w:p w14:paraId="1AA92802" w14:textId="77777777" w:rsidR="00481FB1" w:rsidRDefault="00481FB1" w:rsidP="00481FB1">
      <w:r>
        <w:t>Gippsland includes 28 per cent of Victoria’s agricultural land, which supports significant dairy, beef, horticultural and forestry production. The Macalister Irrigation District is the largest irrigation district in southern Victoria. Agriculture, forestry and fishing is an important employer and is also the third largest export earner for the region. There is also a significant amount of agri-tourism, supported by Gippsland’s wineries, distilleries, breweries and gourmet food offerings.</w:t>
      </w:r>
    </w:p>
    <w:p w14:paraId="66708A99" w14:textId="77777777" w:rsidR="00481FB1" w:rsidRDefault="00481FB1" w:rsidP="00481FB1">
      <w:pPr>
        <w:pStyle w:val="Heading4"/>
      </w:pPr>
      <w:r>
        <w:t xml:space="preserve">Forest, timber resources </w:t>
      </w:r>
    </w:p>
    <w:p w14:paraId="0682006E" w14:textId="77777777" w:rsidR="00481FB1" w:rsidRDefault="00481FB1" w:rsidP="00481FB1">
      <w:r>
        <w:t xml:space="preserve">Gippsland has vast native timber resources in the north-east and in East Gippsland as well as an extensive Radiata Pine plantation estate, mainly to the south of Latrobe City. Native forests in the region are also unique and present significant opportunities for nature-based tourism. </w:t>
      </w:r>
    </w:p>
    <w:p w14:paraId="44571E34" w14:textId="77777777" w:rsidR="00481FB1" w:rsidRDefault="00481FB1" w:rsidP="00481FB1">
      <w:pPr>
        <w:pStyle w:val="Heading4"/>
      </w:pPr>
      <w:r>
        <w:t>Environmental assets</w:t>
      </w:r>
    </w:p>
    <w:p w14:paraId="5D2E8B1A" w14:textId="77777777" w:rsidR="00481FB1" w:rsidRDefault="00481FB1" w:rsidP="00481FB1">
      <w:r>
        <w:t xml:space="preserve">Gippsland is a popular regional destination for visitors, largely due to the region’s diverse nature-based tourism experiences. Environmental precincts include Phillip Island Nature Park, Wilsons Promontory National Park, Mount Baw Baw Alpine Resort, Croajingolong National Park and the Gippsland Lakes. </w:t>
      </w:r>
    </w:p>
    <w:p w14:paraId="5D9B58F5" w14:textId="77777777" w:rsidR="00481FB1" w:rsidRDefault="00481FB1" w:rsidP="00481FB1">
      <w:r>
        <w:t xml:space="preserve">Gippsland also has access to ample solar, wind and geothermal resources. The ideal locations for wind generation development are along the coastline and following the Great Dividing Range, with unique opportunities to develop offshore wind generation as well as renewable hydrogen. </w:t>
      </w:r>
    </w:p>
    <w:p w14:paraId="31169A44" w14:textId="77777777" w:rsidR="00481FB1" w:rsidRDefault="00481FB1" w:rsidP="00481FB1">
      <w:r>
        <w:t xml:space="preserve">The Gippsland region has a number of high-quality waterways and related assets which support nature-based tourism and urban and industrial water supply for the Gippsland and metropolitan Melbourne region. These include part or all of 13 significant river catchments, nationally and internationally significant wetlands and </w:t>
      </w:r>
      <w:r>
        <w:lastRenderedPageBreak/>
        <w:t xml:space="preserve">assets along the 700km of coastline (including Western Port, Wilsons Promontory, Corner Inlet, Ninety Mile Beach and the waterways of the Gippsland Lakes). Water from the extensive range of catchments as well as the Wonthaggi desalination plant provide a significant comparative advantage for industry, settlement planning and environmental amenity. </w:t>
      </w:r>
    </w:p>
    <w:p w14:paraId="4B290336" w14:textId="77777777" w:rsidR="00481FB1" w:rsidRDefault="00481FB1" w:rsidP="00481FB1">
      <w:pPr>
        <w:pStyle w:val="Heading4"/>
      </w:pPr>
      <w:r>
        <w:t xml:space="preserve">Earth resources </w:t>
      </w:r>
    </w:p>
    <w:p w14:paraId="7F6D06A8" w14:textId="00EFA4E2" w:rsidR="00481FB1" w:rsidRDefault="00481FB1" w:rsidP="00481FB1">
      <w:r>
        <w:rPr>
          <w:spacing w:val="-2"/>
        </w:rPr>
        <w:t>Gippsland is rich in natural mineral resources. The Latrobe Valley is estimated to contain approximately a quarter of the world’s known brown coal reserves</w:t>
      </w:r>
      <w:r w:rsidR="008D6FA4">
        <w:rPr>
          <w:rStyle w:val="FootnoteReference"/>
          <w:spacing w:val="-2"/>
        </w:rPr>
        <w:footnoteReference w:id="7"/>
      </w:r>
      <w:r>
        <w:rPr>
          <w:spacing w:val="-2"/>
        </w:rPr>
        <w:t xml:space="preserve"> and the Gippsland Basin, in the south of the region, is Victoria’s most productive petroleum area. Gippsland’s mining export value has surged from $41.2 million in 2010 to $871.8 million in 2020. </w:t>
      </w:r>
    </w:p>
    <w:p w14:paraId="14A54548" w14:textId="77777777" w:rsidR="00481FB1" w:rsidRDefault="00481FB1" w:rsidP="00481FB1">
      <w:r>
        <w:t xml:space="preserve">Gippsland has been identified as a suitable area to deploy Carbon Capture and Storage, with the CarbonNet Project, supported by the Australian and Victorian Governments currently underway to establish a commercial scale system and network for Carbon Capture and Storage in the region. </w:t>
      </w:r>
    </w:p>
    <w:p w14:paraId="235FA483" w14:textId="77777777" w:rsidR="00481FB1" w:rsidRDefault="00481FB1" w:rsidP="00481FB1">
      <w:pPr>
        <w:pStyle w:val="Heading4"/>
      </w:pPr>
      <w:r>
        <w:t>Fishing</w:t>
      </w:r>
    </w:p>
    <w:p w14:paraId="273708C3" w14:textId="77777777" w:rsidR="00481FB1" w:rsidRDefault="00481FB1" w:rsidP="00481FB1">
      <w:r>
        <w:t xml:space="preserve">The Gippsland coastline and lakes provide marine resources for commercial and recreational purposes. Lakes Entrance is home to the State’s largest commercial fishing fleet and offshore support vessels servicing the Bass Straight oil and gas fields. Commercial fishing has been phased out of the Gippsland Lakes to restore the Lakes as a recreational fishing destination. There are expansive, lake, sea and rivers fishing opportunities across the region including Anderson Inlet, Lake Tyers and Port Albert. </w:t>
      </w:r>
    </w:p>
    <w:p w14:paraId="587096B4" w14:textId="77777777" w:rsidR="00481FB1" w:rsidRDefault="00481FB1" w:rsidP="00481FB1">
      <w:pPr>
        <w:pStyle w:val="Heading3"/>
      </w:pPr>
      <w:r>
        <w:t>Cultural endowments</w:t>
      </w:r>
    </w:p>
    <w:p w14:paraId="725249A9" w14:textId="77777777" w:rsidR="00481FB1" w:rsidRDefault="00481FB1" w:rsidP="00481FB1">
      <w:pPr>
        <w:pStyle w:val="Heading4"/>
      </w:pPr>
      <w:r>
        <w:t>Aboriginal heritage</w:t>
      </w:r>
    </w:p>
    <w:p w14:paraId="59E0C32B" w14:textId="77777777" w:rsidR="00481FB1" w:rsidRDefault="00481FB1" w:rsidP="00481FB1">
      <w:r>
        <w:t xml:space="preserve">Gippsland has a long history of Aboriginal cultural heritage and is home to the Gunaikurnai, Bunurong, Wurundjeri and Taungurung peoples. Victoria has a joint management plan with the Gunaikurnai which provides governance for the joint management of several reserves and parks throughout the region. The region is home to the Bataluk Cultural Trail, which follows traditional routes used by the Gunaikurnai peoples for over 30,000 years stretching from Won Wron to Cape Conran in East Gippsland. Along the trail are numerous culturally significant sites such as The Knob Reserve, Burnt Bridge Reserve, Krowathunkoolong Keeping Place, and Buchan Caves.  </w:t>
      </w:r>
    </w:p>
    <w:p w14:paraId="1EAC1C51" w14:textId="77777777" w:rsidR="00481FB1" w:rsidRDefault="00481FB1" w:rsidP="00481FB1">
      <w:pPr>
        <w:pStyle w:val="Heading4"/>
      </w:pPr>
      <w:r>
        <w:t xml:space="preserve">Creative spaces </w:t>
      </w:r>
    </w:p>
    <w:p w14:paraId="4BC72525" w14:textId="77777777" w:rsidR="00481FB1" w:rsidRDefault="00481FB1" w:rsidP="00481FB1">
      <w:r>
        <w:rPr>
          <w:spacing w:val="-2"/>
        </w:rPr>
        <w:t xml:space="preserve">Gippsland has a diverse range of creative spaces and events that attract visitors to the region and increase liveability for current and prospective residents. A range of independent galleries and artist studios complement the calendar of local and international exhibitions at the Gippsland Art Gallery in Sale and the Latrobe Regional Gallery in Morwell. Performing arts centres – including the Regent Theatre in Yarram, </w:t>
      </w:r>
      <w:r>
        <w:rPr>
          <w:spacing w:val="-2"/>
        </w:rPr>
        <w:lastRenderedPageBreak/>
        <w:t xml:space="preserve">the Wedge in Sale and the West Gippsland Arts Centre in Warragul – attract local and international musical, performance, comedy and cinema events. Creative Gippsland is a cooperative agreement between the six Gippsland LGAs to encourage and coordinate arts, culture and heritage activity to enrich the Gippsland experience for visitors and the community. </w:t>
      </w:r>
    </w:p>
    <w:p w14:paraId="4B466747" w14:textId="77777777" w:rsidR="00481FB1" w:rsidRDefault="00481FB1" w:rsidP="00481FB1">
      <w:pPr>
        <w:pStyle w:val="Heading3"/>
      </w:pPr>
      <w:r>
        <w:t>Built endowments</w:t>
      </w:r>
    </w:p>
    <w:p w14:paraId="66F4EEC6" w14:textId="77777777" w:rsidR="00481FB1" w:rsidRDefault="00481FB1" w:rsidP="00481FB1">
      <w:pPr>
        <w:pStyle w:val="Heading4"/>
      </w:pPr>
      <w:r>
        <w:t xml:space="preserve">Transmission and other energy infrastructure </w:t>
      </w:r>
    </w:p>
    <w:p w14:paraId="5D7915EB" w14:textId="5C409E01" w:rsidR="00481FB1" w:rsidRDefault="00481FB1" w:rsidP="00481FB1">
      <w:r>
        <w:t xml:space="preserve">The region is home to a network of oil and gas pipelines and some of Victoria’s strongest electricity transmission infrastructure, including high voltage 500kV and 220kV transmission lines connecting the region’s large-scale coal and gas generators in the Latrobe Valley with population centres in Melbourne. The terminal at Loy Yang Power Station connects the mainland Australia and Tasmanian energy grids via the BassLink interconnector. </w:t>
      </w:r>
    </w:p>
    <w:p w14:paraId="094AB91B" w14:textId="77777777" w:rsidR="00481FB1" w:rsidRDefault="00481FB1" w:rsidP="00481FB1">
      <w:pPr>
        <w:pStyle w:val="Heading4"/>
      </w:pPr>
      <w:r>
        <w:t xml:space="preserve">Macalister Irrigation District </w:t>
      </w:r>
    </w:p>
    <w:p w14:paraId="12AC0765" w14:textId="28B3B452" w:rsidR="00481FB1" w:rsidRDefault="00481FB1" w:rsidP="00481FB1">
      <w:r>
        <w:t>Irrigation infrastructure supports pastures and horticultural production. The Macalister Irrigation District covers 53,000 hectares</w:t>
      </w:r>
      <w:r w:rsidR="00632133">
        <w:rPr>
          <w:rStyle w:val="FootnoteReference"/>
        </w:rPr>
        <w:footnoteReference w:id="8"/>
      </w:r>
      <w:r>
        <w:t xml:space="preserve">, stretching from Cowwarr to East Sale in Wellington Shire. The system mainly sources water from Lake Glenmaggie and distributed to irrigators by a gravity fed system of channels and pipes. Over 430 farms in the region now have an irrigation farm plan and significant productivity gains and environmental outcomes have been generated due to its operation. </w:t>
      </w:r>
    </w:p>
    <w:p w14:paraId="6CA46536" w14:textId="77777777" w:rsidR="00481FB1" w:rsidRDefault="00481FB1" w:rsidP="00481FB1">
      <w:pPr>
        <w:pStyle w:val="Heading4"/>
      </w:pPr>
      <w:r>
        <w:t>Transport connections</w:t>
      </w:r>
    </w:p>
    <w:p w14:paraId="79CBB94E" w14:textId="35FA7437" w:rsidR="00481FB1" w:rsidRDefault="00481FB1" w:rsidP="00481FB1">
      <w:r>
        <w:t xml:space="preserve">Gippsland is connected to domestic and international markets via road and rail. The Princes Highway links the region with Melbourne and Sydney via Latrobe City and Bairnsdale, while direct passenger and freight rail routes connect Bairnsdale to Melbourne through Latrobe City and Warragul. Other roads connect the region with significant centres, including Canberra and Wangaratta. The region does not have a major airport. However it does have several smaller regional airports and the East Sale Royal Australian Air Force base. Regional airports play a significant role in delivering emergency responses when roads are inaccessible. </w:t>
      </w:r>
    </w:p>
    <w:p w14:paraId="2DD6A477" w14:textId="77777777" w:rsidR="00481FB1" w:rsidRDefault="00481FB1" w:rsidP="00481FB1">
      <w:pPr>
        <w:pStyle w:val="Heading3"/>
      </w:pPr>
      <w:r>
        <w:t>Human endowments</w:t>
      </w:r>
    </w:p>
    <w:p w14:paraId="1E703D9A" w14:textId="77777777" w:rsidR="00481FB1" w:rsidRDefault="00481FB1" w:rsidP="00481FB1">
      <w:pPr>
        <w:pStyle w:val="Heading4"/>
      </w:pPr>
      <w:r>
        <w:t>Skilled workers</w:t>
      </w:r>
    </w:p>
    <w:p w14:paraId="52F804A7" w14:textId="77777777" w:rsidR="00481FB1" w:rsidRDefault="00481FB1" w:rsidP="00481FB1">
      <w:r>
        <w:t>Gippsland has a highly specialised engineering workforce that has historically supported the mining and energy supply industries. These specialised workers have skills that are transferable to other and emerging areas of regional specialisations. More broadly, above average attainment rates of Certificate III &amp;IV demonstrate there is a highly skilled trade workforce in Gippsland.</w:t>
      </w:r>
    </w:p>
    <w:p w14:paraId="0FD74DFE" w14:textId="77777777" w:rsidR="00481FB1" w:rsidRDefault="00481FB1" w:rsidP="00481FB1">
      <w:pPr>
        <w:pStyle w:val="Heading4"/>
      </w:pPr>
      <w:r>
        <w:lastRenderedPageBreak/>
        <w:t xml:space="preserve">Tertiary education institutions </w:t>
      </w:r>
    </w:p>
    <w:p w14:paraId="51D7BC26" w14:textId="77777777" w:rsidR="00481FB1" w:rsidRDefault="00481FB1" w:rsidP="00481FB1">
      <w:r>
        <w:t xml:space="preserve">There is a strong education network throughout the region built around Federation University, Monash Rural Health, TAFE Gippsland and the Chisholm Institute of TAFE in Wonthaggi. The Churchill campus of Federation University offers a wide range of courses such as art and design, business and commerce and nursing. TAFE Gippsland has campuses in Bairnsdale, Leongatha, Morwell, Traralgon, Lakes Entrance, Warragul, Yallourn, Sale and Kalimna West, and provides specialist training in areas such as forestry and fishing, as well as providing pathways to students for further undergraduate study. Chisholm Institute of TAFE provides courses for school leavers and mature students as well as focusing on accessible learning options for secondary and tertiary students to work their way into an apprenticeship or pre-apprenticeship. An innovative study hub in Bairnsdale (Gippsland East Study Hub) provides resources and facilities to local students. These education institutes are known for their collaborative efforts to develop pathways for students and life-long learning in Gippsland. </w:t>
      </w:r>
    </w:p>
    <w:p w14:paraId="72B769BA" w14:textId="3FF83B49" w:rsidR="00481FB1" w:rsidRDefault="00481FB1" w:rsidP="00481FB1">
      <w:pPr>
        <w:pStyle w:val="Heading2"/>
      </w:pPr>
      <w:bookmarkStart w:id="42" w:name="_Toc106189431"/>
      <w:bookmarkStart w:id="43" w:name="_Toc118405115"/>
      <w:r>
        <w:t>3.2</w:t>
      </w:r>
      <w:r w:rsidR="00DB2CBC">
        <w:t xml:space="preserve"> </w:t>
      </w:r>
      <w:r>
        <w:t>Revealed industry specialisation</w:t>
      </w:r>
      <w:bookmarkEnd w:id="42"/>
      <w:bookmarkEnd w:id="43"/>
      <w:r>
        <w:t xml:space="preserve"> </w:t>
      </w:r>
    </w:p>
    <w:p w14:paraId="015FEC80" w14:textId="77777777" w:rsidR="00481FB1" w:rsidRDefault="00481FB1" w:rsidP="00481FB1">
      <w:r>
        <w:t>Location Quotient (LQ) analysis provides further insight into the local economy’s underlying structure and comparative advantages that may not be evident from a region’s endowments. This form of analysis compares an industry’s size and growth (as measured by employment and output) as a proportion of total economic activity, relative to the Victorian average. The higher the LQ, the more concentrated, and therefore significant, an industry is to the local economy relative to Victoria on average. Scores above 1.25 indicate specialisation compared to the rest of the state. Further analysis is provided in the</w:t>
      </w:r>
      <w:r>
        <w:rPr>
          <w:rStyle w:val="bodyitalics"/>
        </w:rPr>
        <w:t xml:space="preserve"> Gippsland Regional Economic Development Strategy – Supporting Analysis</w:t>
      </w:r>
      <w:r>
        <w:t xml:space="preserve">. </w:t>
      </w:r>
    </w:p>
    <w:p w14:paraId="58009B94" w14:textId="77777777" w:rsidR="00481FB1" w:rsidRDefault="00481FB1" w:rsidP="00481FB1">
      <w:pPr>
        <w:pStyle w:val="Heading3"/>
      </w:pPr>
      <w:r>
        <w:t xml:space="preserve">Employment specialisation </w:t>
      </w:r>
    </w:p>
    <w:p w14:paraId="2A5D55A2" w14:textId="77777777" w:rsidR="00481FB1" w:rsidRDefault="00481FB1" w:rsidP="00481FB1">
      <w:r>
        <w:rPr>
          <w:rStyle w:val="Bodysemibold"/>
          <w:spacing w:val="-2"/>
        </w:rPr>
        <w:t>Agriculture, forestry and fishing:</w:t>
      </w:r>
      <w:r>
        <w:rPr>
          <w:spacing w:val="-2"/>
        </w:rPr>
        <w:t xml:space="preserve"> The industry is the strongest employment specialisation in the region, employing four times as many workers as the Victorian average. The sector is however experiencing employment declines at a faster pace than the Victorian average. This is consistent with a general downward trend in agricultural employment since 2011 because of technology advancements and automation, and recent natural and economic shocks associated with drought, bushfires and flood events and transition in the forestry and dairy sector. </w:t>
      </w:r>
    </w:p>
    <w:p w14:paraId="0ED76736" w14:textId="77777777" w:rsidR="00481FB1" w:rsidRDefault="00481FB1" w:rsidP="00C9364E">
      <w:pPr>
        <w:pStyle w:val="Normalbeforebullet"/>
      </w:pPr>
      <w:r>
        <w:rPr>
          <w:rStyle w:val="Bodysemibold"/>
        </w:rPr>
        <w:t xml:space="preserve">Population services: </w:t>
      </w:r>
      <w:r>
        <w:t xml:space="preserve">The Gippsland region is specialised in several population services: </w:t>
      </w:r>
    </w:p>
    <w:p w14:paraId="789F3B43" w14:textId="77777777" w:rsidR="00481FB1" w:rsidRDefault="00481FB1" w:rsidP="00481FB1">
      <w:pPr>
        <w:pStyle w:val="Bullet"/>
        <w:numPr>
          <w:ilvl w:val="0"/>
          <w:numId w:val="35"/>
        </w:numPr>
        <w:spacing w:after="160"/>
      </w:pPr>
      <w:r>
        <w:t xml:space="preserve">The preschool and school education sub-sector has an LQ score of 1.45 and is experiencing employment growth 5.0 percentage points above the Victorian average. Specialisation in school level education is consistent with strong migration of family aged residents to Baw Baw, East Gippsland, South Gippsland, and Bass Coast shires and relatively high levels of people aged 0-14 across the region. </w:t>
      </w:r>
    </w:p>
    <w:p w14:paraId="0FB15F78" w14:textId="77777777" w:rsidR="00481FB1" w:rsidRDefault="00481FB1" w:rsidP="00481FB1">
      <w:pPr>
        <w:pStyle w:val="Bullet"/>
        <w:numPr>
          <w:ilvl w:val="0"/>
          <w:numId w:val="35"/>
        </w:numPr>
        <w:spacing w:after="160"/>
      </w:pPr>
      <w:r>
        <w:t xml:space="preserve">The medical and other health care services sub-sector has an LQ score of 1.42 and is experiencing employment growth 31.7 percentage points above the Victorian average. In recent years, local health care and training providers have </w:t>
      </w:r>
      <w:r>
        <w:lastRenderedPageBreak/>
        <w:t xml:space="preserve">been focused on building up expertise in allied health services, which falls into this sub-sector. </w:t>
      </w:r>
    </w:p>
    <w:p w14:paraId="22A84840" w14:textId="77777777" w:rsidR="00481FB1" w:rsidRDefault="00481FB1" w:rsidP="00DB2CBC">
      <w:pPr>
        <w:pStyle w:val="Bulletlast"/>
      </w:pPr>
      <w:r>
        <w:t xml:space="preserve">The residential care services sub-sector has an LQ score of 1.49, which is consistent with the age profile in Gippsland and the resulting demand for aged care services. This sub-sector is however experiencing employment growth at a slower rate than the Victorian average, which could suggest the region faces workforce shortages among residential care services.  </w:t>
      </w:r>
    </w:p>
    <w:p w14:paraId="2CE887EF" w14:textId="7031558C" w:rsidR="00481FB1" w:rsidRDefault="00481FB1" w:rsidP="00481FB1">
      <w:r>
        <w:rPr>
          <w:rStyle w:val="Bodysemibold"/>
        </w:rPr>
        <w:t>Electricity supply:</w:t>
      </w:r>
      <w:r>
        <w:t xml:space="preserve"> The coal-fired power stations Yallourn and Loy Yang and the gas-fired power station Jeeralang are important employers in the region, and electricity infrastructure in the region requires ongoing servicing and management. Electricity supply is a small regional employer but an important area of employment specialisation with an LQ score of 2.14. Employment growth in the sector however is lagging the Victorian average, likely due to transition in the energy sector and structural adjustment. </w:t>
      </w:r>
    </w:p>
    <w:p w14:paraId="6FB396A4" w14:textId="2FABDEC3" w:rsidR="00481FB1" w:rsidRDefault="00481FB1" w:rsidP="00481FB1">
      <w:r>
        <w:rPr>
          <w:rStyle w:val="Bodysemibold"/>
        </w:rPr>
        <w:t xml:space="preserve">Visitor economy: </w:t>
      </w:r>
      <w:r>
        <w:t xml:space="preserve">Activity in the visitor economy cuts across multiple sub-sectors. Gippsland demonstrates employment specialisation in accommodation and sports and recreation, with employment growth in both sub-sectors outpacing Victorian averages. Together these sectors imply Gippsland may have unique strengths in the visitor economy drawing on significant natural and cultural attractions. </w:t>
      </w:r>
    </w:p>
    <w:p w14:paraId="6F8D9EE7" w14:textId="62BD27AE" w:rsidR="00DB2CBC" w:rsidRPr="00DB2CBC" w:rsidRDefault="00DB2CBC" w:rsidP="00481FB1">
      <w:pPr>
        <w:rPr>
          <w:b/>
          <w:bCs/>
        </w:rPr>
      </w:pPr>
      <w:r w:rsidRPr="00DB2CBC">
        <w:rPr>
          <w:b/>
          <w:bCs/>
        </w:rPr>
        <w:t>Figure 5: Gippsland industry employment location quotient and growth</w:t>
      </w:r>
    </w:p>
    <w:p w14:paraId="26EB2059" w14:textId="5A242E7A" w:rsidR="00B778C3" w:rsidRDefault="00B778C3" w:rsidP="00481FB1">
      <w:r>
        <w:rPr>
          <w:noProof/>
        </w:rPr>
        <w:drawing>
          <wp:inline distT="0" distB="0" distL="0" distR="0" wp14:anchorId="3917E306" wp14:editId="0220DCDF">
            <wp:extent cx="5731510" cy="3278505"/>
            <wp:effectExtent l="0" t="0" r="2540" b="0"/>
            <wp:docPr id="4" name="Picture 4" descr="Graph showing industry employment specialisation and growth in the Gippsland region.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industry employment specialisation and growth in the Gippsland region. A detailed description is provided via the link below the grap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78505"/>
                    </a:xfrm>
                    <a:prstGeom prst="rect">
                      <a:avLst/>
                    </a:prstGeom>
                  </pic:spPr>
                </pic:pic>
              </a:graphicData>
            </a:graphic>
          </wp:inline>
        </w:drawing>
      </w:r>
    </w:p>
    <w:p w14:paraId="2E440383" w14:textId="539F7190" w:rsidR="00FD1560" w:rsidRDefault="00000000" w:rsidP="00481FB1">
      <w:hyperlink w:anchor="_Figure_5_Gippsland" w:history="1">
        <w:r w:rsidR="00FD1560" w:rsidRPr="00FD1560">
          <w:rPr>
            <w:rStyle w:val="Hyperlink"/>
          </w:rPr>
          <w:t>Figure 5 Gippsland industry employment location quotient and growth – Long Alternate Text</w:t>
        </w:r>
      </w:hyperlink>
    </w:p>
    <w:p w14:paraId="0CE66D5D" w14:textId="2E35DB25" w:rsidR="00FD1560" w:rsidRDefault="00FD1560" w:rsidP="00FD1560">
      <w:pPr>
        <w:pStyle w:val="Source"/>
      </w:pPr>
      <w:bookmarkStart w:id="44" w:name="Fig_5"/>
      <w:bookmarkEnd w:id="44"/>
      <w:r w:rsidRPr="00FD1560">
        <w:t>Source: National Institute of Economic and Industry Research, 2020, 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031A3E96" w14:textId="77777777" w:rsidR="00FD1560" w:rsidRDefault="00FD1560" w:rsidP="00C9364E">
      <w:pPr>
        <w:pStyle w:val="Normalbeforebullet"/>
      </w:pPr>
      <w:r>
        <w:lastRenderedPageBreak/>
        <w:t>Figure 5 depicts selected industries and sub-industries in the regional economy in 2020 where:</w:t>
      </w:r>
    </w:p>
    <w:p w14:paraId="41AEBB44" w14:textId="7C1272E9" w:rsidR="00FD1560" w:rsidRDefault="00FD1560" w:rsidP="00F5289F">
      <w:pPr>
        <w:pStyle w:val="Bullet"/>
      </w:pPr>
      <w:r>
        <w:t xml:space="preserve">The size of each bubble indicates the number of people employed in the (sub)industry in 2020. The bigger the bubble, the more people employed in the industry. </w:t>
      </w:r>
    </w:p>
    <w:p w14:paraId="774A2380" w14:textId="2A2B98B1" w:rsidR="00FD1560" w:rsidRDefault="00FD1560" w:rsidP="00414221">
      <w:pPr>
        <w:pStyle w:val="Bullet"/>
      </w:pPr>
      <w:r>
        <w:t xml:space="preserve">The vertical position indicates the (sub)industry’s degree of employment concentration relative to the Victorian economy. For example, a value of 1.4 means that, as a share of total employment in the local economy, the (sub)industry employs 1.4 times as many people as the Victorian average. </w:t>
      </w:r>
    </w:p>
    <w:p w14:paraId="7A8E7CAD" w14:textId="27EB4BDB" w:rsidR="00FD1560" w:rsidRDefault="00FD1560" w:rsidP="00414221">
      <w:pPr>
        <w:pStyle w:val="Bulletlast"/>
      </w:pPr>
      <w:r>
        <w:t>The horizontal position indicates the difference in each (sub)industry’s employment growth (2015-20) between the region and the Victorian average. For example, 31.7 percentage point indicates that regional employment in the (sub)industry has grown 31.7 percentage points faster (between 2015 and 2020) relative to the industry’s average growth rate in Victoria.</w:t>
      </w:r>
    </w:p>
    <w:p w14:paraId="57A701F8" w14:textId="77777777" w:rsidR="00481FB1" w:rsidRDefault="00481FB1" w:rsidP="00481FB1">
      <w:pPr>
        <w:pStyle w:val="Heading3"/>
      </w:pPr>
      <w:r>
        <w:t xml:space="preserve">Output specialisation </w:t>
      </w:r>
    </w:p>
    <w:p w14:paraId="3D03729E" w14:textId="77777777" w:rsidR="00481FB1" w:rsidRDefault="00481FB1" w:rsidP="00481FB1">
      <w:r>
        <w:rPr>
          <w:rStyle w:val="Bodysemibold"/>
        </w:rPr>
        <w:t xml:space="preserve">Figure 6 </w:t>
      </w:r>
      <w:r>
        <w:t xml:space="preserve">identifies Gippsland’s output specialisation in terms of Gross Value Added (GVA). Using the same approach as Figure 5, this analysis compares selected industries and sub-industries in the regional economy, including their size and growth as a proportion of total economic GVA relative to Victorian averages </w:t>
      </w:r>
    </w:p>
    <w:p w14:paraId="6246B9B9" w14:textId="77777777" w:rsidR="00481FB1" w:rsidRDefault="00481FB1" w:rsidP="00481FB1">
      <w:r>
        <w:t xml:space="preserve">Output specialisation in the Gippsland region is dominated by mining activities. Mining has an output LQ of 62.61 and output growth in the mining sector is 64.5 percentage points higher than the Victorian average. Important sub-sectors contributing to this specialisation include coal mining and oil and gas extraction with LQ scores of 242.5 and 62.9 respectively, and each experiencing growth 82.0 percentage points higher than the Victorian average. </w:t>
      </w:r>
    </w:p>
    <w:p w14:paraId="4E4FC81F" w14:textId="18CED6C5" w:rsidR="00481FB1" w:rsidRPr="00414221" w:rsidRDefault="00414221" w:rsidP="00414221">
      <w:pPr>
        <w:keepNext/>
        <w:rPr>
          <w:b/>
          <w:bCs/>
        </w:rPr>
      </w:pPr>
      <w:r w:rsidRPr="00414221">
        <w:rPr>
          <w:b/>
          <w:bCs/>
        </w:rPr>
        <w:lastRenderedPageBreak/>
        <w:t>Figure 6: Gippsland industry output (GVA) location quotient and growth</w:t>
      </w:r>
    </w:p>
    <w:p w14:paraId="20CDEBEF" w14:textId="51C3D5DC" w:rsidR="00BD07C3" w:rsidRDefault="00BD07C3" w:rsidP="00481FB1">
      <w:r>
        <w:rPr>
          <w:noProof/>
        </w:rPr>
        <w:drawing>
          <wp:inline distT="0" distB="0" distL="0" distR="0" wp14:anchorId="60F045F1" wp14:editId="72A4A0E3">
            <wp:extent cx="5678436" cy="5422403"/>
            <wp:effectExtent l="0" t="0" r="0" b="6985"/>
            <wp:docPr id="5" name="Picture 5" descr="Graph showing industry output (gross value add or GVA) specialisation and growth in the Gippsland region.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industry output (gross value add or GVA) specialisation and growth in the Gippsland region. A detailed description is provided via the link below the grap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8436" cy="5422403"/>
                    </a:xfrm>
                    <a:prstGeom prst="rect">
                      <a:avLst/>
                    </a:prstGeom>
                  </pic:spPr>
                </pic:pic>
              </a:graphicData>
            </a:graphic>
          </wp:inline>
        </w:drawing>
      </w:r>
    </w:p>
    <w:p w14:paraId="36F229D7" w14:textId="38E413A8" w:rsidR="006606D7" w:rsidRDefault="00000000" w:rsidP="00481FB1">
      <w:hyperlink w:anchor="_Figure_6_Gippsland" w:history="1">
        <w:r w:rsidR="00E168AC" w:rsidRPr="00E168AC">
          <w:rPr>
            <w:rStyle w:val="Hyperlink"/>
          </w:rPr>
          <w:t>Figure 6 Gippsland industry output (GVA) location quotient and growth – Long Alternate Text</w:t>
        </w:r>
      </w:hyperlink>
    </w:p>
    <w:p w14:paraId="63514941" w14:textId="77777777" w:rsidR="00E168AC" w:rsidRDefault="00E168AC" w:rsidP="00E168AC">
      <w:pPr>
        <w:pStyle w:val="Source"/>
      </w:pPr>
      <w:bookmarkStart w:id="45" w:name="Fig_6"/>
      <w:bookmarkEnd w:id="45"/>
      <w:r>
        <w:t xml:space="preserve">Source: National Institute of Economic and Industry Research, 2020 </w:t>
      </w:r>
    </w:p>
    <w:p w14:paraId="122122FE" w14:textId="14013E65" w:rsidR="00E168AC" w:rsidRDefault="00E168AC" w:rsidP="00E168AC">
      <w:pPr>
        <w:pStyle w:val="Source"/>
      </w:pPr>
      <w:r>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65BD25E6" w14:textId="77777777" w:rsidR="00481FB1" w:rsidRDefault="00481FB1" w:rsidP="00C9364E">
      <w:pPr>
        <w:pStyle w:val="Normalbeforebullet"/>
      </w:pPr>
      <w:r>
        <w:t xml:space="preserve">Consistent with employment specialisation, the region has output specialisation in: </w:t>
      </w:r>
    </w:p>
    <w:p w14:paraId="2463E430" w14:textId="77777777" w:rsidR="00481FB1" w:rsidRDefault="00481FB1" w:rsidP="00481FB1">
      <w:pPr>
        <w:pStyle w:val="Bullet"/>
        <w:numPr>
          <w:ilvl w:val="0"/>
          <w:numId w:val="35"/>
        </w:numPr>
        <w:spacing w:after="160"/>
      </w:pPr>
      <w:r>
        <w:rPr>
          <w:rStyle w:val="bodyitalics"/>
        </w:rPr>
        <w:t>Agriculture, forestry and fishing</w:t>
      </w:r>
      <w:r>
        <w:t xml:space="preserve"> with an output LQ of 3.6. Output growth lags the Victorian average by 13.2 percentage points, however this does not capture the full value chain impacts from food and fibre produce flowing from or through the region.</w:t>
      </w:r>
    </w:p>
    <w:p w14:paraId="2735D40A" w14:textId="77777777" w:rsidR="00481FB1" w:rsidRDefault="00481FB1" w:rsidP="00E168AC">
      <w:pPr>
        <w:pStyle w:val="Bulletlast"/>
      </w:pPr>
      <w:r>
        <w:rPr>
          <w:rStyle w:val="bodyitalics"/>
        </w:rPr>
        <w:lastRenderedPageBreak/>
        <w:t xml:space="preserve">Electricity supply </w:t>
      </w:r>
      <w:r>
        <w:t>with an output LQ of 2.3 and output growth that lags the Victorian average by 51.5 percentage points.</w:t>
      </w:r>
    </w:p>
    <w:p w14:paraId="57144BDD" w14:textId="5FA02F65" w:rsidR="00481FB1" w:rsidRDefault="00481FB1" w:rsidP="00C9364E">
      <w:pPr>
        <w:pStyle w:val="Normalbeforebullet"/>
      </w:pPr>
      <w:r>
        <w:t xml:space="preserve">Unlike employment specialisation, however, the region also has output specialisation in other sectors: </w:t>
      </w:r>
    </w:p>
    <w:p w14:paraId="40AF3B05" w14:textId="77777777" w:rsidR="00481FB1" w:rsidRDefault="00481FB1" w:rsidP="00481FB1">
      <w:pPr>
        <w:pStyle w:val="Bullet"/>
        <w:numPr>
          <w:ilvl w:val="0"/>
          <w:numId w:val="35"/>
        </w:numPr>
        <w:spacing w:after="160"/>
      </w:pPr>
      <w:r>
        <w:rPr>
          <w:rStyle w:val="bodyitalics"/>
        </w:rPr>
        <w:t xml:space="preserve">Heavy and civil engineering construction </w:t>
      </w:r>
      <w:r>
        <w:t>emerges as an area of output specialisation, with an LQ score of 1.25. This is likely due to significant capital investment in the Gippsland region as well as maintenance of existing energy and mining infrastructure.</w:t>
      </w:r>
    </w:p>
    <w:p w14:paraId="1D781193" w14:textId="25674267" w:rsidR="00481FB1" w:rsidRDefault="00481FB1" w:rsidP="00E168AC">
      <w:pPr>
        <w:pStyle w:val="Bulletlast"/>
      </w:pPr>
      <w:r>
        <w:rPr>
          <w:rStyle w:val="bodyitalics"/>
        </w:rPr>
        <w:t>Preschool and school education</w:t>
      </w:r>
      <w:r>
        <w:t xml:space="preserve"> and </w:t>
      </w:r>
      <w:r>
        <w:rPr>
          <w:rStyle w:val="bodyitalics"/>
        </w:rPr>
        <w:t xml:space="preserve">medical and other health care services </w:t>
      </w:r>
      <w:r>
        <w:t>are regional output concentrations that are experiencing output growth above the Victorian averages. Their LQ scores are not however high enough to be areas of regional specialisation.</w:t>
      </w:r>
    </w:p>
    <w:p w14:paraId="178A99C6" w14:textId="77777777" w:rsidR="00481FB1" w:rsidRDefault="00481FB1" w:rsidP="00481FB1">
      <w:pPr>
        <w:pStyle w:val="Heading2"/>
      </w:pPr>
      <w:bookmarkStart w:id="46" w:name="_Toc106189432"/>
      <w:bookmarkStart w:id="47" w:name="_Toc118405116"/>
      <w:r>
        <w:t>Emerging sectors</w:t>
      </w:r>
      <w:bookmarkEnd w:id="46"/>
      <w:bookmarkEnd w:id="47"/>
    </w:p>
    <w:p w14:paraId="3B39EF03" w14:textId="77777777" w:rsidR="00481FB1" w:rsidRDefault="00481FB1" w:rsidP="00481FB1">
      <w:r>
        <w:rPr>
          <w:spacing w:val="-2"/>
        </w:rPr>
        <w:t>Several sectors in Gippsland do not have concentrations strong enough to be areas of specialisation but are experiencing output or employment growth faster than the Victorian average, which may indicate future areas of strength.</w:t>
      </w:r>
    </w:p>
    <w:p w14:paraId="389314C4" w14:textId="77777777" w:rsidR="00481FB1" w:rsidRDefault="00481FB1" w:rsidP="00481FB1">
      <w:pPr>
        <w:pStyle w:val="Bullet"/>
        <w:numPr>
          <w:ilvl w:val="0"/>
          <w:numId w:val="35"/>
        </w:numPr>
        <w:spacing w:after="160"/>
      </w:pPr>
      <w:r>
        <w:t xml:space="preserve">Manufacturing activity is not as concentrated in Gippsland as in other parts of the state, with an employment and output LQ score of 0.85 and 0.71 respectively. Employment growth and output growth, however, are both outpacing the Victorian averages, which suggests the region is experiencing a surge in manufacturing activity. </w:t>
      </w:r>
    </w:p>
    <w:p w14:paraId="7D907266" w14:textId="77777777" w:rsidR="00481FB1" w:rsidRDefault="00481FB1" w:rsidP="00481FB1">
      <w:pPr>
        <w:pStyle w:val="Bullet"/>
        <w:numPr>
          <w:ilvl w:val="0"/>
          <w:numId w:val="35"/>
        </w:numPr>
        <w:spacing w:after="160"/>
      </w:pPr>
      <w:r>
        <w:t>Finance has an output LQ score of 0.40 but is experiencing output growth above the Victorian average. This suggests there may be significant potential for the sub-sector to emerge as an important player in the region’s transition.</w:t>
      </w:r>
    </w:p>
    <w:p w14:paraId="2981B309" w14:textId="553FADBB" w:rsidR="00481FB1" w:rsidRDefault="00481FB1" w:rsidP="00481FB1">
      <w:pPr>
        <w:pStyle w:val="Bullet"/>
        <w:numPr>
          <w:ilvl w:val="0"/>
          <w:numId w:val="35"/>
        </w:numPr>
        <w:spacing w:after="160"/>
      </w:pPr>
      <w:r>
        <w:t xml:space="preserve">Tertiary education has an employment LQ score of 0.55 but is experiencing employment growth above the Victorian average. In time the sub-sector could become a regional strength, particularly given the focus on the role of Federation University and TAFE Gippsland to provide lifelong learning opportunities and to work with industry to identify current and future training needs to prepare the workforce of the future. </w:t>
      </w:r>
    </w:p>
    <w:p w14:paraId="47425B6E" w14:textId="02A39C5B" w:rsidR="00481FB1" w:rsidRDefault="00481FB1" w:rsidP="00481FB1">
      <w:pPr>
        <w:pStyle w:val="Heading1"/>
      </w:pPr>
      <w:bookmarkStart w:id="48" w:name="_Toc106189433"/>
      <w:bookmarkStart w:id="49" w:name="_Toc118405117"/>
      <w:r>
        <w:t>04</w:t>
      </w:r>
      <w:r w:rsidR="00DA1615">
        <w:t xml:space="preserve"> </w:t>
      </w:r>
      <w:r>
        <w:t>Strategic directions</w:t>
      </w:r>
      <w:bookmarkEnd w:id="48"/>
      <w:bookmarkEnd w:id="49"/>
    </w:p>
    <w:p w14:paraId="57BA6F4A" w14:textId="77777777" w:rsidR="00481FB1" w:rsidRDefault="00481FB1" w:rsidP="00DA1615">
      <w:r>
        <w:t>The five strategic directions for the Gippsland region have been identified based on the opportunities emerging from the region’s endowments, industry specialisations, and socioeconomic context. The directions have been refined based on a review of local policies and strategic plans.</w:t>
      </w:r>
    </w:p>
    <w:p w14:paraId="264C4C0A" w14:textId="77777777" w:rsidR="00481FB1" w:rsidRDefault="00481FB1" w:rsidP="00C9364E">
      <w:pPr>
        <w:pStyle w:val="Normalbeforebullet"/>
      </w:pPr>
      <w:r>
        <w:t xml:space="preserve">The following section discusses each strategic direction, providing: </w:t>
      </w:r>
    </w:p>
    <w:p w14:paraId="3843EFE9" w14:textId="36E7D18C" w:rsidR="00DA1615" w:rsidRDefault="00DA1615" w:rsidP="00DA1615">
      <w:pPr>
        <w:pStyle w:val="Bullet"/>
      </w:pPr>
      <w:r>
        <w:t>a rationale for its inclusion as part of the strategy</w:t>
      </w:r>
    </w:p>
    <w:p w14:paraId="21579550" w14:textId="77777777" w:rsidR="00DA1615" w:rsidRDefault="00DA1615" w:rsidP="00DA1615">
      <w:pPr>
        <w:pStyle w:val="Bullet"/>
      </w:pPr>
      <w:r>
        <w:t>an overview of opportunities and challenges which are likely to support or hinder future growth</w:t>
      </w:r>
    </w:p>
    <w:p w14:paraId="3807E578" w14:textId="77777777" w:rsidR="00DA1615" w:rsidRDefault="00DA1615" w:rsidP="00DA1615">
      <w:pPr>
        <w:pStyle w:val="Bullet"/>
      </w:pPr>
      <w:r>
        <w:lastRenderedPageBreak/>
        <w:t>a summary of work underway and the policy context to support desired outcomes</w:t>
      </w:r>
    </w:p>
    <w:p w14:paraId="21FB0A68" w14:textId="77777777" w:rsidR="00DA1615" w:rsidRDefault="00DA1615" w:rsidP="00DA1615">
      <w:pPr>
        <w:pStyle w:val="Bullet"/>
      </w:pPr>
      <w:r>
        <w:t>the implication of the direction for the region’s Aboriginal communities</w:t>
      </w:r>
    </w:p>
    <w:p w14:paraId="36CAFB25" w14:textId="77777777" w:rsidR="00DA1615" w:rsidRDefault="00DA1615" w:rsidP="00DA1615">
      <w:pPr>
        <w:pStyle w:val="Bulletlast"/>
      </w:pPr>
      <w:r>
        <w:t>examples of how the direction could be activated.</w:t>
      </w:r>
    </w:p>
    <w:p w14:paraId="4105A966" w14:textId="77777777" w:rsidR="00481FB1" w:rsidRDefault="00481FB1" w:rsidP="00481FB1">
      <w:pPr>
        <w:pStyle w:val="Heading2"/>
      </w:pPr>
      <w:bookmarkStart w:id="50" w:name="_Toc106189434"/>
      <w:bookmarkStart w:id="51" w:name="_Toc118405118"/>
      <w:r>
        <w:t>Gippsland’s strategic directions</w:t>
      </w:r>
      <w:bookmarkEnd w:id="50"/>
      <w:bookmarkEnd w:id="51"/>
    </w:p>
    <w:p w14:paraId="24EF0C4D" w14:textId="77777777" w:rsidR="00DA1615" w:rsidRDefault="00DA1615" w:rsidP="00DA1615">
      <w:pPr>
        <w:pStyle w:val="Numbered"/>
        <w:numPr>
          <w:ilvl w:val="0"/>
          <w:numId w:val="38"/>
        </w:numPr>
      </w:pPr>
      <w:r>
        <w:t>Maximise the role of the food and fibre industry in the local economy</w:t>
      </w:r>
    </w:p>
    <w:p w14:paraId="3F6C9A92" w14:textId="5CBAE598" w:rsidR="00DA1615" w:rsidRDefault="00DA1615" w:rsidP="00DA1615">
      <w:pPr>
        <w:pStyle w:val="Numbered"/>
      </w:pPr>
      <w:r>
        <w:t>Accelerate advanced manufacturing capabilities in the region</w:t>
      </w:r>
    </w:p>
    <w:p w14:paraId="114083ED" w14:textId="7119FE50" w:rsidR="00481FB1" w:rsidRDefault="00DA1615" w:rsidP="00DA1615">
      <w:pPr>
        <w:pStyle w:val="Numbered"/>
      </w:pPr>
      <w:r>
        <w:t>Pursue opportunities emerging from energy industry transition, including in clean and renewable energy and earth resources</w:t>
      </w:r>
    </w:p>
    <w:p w14:paraId="023518B8" w14:textId="77777777" w:rsidR="00DA1615" w:rsidRDefault="00DA1615" w:rsidP="00DA1615">
      <w:pPr>
        <w:pStyle w:val="Numbered"/>
      </w:pPr>
      <w:r>
        <w:t xml:space="preserve">Support growth and diversification in the visitor economy </w:t>
      </w:r>
    </w:p>
    <w:p w14:paraId="4797F7B5" w14:textId="38EA2ACE" w:rsidR="00DA1615" w:rsidRDefault="00DA1615" w:rsidP="00DA1615">
      <w:pPr>
        <w:pStyle w:val="Numbered"/>
      </w:pPr>
      <w:r>
        <w:t xml:space="preserve">Enhance regional specialisation in health care and social assistance. </w:t>
      </w:r>
    </w:p>
    <w:tbl>
      <w:tblPr>
        <w:tblStyle w:val="TableGrid"/>
        <w:tblW w:w="0" w:type="auto"/>
        <w:tblCellMar>
          <w:top w:w="0" w:type="dxa"/>
          <w:bottom w:w="0" w:type="dxa"/>
        </w:tblCellMar>
        <w:tblLook w:val="04A0" w:firstRow="1" w:lastRow="0" w:firstColumn="1" w:lastColumn="0" w:noHBand="0" w:noVBand="1"/>
      </w:tblPr>
      <w:tblGrid>
        <w:gridCol w:w="4508"/>
        <w:gridCol w:w="4508"/>
      </w:tblGrid>
      <w:tr w:rsidR="00DA1615" w14:paraId="3F34743E" w14:textId="77777777" w:rsidTr="008D6FA4">
        <w:trPr>
          <w:cantSplit/>
        </w:trPr>
        <w:tc>
          <w:tcPr>
            <w:tcW w:w="4508" w:type="dxa"/>
          </w:tcPr>
          <w:p w14:paraId="62713DF5" w14:textId="77777777" w:rsidR="00DA1615" w:rsidRPr="00DA1615" w:rsidRDefault="00DA1615" w:rsidP="00DA1615">
            <w:pPr>
              <w:pStyle w:val="TableCopy"/>
              <w:rPr>
                <w:b/>
                <w:bCs/>
              </w:rPr>
            </w:pPr>
            <w:r w:rsidRPr="00DA1615">
              <w:rPr>
                <w:b/>
                <w:bCs/>
              </w:rPr>
              <w:t>Digital connectivity</w:t>
            </w:r>
          </w:p>
          <w:p w14:paraId="451C0721" w14:textId="2D62D485" w:rsidR="00DA1615" w:rsidRDefault="00DA1615" w:rsidP="00DA1615">
            <w:pPr>
              <w:pStyle w:val="TableCopy"/>
            </w:pPr>
            <w:r>
              <w:t>Access to reliable internet and mobile services allows for access to new markets, facilitates efficiency gains and opens up opportunities for innovation. Good digital connectivity can also facilitate more inclusive access to services and flexible working arrangements.</w:t>
            </w:r>
          </w:p>
        </w:tc>
        <w:tc>
          <w:tcPr>
            <w:tcW w:w="4508" w:type="dxa"/>
          </w:tcPr>
          <w:p w14:paraId="582C450E" w14:textId="254983F8" w:rsidR="00412789" w:rsidRDefault="00412789" w:rsidP="00412789">
            <w:pPr>
              <w:pStyle w:val="TableCopy"/>
            </w:pPr>
            <w:r>
              <w:t>62 to 66 – Australian Digital Inclusion Index Score in Gippsland in 2021</w:t>
            </w:r>
            <w:r w:rsidR="00632133">
              <w:rPr>
                <w:rStyle w:val="FootnoteReference"/>
              </w:rPr>
              <w:footnoteReference w:id="9"/>
            </w:r>
          </w:p>
          <w:p w14:paraId="5F4A448B" w14:textId="356219F4" w:rsidR="00DA1615" w:rsidRDefault="00412789" w:rsidP="00412789">
            <w:pPr>
              <w:pStyle w:val="TableCopy"/>
            </w:pPr>
            <w:r>
              <w:t>(Victorian average: 71)</w:t>
            </w:r>
          </w:p>
        </w:tc>
      </w:tr>
      <w:tr w:rsidR="00DA1615" w14:paraId="282737BE" w14:textId="77777777" w:rsidTr="008D6FA4">
        <w:trPr>
          <w:cantSplit/>
        </w:trPr>
        <w:tc>
          <w:tcPr>
            <w:tcW w:w="4508" w:type="dxa"/>
          </w:tcPr>
          <w:p w14:paraId="41A37B0F" w14:textId="77777777" w:rsidR="00412789" w:rsidRPr="00412789" w:rsidRDefault="00412789" w:rsidP="00412789">
            <w:pPr>
              <w:pStyle w:val="TableCopy"/>
              <w:rPr>
                <w:b/>
                <w:bCs/>
              </w:rPr>
            </w:pPr>
            <w:r w:rsidRPr="00412789">
              <w:rPr>
                <w:b/>
                <w:bCs/>
              </w:rPr>
              <w:t>Transport connectivity</w:t>
            </w:r>
          </w:p>
          <w:p w14:paraId="5A5C5001" w14:textId="6686C478" w:rsidR="00DA1615" w:rsidRDefault="00412789" w:rsidP="00412789">
            <w:pPr>
              <w:pStyle w:val="TableCopy"/>
            </w:pPr>
            <w:r>
              <w:t>Road and rail infrastructure, ports and airports provide critical linkages between production locations and markets; efficient transport connections and public transport services are a key factor in workforce mobility and local amenity.</w:t>
            </w:r>
          </w:p>
        </w:tc>
        <w:tc>
          <w:tcPr>
            <w:tcW w:w="4508" w:type="dxa"/>
          </w:tcPr>
          <w:p w14:paraId="1D07C381" w14:textId="7BD191DA" w:rsidR="00412789" w:rsidRDefault="00412789" w:rsidP="00412789">
            <w:pPr>
              <w:pStyle w:val="TableCopy"/>
            </w:pPr>
            <w:r>
              <w:t>4.0 – Overall access to roads, public transport in the Gippsland RDA region</w:t>
            </w:r>
            <w:r w:rsidR="00632133">
              <w:rPr>
                <w:rStyle w:val="FootnoteReference"/>
              </w:rPr>
              <w:footnoteReference w:id="10"/>
            </w:r>
          </w:p>
          <w:p w14:paraId="22761C45" w14:textId="4DE3E961" w:rsidR="00DA1615" w:rsidRDefault="00412789" w:rsidP="00412789">
            <w:pPr>
              <w:pStyle w:val="TableCopy"/>
            </w:pPr>
            <w:r>
              <w:t>(Regional Victoria: 4.1 and Victoria: 5)</w:t>
            </w:r>
          </w:p>
        </w:tc>
      </w:tr>
      <w:tr w:rsidR="00DA1615" w14:paraId="6EE3E78F" w14:textId="77777777" w:rsidTr="008D6FA4">
        <w:trPr>
          <w:cantSplit/>
        </w:trPr>
        <w:tc>
          <w:tcPr>
            <w:tcW w:w="4508" w:type="dxa"/>
          </w:tcPr>
          <w:p w14:paraId="7EAD0EC6" w14:textId="77777777" w:rsidR="00412789" w:rsidRPr="00412789" w:rsidRDefault="00412789" w:rsidP="00412789">
            <w:pPr>
              <w:pStyle w:val="TableCopy"/>
              <w:rPr>
                <w:b/>
                <w:bCs/>
              </w:rPr>
            </w:pPr>
            <w:r w:rsidRPr="00412789">
              <w:rPr>
                <w:b/>
                <w:bCs/>
              </w:rPr>
              <w:t>Workforce and population growth</w:t>
            </w:r>
          </w:p>
          <w:p w14:paraId="0392421A" w14:textId="501CC7C0" w:rsidR="00DA1615" w:rsidRDefault="00412789" w:rsidP="00412789">
            <w:pPr>
              <w:pStyle w:val="TableCopy"/>
            </w:pPr>
            <w:r>
              <w:t>An adaptive and productive workforce is key to businesses competitiveness; access to both skilled and unskilled labour ensures business can sustain and expand activities.</w:t>
            </w:r>
          </w:p>
        </w:tc>
        <w:tc>
          <w:tcPr>
            <w:tcW w:w="4508" w:type="dxa"/>
          </w:tcPr>
          <w:p w14:paraId="2A1B9FEC" w14:textId="3F0C345F" w:rsidR="00412789" w:rsidRDefault="00412789" w:rsidP="00412789">
            <w:pPr>
              <w:pStyle w:val="TableCopy"/>
            </w:pPr>
            <w:r>
              <w:t>62.3% – Local workforce in Gippsland was employed in skilled occupations</w:t>
            </w:r>
            <w:r w:rsidR="00E222F6">
              <w:rPr>
                <w:rStyle w:val="FootnoteReference"/>
              </w:rPr>
              <w:footnoteReference w:id="11"/>
            </w:r>
          </w:p>
          <w:p w14:paraId="00D2DE1B" w14:textId="77777777" w:rsidR="00412789" w:rsidRDefault="00412789" w:rsidP="00412789">
            <w:pPr>
              <w:pStyle w:val="TableCopy"/>
            </w:pPr>
            <w:r>
              <w:t>(Regional Victoria: 62.2%, Melbourne: 67.3%) (2021)</w:t>
            </w:r>
          </w:p>
          <w:p w14:paraId="60A1A2D7" w14:textId="025D826E" w:rsidR="00412789" w:rsidRDefault="00412789" w:rsidP="00412789">
            <w:pPr>
              <w:pStyle w:val="TableCopy"/>
            </w:pPr>
            <w:r>
              <w:t>14.9% – Residents with a bachelor’s degree or higher in 2016</w:t>
            </w:r>
            <w:r w:rsidR="00E222F6">
              <w:rPr>
                <w:rStyle w:val="FootnoteReference"/>
              </w:rPr>
              <w:footnoteReference w:id="12"/>
            </w:r>
          </w:p>
          <w:p w14:paraId="1CFE9D43" w14:textId="33F0F6EC" w:rsidR="00DA1615" w:rsidRDefault="00412789" w:rsidP="00412789">
            <w:pPr>
              <w:pStyle w:val="TableCopy"/>
            </w:pPr>
            <w:r>
              <w:t>(Regional Victorian: 17.0 %, Melbourne: 31.0%)</w:t>
            </w:r>
          </w:p>
        </w:tc>
      </w:tr>
      <w:tr w:rsidR="00412789" w14:paraId="5B6CC2FB" w14:textId="77777777" w:rsidTr="008D6FA4">
        <w:trPr>
          <w:cantSplit/>
        </w:trPr>
        <w:tc>
          <w:tcPr>
            <w:tcW w:w="4508" w:type="dxa"/>
          </w:tcPr>
          <w:p w14:paraId="268843E2" w14:textId="77777777" w:rsidR="00412789" w:rsidRPr="00412789" w:rsidRDefault="00412789" w:rsidP="00412789">
            <w:pPr>
              <w:pStyle w:val="TableCopy"/>
              <w:rPr>
                <w:b/>
                <w:bCs/>
              </w:rPr>
            </w:pPr>
            <w:r w:rsidRPr="00412789">
              <w:rPr>
                <w:b/>
                <w:bCs/>
              </w:rPr>
              <w:lastRenderedPageBreak/>
              <w:t>Housing</w:t>
            </w:r>
          </w:p>
          <w:p w14:paraId="4C55E967" w14:textId="08C2BBB4" w:rsidR="00412789" w:rsidRPr="00412789" w:rsidRDefault="00412789" w:rsidP="00412789">
            <w:pPr>
              <w:pStyle w:val="TableCopy"/>
              <w:rPr>
                <w:b/>
                <w:bCs/>
              </w:rPr>
            </w:pPr>
            <w:r w:rsidRPr="00412789">
              <w:t>The availability and affordability of housing determines a region’s ability to attract and retain local staff and supports community cohesion and better life outcomes for individuals and families.</w:t>
            </w:r>
          </w:p>
        </w:tc>
        <w:tc>
          <w:tcPr>
            <w:tcW w:w="4508" w:type="dxa"/>
          </w:tcPr>
          <w:p w14:paraId="7B297BD3" w14:textId="551472A8" w:rsidR="00412789" w:rsidRDefault="00412789" w:rsidP="00412789">
            <w:pPr>
              <w:pStyle w:val="TableCopy"/>
            </w:pPr>
            <w:r>
              <w:t>0.8% – Average rental property vacancy rate in the 6 months leading up to June 2021</w:t>
            </w:r>
            <w:r w:rsidR="00E222F6">
              <w:rPr>
                <w:rStyle w:val="FootnoteReference"/>
              </w:rPr>
              <w:footnoteReference w:id="13"/>
            </w:r>
          </w:p>
          <w:p w14:paraId="01803F66" w14:textId="77777777" w:rsidR="00412789" w:rsidRDefault="00412789" w:rsidP="00412789">
            <w:pPr>
              <w:pStyle w:val="TableCopy"/>
            </w:pPr>
            <w:r>
              <w:t xml:space="preserve">(Compared to benchmark of 2.5%) </w:t>
            </w:r>
          </w:p>
          <w:p w14:paraId="776147AA" w14:textId="586DE4AB" w:rsidR="00412789" w:rsidRDefault="00412789" w:rsidP="00412789">
            <w:pPr>
              <w:pStyle w:val="TableCopy"/>
            </w:pPr>
            <w:r>
              <w:t>34.6% – Increase in median rent in Gippsland RDA region from 2016 to 2020</w:t>
            </w:r>
            <w:r w:rsidR="00E222F6">
              <w:rPr>
                <w:rStyle w:val="FootnoteReference"/>
              </w:rPr>
              <w:footnoteReference w:id="14"/>
            </w:r>
          </w:p>
          <w:p w14:paraId="16E7F348" w14:textId="6A074106" w:rsidR="00412789" w:rsidRDefault="00412789" w:rsidP="00412789">
            <w:pPr>
              <w:pStyle w:val="TableCopy"/>
            </w:pPr>
            <w:r>
              <w:t>(Victoria, 6.9%, Regional Victoria 28.6%)</w:t>
            </w:r>
          </w:p>
        </w:tc>
      </w:tr>
    </w:tbl>
    <w:p w14:paraId="7311D4B7" w14:textId="77777777" w:rsidR="00481FB1" w:rsidRDefault="00481FB1" w:rsidP="00481FB1">
      <w:pPr>
        <w:pStyle w:val="Heading2"/>
      </w:pPr>
      <w:bookmarkStart w:id="52" w:name="_Toc106189435"/>
      <w:bookmarkStart w:id="53" w:name="_Toc118405119"/>
      <w:r>
        <w:t>Enabling factors for economic growth</w:t>
      </w:r>
      <w:bookmarkEnd w:id="52"/>
      <w:bookmarkEnd w:id="53"/>
    </w:p>
    <w:p w14:paraId="0E1A6479" w14:textId="77777777" w:rsidR="00481FB1" w:rsidRDefault="00481FB1" w:rsidP="00481FB1">
      <w:r>
        <w:t xml:space="preserve">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 – and targeted investments and initiatives to strengthen them – will help support achievement of the strategic directions in this REDS. </w:t>
      </w:r>
    </w:p>
    <w:p w14:paraId="258D3054" w14:textId="71B4805B" w:rsidR="00481FB1" w:rsidRDefault="00481FB1" w:rsidP="00481FB1">
      <w:pPr>
        <w:pStyle w:val="Heading2"/>
      </w:pPr>
      <w:bookmarkStart w:id="54" w:name="_Toc106189436"/>
      <w:bookmarkStart w:id="55" w:name="_Toc118405120"/>
      <w:r>
        <w:t>Integrating Aboriginal economic opportunities</w:t>
      </w:r>
      <w:bookmarkEnd w:id="54"/>
      <w:bookmarkEnd w:id="55"/>
    </w:p>
    <w:p w14:paraId="3483CD19" w14:textId="77777777" w:rsidR="00481FB1" w:rsidRDefault="00481FB1" w:rsidP="00C9364E">
      <w:pPr>
        <w:pStyle w:val="Normalbeforebullet"/>
      </w:pPr>
      <w:r>
        <w:t>The Victorian Government is taking concrete steps to align with Aboriginal self-determination principles. Key Victorian Government policies and processes to realise self-determination goals include the:</w:t>
      </w:r>
    </w:p>
    <w:p w14:paraId="3F6015F8" w14:textId="77777777" w:rsidR="00481FB1" w:rsidRDefault="00481FB1" w:rsidP="00481FB1">
      <w:pPr>
        <w:pStyle w:val="Bullet"/>
        <w:numPr>
          <w:ilvl w:val="0"/>
          <w:numId w:val="35"/>
        </w:numPr>
        <w:spacing w:after="160"/>
      </w:pPr>
      <w:r>
        <w:t>Treaty Process which seeks to redefine the relationships between Aboriginal communities, the state and non-Aboriginal Victorians</w:t>
      </w:r>
    </w:p>
    <w:p w14:paraId="6437956C" w14:textId="77777777" w:rsidR="00481FB1" w:rsidRDefault="00481FB1" w:rsidP="00481FB1">
      <w:pPr>
        <w:pStyle w:val="Bullet"/>
        <w:numPr>
          <w:ilvl w:val="0"/>
          <w:numId w:val="35"/>
        </w:numPr>
        <w:spacing w:after="160"/>
      </w:pPr>
      <w:r>
        <w:t>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realising Aboriginal income potential.</w:t>
      </w:r>
    </w:p>
    <w:p w14:paraId="436C3144" w14:textId="351F7A9A" w:rsidR="00481FB1" w:rsidRDefault="00481FB1" w:rsidP="00E222F6">
      <w:pPr>
        <w:pStyle w:val="Bulletlast"/>
      </w:pPr>
      <w:r>
        <w:t xml:space="preserve">Self Determination Reform Framework, which guides public sector action to enable self-determination in line with the VAAF across four domains: people, systems, outcomes and accountability. </w:t>
      </w:r>
    </w:p>
    <w:p w14:paraId="28AAE029" w14:textId="77777777" w:rsidR="00481FB1" w:rsidRDefault="00481FB1" w:rsidP="00481FB1">
      <w:r>
        <w:t xml:space="preserve">The Victorian Government is also party to the National Agreement on Closing the Gap, and has committed to meeting the associated outcomes – including in relation to increasing engagement of Aboriginal and Torres Strait Islander in employment, education and training. </w:t>
      </w:r>
    </w:p>
    <w:p w14:paraId="3E66524C" w14:textId="77777777" w:rsidR="00481FB1" w:rsidRDefault="00481FB1" w:rsidP="00C9364E">
      <w:pPr>
        <w:pStyle w:val="Normalbeforebullet"/>
      </w:pPr>
      <w:r>
        <w:lastRenderedPageBreak/>
        <w:t xml:space="preserve">An analysis of relevant policies and commitments relating to Aboriginal economic development in the region (listed in the </w:t>
      </w:r>
      <w:r>
        <w:rPr>
          <w:rStyle w:val="bodyitalics"/>
        </w:rPr>
        <w:t>Gippsland Regional Economic Development Strategy – Supporting Analysis</w:t>
      </w:r>
      <w:r>
        <w:t xml:space="preserve">), including Traditional Owner strategic plans, where developed, has identified four opportunities for Aboriginal economic development: </w:t>
      </w:r>
    </w:p>
    <w:p w14:paraId="766FF96F" w14:textId="77777777" w:rsidR="00481FB1" w:rsidRDefault="00481FB1" w:rsidP="00E222F6">
      <w:pPr>
        <w:pStyle w:val="Numbered"/>
        <w:numPr>
          <w:ilvl w:val="0"/>
          <w:numId w:val="39"/>
        </w:numPr>
      </w:pPr>
      <w:r>
        <w:t xml:space="preserve">Identify opportunities to leverage unique strengths for economic benefit, including natural resource management, cultural tourism, art and design and food and hospitality. </w:t>
      </w:r>
    </w:p>
    <w:p w14:paraId="40C110A2" w14:textId="77777777" w:rsidR="00481FB1" w:rsidRDefault="00481FB1" w:rsidP="00E222F6">
      <w:pPr>
        <w:pStyle w:val="Numbered"/>
        <w:rPr>
          <w:spacing w:val="-2"/>
        </w:rPr>
      </w:pPr>
      <w:r>
        <w:rPr>
          <w:spacing w:val="-2"/>
        </w:rPr>
        <w:t xml:space="preserve">Pursue greater Aboriginal ownership of land to sustainably manage resources. The economic opportunities afforded through Joint Management Plans are one example of a way that caring for the land can have benefits across cultural, environmental and economic benefits. </w:t>
      </w:r>
    </w:p>
    <w:p w14:paraId="49A7F3B0" w14:textId="77777777" w:rsidR="00481FB1" w:rsidRDefault="00481FB1" w:rsidP="00E222F6">
      <w:pPr>
        <w:pStyle w:val="Numbered"/>
      </w:pPr>
      <w:r>
        <w:t xml:space="preserve">Enhance Aboriginal business growth and entrepreneurial activity, with a particular focus on partnerships with both Aboriginal and non-Aboriginal businesses, creation of employment opportunities and industries of interest and relevant to Aboriginal communities such as cultural tourism, creative arts, land management, food and hospitality, professional services and health. </w:t>
      </w:r>
    </w:p>
    <w:p w14:paraId="4B3C82CD" w14:textId="12FF3BB0" w:rsidR="00481FB1" w:rsidRDefault="00481FB1" w:rsidP="00E222F6">
      <w:pPr>
        <w:pStyle w:val="Numbered"/>
      </w:pPr>
      <w:r>
        <w:t xml:space="preserve">Pursue opportunities for greater Aboriginal participation in entrepreneurship and employment, particularly among youth, women and other vulnerable cohorts. </w:t>
      </w:r>
    </w:p>
    <w:p w14:paraId="7B839062" w14:textId="042D64D6" w:rsidR="00E222F6" w:rsidRDefault="00E222F6" w:rsidP="00E222F6">
      <w:r>
        <w:t>“A strong Aboriginal business sector is an important factor in empowering Aboriginal communities and contributes significantly to self-determination, wealth creation, and health and well-being… As businesses grow and develop, they allow the next generation of entrepreneurs to step forward. Over time, this strengthens the economic position of Aboriginal communities.</w:t>
      </w:r>
    </w:p>
    <w:p w14:paraId="18411CA8" w14:textId="1D83EE60" w:rsidR="00E222F6" w:rsidRDefault="00E222F6" w:rsidP="00E222F6">
      <w:r>
        <w:t>Fully participating in the economy provides Aboriginal Victorian with the resources they need to determine the future they want. Economic participation is therefore key to Aboriginal self-determination.”</w:t>
      </w:r>
    </w:p>
    <w:p w14:paraId="2456DFB2" w14:textId="14F51C05" w:rsidR="00E222F6" w:rsidRDefault="00E222F6" w:rsidP="00E222F6">
      <w:r>
        <w:t>Aboriginal Economic Development Strategy Gippsland; Building on the legacy, 2021, GLaWAC</w:t>
      </w:r>
    </w:p>
    <w:p w14:paraId="6B72C078" w14:textId="540760A5" w:rsidR="00481FB1" w:rsidRDefault="00481FB1" w:rsidP="00481FB1">
      <w:r>
        <w:t xml:space="preserve">Each strategic direction in the Gippsland REDS considers the relevance of that direction to local Aboriginal communities considering the above opportunities. </w:t>
      </w:r>
    </w:p>
    <w:p w14:paraId="2C4EBF2B" w14:textId="77777777" w:rsidR="00481FB1" w:rsidRDefault="00481FB1" w:rsidP="00481FB1">
      <w:r>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6408ACF6" w14:textId="362608EB" w:rsidR="00481FB1" w:rsidRDefault="00481FB1" w:rsidP="00481FB1">
      <w:pPr>
        <w:pStyle w:val="Heading2"/>
      </w:pPr>
      <w:bookmarkStart w:id="56" w:name="_Toc106189437"/>
      <w:bookmarkStart w:id="57" w:name="_Toc118405121"/>
      <w:r>
        <w:lastRenderedPageBreak/>
        <w:t>4.1</w:t>
      </w:r>
      <w:r w:rsidR="00902FA3">
        <w:t xml:space="preserve"> </w:t>
      </w:r>
      <w:r>
        <w:t>Maximise the role of the food and fibre industry in the local economy</w:t>
      </w:r>
      <w:bookmarkEnd w:id="56"/>
      <w:bookmarkEnd w:id="57"/>
      <w:r>
        <w:t xml:space="preserve"> </w:t>
      </w:r>
    </w:p>
    <w:p w14:paraId="3BE03920" w14:textId="6C30F8D5" w:rsidR="00481FB1" w:rsidRPr="00902FA3" w:rsidRDefault="00481FB1" w:rsidP="00902FA3">
      <w:pPr>
        <w:pStyle w:val="Heading3"/>
      </w:pPr>
      <w:bookmarkStart w:id="58" w:name="_Toc106189438"/>
      <w:r w:rsidRPr="00902FA3">
        <w:t>Significance</w:t>
      </w:r>
      <w:bookmarkEnd w:id="58"/>
    </w:p>
    <w:p w14:paraId="23FC5FB6" w14:textId="77777777" w:rsidR="00481FB1" w:rsidRDefault="00481FB1" w:rsidP="00C9364E">
      <w:pPr>
        <w:keepLines/>
      </w:pPr>
      <w:r>
        <w:t>The food and fibre industry is an important employer and export industry in Gippsland, with particular strengths in dairy, meat, horticulture, forestry and seafood, and includes a range of activities associated with primary production, processing, manufacturing and distribution. In Gippsland, 36 per cent of land is used for primary production while timber resources have supported a large timber industry. The region’s unique combination of natural assets, transport hubs, innovation centres and regional universities make it a location of choice for agri-food and fibre businesses. In the five years to 2020, over 6000 new businesses opened in the Gippsland region, with 16 per cent in the agriculture, forestry and fishing sector. Road and rail freight infrastructure connects Gippsland with Melbourne’s major export hubs and domestic markets in Melbourne, Canberra and Sydney, which will support ongoing market access.</w:t>
      </w:r>
    </w:p>
    <w:p w14:paraId="23F08FDA" w14:textId="77777777" w:rsidR="00481FB1" w:rsidRDefault="00481FB1" w:rsidP="00481FB1">
      <w:r>
        <w:t>Local leadership and stakeholder groups are committed to positioning the food and fibre industry as the backbone of Gippsland’s economy. The region is developing a unique food brand which provides significant opportunities to further capture consumer demand. The food and fibre sector is an inter-connected industry, with strong ties to the environment, manufacturing, and visitor experience, and significant potential for farmgate tourism growth.</w:t>
      </w:r>
    </w:p>
    <w:p w14:paraId="5ECB63A7" w14:textId="77777777" w:rsidR="00481FB1" w:rsidRDefault="00481FB1" w:rsidP="00481FB1">
      <w:r>
        <w:t xml:space="preserve">Recent environmental and economic shocks –including the 2019-20 summer bushfires, flood events, drought and dry seasonal conditions, industry transition and the COVID-19 pandemic –highlight the challenges facing the food and fibre industry and supply chains in the region. Innovation and continued supply chain collaboration will support the region to remain competitive and unlock future growth. </w:t>
      </w:r>
    </w:p>
    <w:p w14:paraId="16F07C4A" w14:textId="41E316F3" w:rsidR="00902FA3" w:rsidRPr="00902FA3" w:rsidRDefault="00902FA3" w:rsidP="00902FA3">
      <w:pPr>
        <w:rPr>
          <w:b/>
          <w:bCs/>
        </w:rPr>
      </w:pPr>
      <w:r w:rsidRPr="00902FA3">
        <w:rPr>
          <w:b/>
          <w:bCs/>
        </w:rPr>
        <w:t>Gippsland farms produce</w:t>
      </w:r>
      <w:r w:rsidRPr="00902FA3">
        <w:rPr>
          <w:rStyle w:val="FootnoteReference"/>
          <w:b/>
          <w:bCs/>
        </w:rPr>
        <w:footnoteReference w:id="15"/>
      </w:r>
    </w:p>
    <w:p w14:paraId="34E11886" w14:textId="7ADE56B4" w:rsidR="00902FA3" w:rsidRDefault="00902FA3" w:rsidP="00902FA3">
      <w:pPr>
        <w:pStyle w:val="Bullet"/>
      </w:pPr>
      <w:r>
        <w:t>28.6% of Victoria’s dairy</w:t>
      </w:r>
    </w:p>
    <w:p w14:paraId="73AA6645" w14:textId="11DC46BC" w:rsidR="00902FA3" w:rsidRDefault="00902FA3" w:rsidP="00902FA3">
      <w:pPr>
        <w:pStyle w:val="Bullet"/>
      </w:pPr>
      <w:r>
        <w:t>23.4% of Victoria’s beef</w:t>
      </w:r>
    </w:p>
    <w:p w14:paraId="3BBAE61E" w14:textId="2A0E5CF7" w:rsidR="00481FB1" w:rsidRDefault="00902FA3" w:rsidP="00902FA3">
      <w:pPr>
        <w:pStyle w:val="Bulletlast"/>
      </w:pPr>
      <w:r>
        <w:t>19.0% of Victoria’s vegetables</w:t>
      </w:r>
    </w:p>
    <w:p w14:paraId="01D9F581" w14:textId="2CF370D6" w:rsidR="00481FB1" w:rsidRPr="00902FA3" w:rsidRDefault="00481FB1" w:rsidP="00902FA3">
      <w:pPr>
        <w:pStyle w:val="Heading3"/>
      </w:pPr>
      <w:bookmarkStart w:id="59" w:name="_Toc106189439"/>
      <w:r w:rsidRPr="00902FA3">
        <w:t>Opportunities</w:t>
      </w:r>
      <w:bookmarkEnd w:id="59"/>
    </w:p>
    <w:p w14:paraId="21ABF94E" w14:textId="77777777" w:rsidR="00481FB1" w:rsidRDefault="00481FB1" w:rsidP="00481FB1">
      <w:pPr>
        <w:pStyle w:val="Heading4"/>
      </w:pPr>
      <w:r>
        <w:t xml:space="preserve">Food and fibre innovation ecosystems </w:t>
      </w:r>
    </w:p>
    <w:p w14:paraId="5D87FBF4" w14:textId="77777777" w:rsidR="00481FB1" w:rsidRDefault="00481FB1" w:rsidP="00481FB1">
      <w:r>
        <w:t xml:space="preserve">Gippsland has the tools to activate a food and fibre innovation ecosystem to translate innovative ideas into commercial adoption. This will involve bringing together actors across the supply chain to address practical issues and identify new opportunities, including enhanced local value-adding, input efficiency measures and climate change adaptation and mitigation activities. </w:t>
      </w:r>
    </w:p>
    <w:p w14:paraId="44D9AF95" w14:textId="77777777" w:rsidR="00481FB1" w:rsidRDefault="00481FB1" w:rsidP="00481FB1">
      <w:pPr>
        <w:pStyle w:val="Bullet"/>
        <w:numPr>
          <w:ilvl w:val="0"/>
          <w:numId w:val="35"/>
        </w:numPr>
        <w:spacing w:after="160"/>
      </w:pPr>
      <w:r>
        <w:rPr>
          <w:rStyle w:val="Bodysemibold"/>
        </w:rPr>
        <w:lastRenderedPageBreak/>
        <w:t>On-farm innovation:</w:t>
      </w:r>
      <w:r>
        <w:t xml:space="preserve"> adoption of the Internet of Things (IoT) and other technologies will enhance remote monitoring and decision making.</w:t>
      </w:r>
    </w:p>
    <w:p w14:paraId="6E31CF34" w14:textId="123C94B1" w:rsidR="00481FB1" w:rsidRDefault="00481FB1" w:rsidP="00481FB1">
      <w:pPr>
        <w:pStyle w:val="Bullet"/>
        <w:numPr>
          <w:ilvl w:val="0"/>
          <w:numId w:val="35"/>
        </w:numPr>
        <w:spacing w:after="160"/>
      </w:pPr>
      <w:r>
        <w:rPr>
          <w:rStyle w:val="Bodysemibold"/>
        </w:rPr>
        <w:t xml:space="preserve">Research and development: </w:t>
      </w:r>
      <w:r>
        <w:t xml:space="preserve">local innovation precincts will be critical to active collaboration across primary production industry clusters, processors, skilled workers and researchers. This includes the Ellinbank SmartFarm, research institutions, Food &amp;Fibre Gippsland, the Hi-Tech Precinct Gippsland, Gippsland Agriculture Group, and Morwell Food Manufacturing Precinct. </w:t>
      </w:r>
    </w:p>
    <w:p w14:paraId="07E6E333" w14:textId="77777777" w:rsidR="00481FB1" w:rsidRDefault="00481FB1" w:rsidP="00902FA3">
      <w:pPr>
        <w:pStyle w:val="Bulletlast"/>
      </w:pPr>
      <w:r>
        <w:rPr>
          <w:rStyle w:val="Bodysemibold"/>
        </w:rPr>
        <w:t xml:space="preserve">Attracting and training skilled people: </w:t>
      </w:r>
      <w:r>
        <w:t xml:space="preserve">highlighting job opportunities and career pathways in the food and fibre sector by industry and Federation University and TAFE Gippsland will be critical to attract, train and retain skilled workers. </w:t>
      </w:r>
    </w:p>
    <w:p w14:paraId="7AF346F7" w14:textId="77777777" w:rsidR="00481FB1" w:rsidRDefault="00481FB1" w:rsidP="00481FB1">
      <w:pPr>
        <w:pStyle w:val="Heading4"/>
      </w:pPr>
      <w:r>
        <w:t xml:space="preserve">Developing future industries </w:t>
      </w:r>
    </w:p>
    <w:p w14:paraId="61F67946" w14:textId="77777777" w:rsidR="00481FB1" w:rsidRDefault="00481FB1" w:rsidP="00481FB1">
      <w:r>
        <w:t>Dairy, livestock, forestry and the associated processing activities are the traditional strengths of the Gippsland region. There are opportunities for the region to build on existing strengths to deliver innovative new value-added food and fibre products that create new markets, enhance resource efficiency and minimise waste. These opportunities include:</w:t>
      </w:r>
    </w:p>
    <w:p w14:paraId="479762E6" w14:textId="77777777" w:rsidR="00481FB1" w:rsidRDefault="00481FB1" w:rsidP="00481FB1">
      <w:pPr>
        <w:pStyle w:val="Bullet"/>
        <w:numPr>
          <w:ilvl w:val="0"/>
          <w:numId w:val="35"/>
        </w:numPr>
        <w:spacing w:after="160"/>
      </w:pPr>
      <w:r>
        <w:t>Supporting the growing horticultural industry to specialise in niche and high value products such as olives, garlic, saffron and truffles.</w:t>
      </w:r>
    </w:p>
    <w:p w14:paraId="15B9DDAF" w14:textId="69C9709B" w:rsidR="00481FB1" w:rsidRDefault="00481FB1" w:rsidP="00481FB1">
      <w:pPr>
        <w:pStyle w:val="Bullet"/>
        <w:numPr>
          <w:ilvl w:val="0"/>
          <w:numId w:val="35"/>
        </w:numPr>
        <w:spacing w:after="160"/>
      </w:pPr>
      <w:r>
        <w:t>Accelerating dairy innovation in specialised and high-value products such as organic and biodynamic milk, cheese, butter and other dairy goods.</w:t>
      </w:r>
    </w:p>
    <w:p w14:paraId="167A4B08" w14:textId="77777777" w:rsidR="00481FB1" w:rsidRDefault="00481FB1" w:rsidP="00481FB1">
      <w:pPr>
        <w:pStyle w:val="Bullet"/>
        <w:numPr>
          <w:ilvl w:val="0"/>
          <w:numId w:val="35"/>
        </w:numPr>
        <w:spacing w:after="160"/>
      </w:pPr>
      <w:r>
        <w:t>Building on existing paper manufacturing capabilities to capitalise on demand for alternative sustainable packaging in the transition away from single-use plastic in hospitality and other industries.</w:t>
      </w:r>
    </w:p>
    <w:p w14:paraId="6C9D3E2E" w14:textId="77777777" w:rsidR="00481FB1" w:rsidRDefault="00481FB1" w:rsidP="00481FB1">
      <w:pPr>
        <w:pStyle w:val="Bullet"/>
        <w:numPr>
          <w:ilvl w:val="0"/>
          <w:numId w:val="35"/>
        </w:numPr>
        <w:spacing w:after="160"/>
      </w:pPr>
      <w:r>
        <w:t xml:space="preserve">Growing products for the pharmaceutical industry and developing a plantation value chain within the health sector. </w:t>
      </w:r>
    </w:p>
    <w:p w14:paraId="67676777" w14:textId="16539537" w:rsidR="00481FB1" w:rsidRDefault="00481FB1" w:rsidP="00902FA3">
      <w:pPr>
        <w:pStyle w:val="Bulletlast"/>
      </w:pPr>
      <w:r>
        <w:t xml:space="preserve">Plant-based protein is another potential growth area and provides opportunities for the horticulture growers in the region. </w:t>
      </w:r>
    </w:p>
    <w:p w14:paraId="04F92AB5" w14:textId="77777777" w:rsidR="00481FB1" w:rsidRDefault="00481FB1" w:rsidP="00481FB1">
      <w:pPr>
        <w:pStyle w:val="Heading4"/>
      </w:pPr>
      <w:r>
        <w:t xml:space="preserve">Circular economy </w:t>
      </w:r>
    </w:p>
    <w:p w14:paraId="65E81980" w14:textId="77777777" w:rsidR="00481FB1" w:rsidRDefault="00481FB1" w:rsidP="00481FB1">
      <w:r>
        <w:t>Firms in Gippsland’s timber, paper and horticultural industries are already generating bioenergy on-site to power their operations. The food and fibre industry across Gippsland creates organic waste that offers further resource recovery and value-adding opportunities. This includes developing higher order products and markets from food and garden organics and bioenergy. With growing expertise in resource recovery, there may also be further opportunities to expand services into metropolitan Melbourne or other parts of Victoria.</w:t>
      </w:r>
    </w:p>
    <w:p w14:paraId="3C6C5AF7" w14:textId="10861D8C" w:rsidR="00481FB1" w:rsidRPr="00902FA3" w:rsidRDefault="00481FB1" w:rsidP="00902FA3">
      <w:pPr>
        <w:pStyle w:val="Heading3"/>
      </w:pPr>
      <w:bookmarkStart w:id="60" w:name="_Toc106189440"/>
      <w:r w:rsidRPr="00902FA3">
        <w:t>Challenges</w:t>
      </w:r>
      <w:bookmarkEnd w:id="60"/>
    </w:p>
    <w:p w14:paraId="23EA9950" w14:textId="77777777" w:rsidR="00481FB1" w:rsidRDefault="00481FB1" w:rsidP="00481FB1">
      <w:pPr>
        <w:pStyle w:val="Heading4"/>
      </w:pPr>
      <w:r>
        <w:t xml:space="preserve">Climate change and environmental shocks </w:t>
      </w:r>
    </w:p>
    <w:p w14:paraId="7A0854E5" w14:textId="77777777" w:rsidR="00481FB1" w:rsidRDefault="00481FB1" w:rsidP="00481FB1">
      <w:r>
        <w:t xml:space="preserve">The region faces an increasing frequency of adverse weather and variable conditions. Drought and dry conditions, flooding and bushfire events have recently disrupted production across Gippsland. Climate change is predicted to put pressure </w:t>
      </w:r>
      <w:r>
        <w:lastRenderedPageBreak/>
        <w:t xml:space="preserve">on infrastructure, influence water availability and limit production yields and output quality. However, some parts of Gippsland may be less adversely affected by climate change, and could as a result play an increasingly significant role as food and fibre producers in the State.  </w:t>
      </w:r>
    </w:p>
    <w:p w14:paraId="2CADD64B" w14:textId="7DC0463F" w:rsidR="00481FB1" w:rsidRPr="00E057C7" w:rsidRDefault="00902FA3" w:rsidP="00481FB1">
      <w:pPr>
        <w:rPr>
          <w:b/>
          <w:bCs/>
        </w:rPr>
      </w:pPr>
      <w:r w:rsidRPr="00E057C7">
        <w:rPr>
          <w:b/>
          <w:bCs/>
        </w:rPr>
        <w:t>By 2050s</w:t>
      </w:r>
      <w:r w:rsidR="00E057C7" w:rsidRPr="00E057C7">
        <w:rPr>
          <w:rStyle w:val="FootnoteReference"/>
          <w:b/>
          <w:bCs/>
        </w:rPr>
        <w:footnoteReference w:id="16"/>
      </w:r>
    </w:p>
    <w:p w14:paraId="6135CF3D" w14:textId="5DE99DEF" w:rsidR="00E057C7" w:rsidRDefault="00E057C7" w:rsidP="00E057C7">
      <w:pPr>
        <w:pStyle w:val="Bullet"/>
      </w:pPr>
      <w:r>
        <w:t xml:space="preserve">Median temperatures could rise by 2.0°C </w:t>
      </w:r>
    </w:p>
    <w:p w14:paraId="685C3B69" w14:textId="27A68D71" w:rsidR="00E057C7" w:rsidRDefault="00E057C7" w:rsidP="00E057C7">
      <w:pPr>
        <w:pStyle w:val="Bullet"/>
      </w:pPr>
      <w:r>
        <w:t xml:space="preserve">Decline in average spring rainfall by 19% </w:t>
      </w:r>
    </w:p>
    <w:p w14:paraId="727B672F" w14:textId="77777777" w:rsidR="00E057C7" w:rsidRDefault="00E057C7" w:rsidP="00F5289F">
      <w:pPr>
        <w:pStyle w:val="Bullet"/>
      </w:pPr>
      <w:r>
        <w:t>Sea levels could rise 24 cm in Inverloch</w:t>
      </w:r>
    </w:p>
    <w:p w14:paraId="2402D3E3" w14:textId="03326905" w:rsidR="00481FB1" w:rsidRDefault="00E057C7" w:rsidP="00E057C7">
      <w:pPr>
        <w:pStyle w:val="Bulletlast"/>
      </w:pPr>
      <w:r>
        <w:t>11.5 days Extreme heat days (over 35°C) in Bairnsdale.</w:t>
      </w:r>
    </w:p>
    <w:p w14:paraId="1B8780BC" w14:textId="77777777" w:rsidR="00481FB1" w:rsidRDefault="00481FB1" w:rsidP="00481FB1">
      <w:pPr>
        <w:pStyle w:val="Heading4"/>
      </w:pPr>
      <w:r>
        <w:t>Transport connectivity</w:t>
      </w:r>
    </w:p>
    <w:p w14:paraId="38627AE6" w14:textId="77777777" w:rsidR="00481FB1" w:rsidRDefault="00481FB1" w:rsidP="00481FB1">
      <w:r>
        <w:t>Gippsland has diverse and vast landscapes which poses challenges to regional connectivity. Transport connectivity is critical to support worker mobility and market access. While Gippsland has strong connections to Melbourne, Sydney and other centres via road, parts of Gippsland are relatively distant from Melbourne’s airport and deep-water ports. Further investments in intermodal facilities, rail freight, efficient transport links and greater utilisation of regional airport and ports would help to bolster regional connectivity.</w:t>
      </w:r>
    </w:p>
    <w:p w14:paraId="351191C9" w14:textId="77777777" w:rsidR="00481FB1" w:rsidRDefault="00481FB1" w:rsidP="00481FB1">
      <w:pPr>
        <w:pStyle w:val="Heading4"/>
      </w:pPr>
      <w:r>
        <w:t xml:space="preserve">Forestry transition </w:t>
      </w:r>
    </w:p>
    <w:p w14:paraId="7E12A9C0" w14:textId="77777777" w:rsidR="00481FB1" w:rsidRDefault="00481FB1" w:rsidP="00481FB1">
      <w:r>
        <w:t xml:space="preserve">Gippsland’s extensive areas of native forests provide high quality sawlogs for over 11 hardwood sawmills in Gippsland, the Yarra Valley and Opal Australian’s Paper’s paper mill in Maryvale. The Victorian Government’s </w:t>
      </w:r>
      <w:r>
        <w:rPr>
          <w:rStyle w:val="bodyitalics"/>
        </w:rPr>
        <w:t xml:space="preserve">Victorian Forestry Plan </w:t>
      </w:r>
      <w:r>
        <w:t xml:space="preserve">is transitioning the timber industry to one that is wholly plantation-based by 2030. The Plan provides a variety of measures for businesses, workers and communities to support them through the transition and minimise significant risks to local jobs, loss of skills and community cohesion. </w:t>
      </w:r>
    </w:p>
    <w:p w14:paraId="2D0733DF" w14:textId="00ADDFD8" w:rsidR="00481FB1" w:rsidRDefault="00481FB1" w:rsidP="00481FB1">
      <w:r>
        <w:t>Since the release of the Plan in 2019, the focus has been on helping businesses plan for the transition and supporting businesses to trial innovative ideas. There are several worker transition support services which will focus on financial support for displaced workers, mental health and wellbeing support, training and assistance in seeking new job opportunities.</w:t>
      </w:r>
    </w:p>
    <w:p w14:paraId="085DB514" w14:textId="77777777" w:rsidR="00481FB1" w:rsidRDefault="00481FB1" w:rsidP="00481FB1">
      <w:r>
        <w:t>Alongside the business support, funding is available for six Gippsland communities to prepare local development strategies helping affected communities to transition to new, sustainable industries and preparing project plans ready for government and private investment. Funding will be available from 2022 to assist businesses create jobs in the affected communities, aligning with the outcomes of the local development strategies.</w:t>
      </w:r>
    </w:p>
    <w:p w14:paraId="0D01CE48" w14:textId="32EFAE71" w:rsidR="00481FB1" w:rsidRPr="00E057C7" w:rsidRDefault="00481FB1" w:rsidP="00E057C7">
      <w:pPr>
        <w:pStyle w:val="Heading3"/>
      </w:pPr>
      <w:bookmarkStart w:id="61" w:name="_Toc106189441"/>
      <w:r w:rsidRPr="00E057C7">
        <w:lastRenderedPageBreak/>
        <w:t>The policy environment</w:t>
      </w:r>
      <w:bookmarkEnd w:id="61"/>
    </w:p>
    <w:p w14:paraId="19534938" w14:textId="77777777" w:rsidR="00481FB1" w:rsidRDefault="00481FB1" w:rsidP="00481FB1">
      <w:r>
        <w:t xml:space="preserve">Gippsland’s industry body, Food &amp; Fibre Gippsland, advocates for a growth target for the sector of 5 per cent per annum to 2025 with a focus on increasing the quantity of food production, value add through manufacturing and logistics, research and innovation and export market growth. </w:t>
      </w:r>
    </w:p>
    <w:p w14:paraId="2B2CB180" w14:textId="3003F3E0" w:rsidR="00481FB1" w:rsidRDefault="00481FB1" w:rsidP="00390091">
      <w:pPr>
        <w:pStyle w:val="Normalbeforebullet"/>
      </w:pPr>
      <w:r>
        <w:t xml:space="preserve">Strengthening the food and fibre sector in Gippsland is closely aligned with national, state and local priorities. In particular: </w:t>
      </w:r>
    </w:p>
    <w:p w14:paraId="6CA25244" w14:textId="77777777" w:rsidR="00481FB1" w:rsidRDefault="00481FB1" w:rsidP="00481FB1">
      <w:pPr>
        <w:pStyle w:val="Bullet"/>
        <w:numPr>
          <w:ilvl w:val="0"/>
          <w:numId w:val="35"/>
        </w:numPr>
        <w:spacing w:after="160"/>
      </w:pPr>
      <w:r>
        <w:t xml:space="preserve">The Australian Government’s </w:t>
      </w:r>
      <w:r>
        <w:rPr>
          <w:rStyle w:val="bodyitalics"/>
        </w:rPr>
        <w:t>Make it Happen – The Australian Government Modern Manufacturing Strategy</w:t>
      </w:r>
      <w:r>
        <w:t xml:space="preserve"> and the Victorian Government’s Food and Fibre Sector Strategy both highlight that food and beverage manufacturing is a priority industry.</w:t>
      </w:r>
    </w:p>
    <w:p w14:paraId="2A3AE195" w14:textId="22AFB583" w:rsidR="00481FB1" w:rsidRDefault="00481FB1" w:rsidP="00481FB1">
      <w:pPr>
        <w:pStyle w:val="Bullet"/>
        <w:numPr>
          <w:ilvl w:val="0"/>
          <w:numId w:val="35"/>
        </w:numPr>
        <w:spacing w:after="160"/>
      </w:pPr>
      <w:r>
        <w:t xml:space="preserve">The Australian Government’s </w:t>
      </w:r>
      <w:r>
        <w:rPr>
          <w:rStyle w:val="bodyitalics"/>
        </w:rPr>
        <w:t xml:space="preserve">Agriculture Workforce Strategy and Roadmap </w:t>
      </w:r>
      <w:r>
        <w:t>details the plan to attract, retain, upskill and modernise the agriculture workforce.</w:t>
      </w:r>
    </w:p>
    <w:p w14:paraId="2FECD3BE" w14:textId="49D333F6" w:rsidR="00481FB1" w:rsidRDefault="00481FB1" w:rsidP="00481FB1">
      <w:pPr>
        <w:pStyle w:val="Bullet"/>
        <w:numPr>
          <w:ilvl w:val="0"/>
          <w:numId w:val="35"/>
        </w:numPr>
        <w:spacing w:after="160"/>
      </w:pPr>
      <w:r>
        <w:t xml:space="preserve">The Victorian Government’s </w:t>
      </w:r>
      <w:r>
        <w:rPr>
          <w:rStyle w:val="bodyitalics"/>
        </w:rPr>
        <w:t>Stronger, innovative, sustainable: A new strategy for agriculture in Victoria</w:t>
      </w:r>
      <w:r>
        <w:t xml:space="preserve"> focuses on themes of recovery, growth, modernisation, biosecurity and promotion in the agriculture industry. </w:t>
      </w:r>
    </w:p>
    <w:p w14:paraId="2B83E5DC" w14:textId="77777777" w:rsidR="00481FB1" w:rsidRDefault="00481FB1" w:rsidP="00481FB1">
      <w:pPr>
        <w:pStyle w:val="Bullet"/>
        <w:numPr>
          <w:ilvl w:val="0"/>
          <w:numId w:val="35"/>
        </w:numPr>
        <w:spacing w:after="160"/>
      </w:pPr>
      <w:r>
        <w:t xml:space="preserve">The Latrobe Valley Authority’s Smart Specialisation work, which identifies food and fibre as one of Gippsland’s identified future growth industries. </w:t>
      </w:r>
    </w:p>
    <w:p w14:paraId="7E15E77C" w14:textId="77777777" w:rsidR="00481FB1" w:rsidRDefault="00481FB1" w:rsidP="00481FB1">
      <w:pPr>
        <w:pStyle w:val="Bullet"/>
        <w:numPr>
          <w:ilvl w:val="0"/>
          <w:numId w:val="35"/>
        </w:numPr>
        <w:spacing w:after="160"/>
      </w:pPr>
      <w:r>
        <w:t xml:space="preserve">The </w:t>
      </w:r>
      <w:r>
        <w:rPr>
          <w:rStyle w:val="bodyitalics"/>
        </w:rPr>
        <w:t>Gippsland Regional Plan 2020-25</w:t>
      </w:r>
      <w:r>
        <w:t xml:space="preserve"> highlights encouraging innovation and investment to sustainably grow key industries, including food and fibre, as a ‘game changer’ priority.</w:t>
      </w:r>
    </w:p>
    <w:p w14:paraId="295E7397" w14:textId="77777777" w:rsidR="00481FB1" w:rsidRDefault="00481FB1" w:rsidP="00481FB1">
      <w:pPr>
        <w:pStyle w:val="Bullet"/>
        <w:numPr>
          <w:ilvl w:val="0"/>
          <w:numId w:val="35"/>
        </w:numPr>
        <w:spacing w:after="160"/>
      </w:pPr>
      <w:r>
        <w:t xml:space="preserve">The Gippsland Regional Partnership’s 2019 report </w:t>
      </w:r>
      <w:r>
        <w:rPr>
          <w:rStyle w:val="bodyitalics"/>
        </w:rPr>
        <w:t xml:space="preserve">Accelerating growth for the Gippsland food and fibre industry </w:t>
      </w:r>
      <w:r>
        <w:t>which seeks to position food and fibre as the backbone of Gippsland’s economy by focusing on innovation, future industries, connectivity, sustainable resource management and industry leadership.</w:t>
      </w:r>
    </w:p>
    <w:p w14:paraId="27851EEE" w14:textId="66362216" w:rsidR="00481FB1" w:rsidRDefault="00481FB1" w:rsidP="00E057C7">
      <w:pPr>
        <w:pStyle w:val="Bulletlast"/>
      </w:pPr>
      <w:r>
        <w:t xml:space="preserve">Victoria’s </w:t>
      </w:r>
      <w:r>
        <w:rPr>
          <w:rStyle w:val="bodyitalics"/>
        </w:rPr>
        <w:t xml:space="preserve">Recycling Victoria: A new economy </w:t>
      </w:r>
      <w:r>
        <w:t>is the state’s circular economy policy and 10- year action plan to reduce waste and pollution and improve recycling in a way which delivers economic benefit.</w:t>
      </w:r>
    </w:p>
    <w:p w14:paraId="5D239E5D" w14:textId="297106A3" w:rsidR="00481FB1" w:rsidRDefault="00481FB1" w:rsidP="00481FB1">
      <w:r>
        <w:t>The Victorian Government is taking action to reduce Victoria’s emissions to net zero by 2050 and build resilient communities prepared to adapt to the impacts of climate change. Further development of Gippsland’s food and fibre industry will be shaped by the sector pledges which outline the actions to cut emissions from each sector, including in agriculture, energy, industrial processes, land use, transport and waste.</w:t>
      </w:r>
    </w:p>
    <w:p w14:paraId="3A7F35FE" w14:textId="0C7AFD8E" w:rsidR="00481FB1" w:rsidRPr="00E057C7" w:rsidRDefault="00481FB1" w:rsidP="00E057C7">
      <w:pPr>
        <w:pStyle w:val="Heading3"/>
      </w:pPr>
      <w:bookmarkStart w:id="62" w:name="_Toc106189442"/>
      <w:r w:rsidRPr="00E057C7">
        <w:t>Aboriginal inclusion</w:t>
      </w:r>
      <w:bookmarkEnd w:id="62"/>
    </w:p>
    <w:p w14:paraId="3D4733CE" w14:textId="77777777" w:rsidR="00481FB1" w:rsidRDefault="00481FB1" w:rsidP="00481FB1">
      <w:r>
        <w:rPr>
          <w:spacing w:val="-2"/>
        </w:rPr>
        <w:t xml:space="preserve">This strategic direction aligns with the Aboriginal economic opportunity to identify opportunities to leverage unique strengths for economic benefit, including natural resource management and food and hospitality. There is an opportunity to consider initiatives to increase Aboriginal representation in the food and fibre sector, including through initiatives led by the GLaWAC to investigate Aboriginal enterprise opportunities and forestry management. Food and fibre investments should consider the needs of Traditional Owners and Aboriginal communities and any potential land use conflicts. </w:t>
      </w:r>
    </w:p>
    <w:p w14:paraId="3114CAF6" w14:textId="1A04D17A" w:rsidR="00481FB1" w:rsidRPr="00E057C7" w:rsidRDefault="00481FB1" w:rsidP="00E057C7">
      <w:pPr>
        <w:pStyle w:val="Heading3"/>
      </w:pPr>
      <w:bookmarkStart w:id="63" w:name="_Toc106189443"/>
      <w:r w:rsidRPr="00E057C7">
        <w:lastRenderedPageBreak/>
        <w:t>How can we unlock this strategic direction?</w:t>
      </w:r>
      <w:bookmarkEnd w:id="63"/>
    </w:p>
    <w:p w14:paraId="05BB12C4" w14:textId="45E4ED84" w:rsidR="00481FB1" w:rsidRDefault="00481FB1" w:rsidP="00390091">
      <w:pPr>
        <w:pStyle w:val="Normalbeforebullet"/>
      </w:pPr>
      <w:r>
        <w:t>To unlock this opportunity and drive growth, local, State and Commonwealth partners could work together to:</w:t>
      </w:r>
    </w:p>
    <w:p w14:paraId="74CBA30B" w14:textId="7A78C3A1" w:rsidR="00481FB1" w:rsidRDefault="00481FB1" w:rsidP="00481FB1">
      <w:pPr>
        <w:pStyle w:val="Bullet"/>
        <w:numPr>
          <w:ilvl w:val="0"/>
          <w:numId w:val="35"/>
        </w:numPr>
        <w:spacing w:after="160"/>
      </w:pPr>
      <w:r>
        <w:t>Maintain and build Gippsland’s unique brand and reputation for clean, safe and nutritious food.</w:t>
      </w:r>
    </w:p>
    <w:p w14:paraId="433AE5E4" w14:textId="77777777" w:rsidR="00481FB1" w:rsidRDefault="00481FB1" w:rsidP="00481FB1">
      <w:pPr>
        <w:pStyle w:val="Bullet"/>
        <w:numPr>
          <w:ilvl w:val="0"/>
          <w:numId w:val="35"/>
        </w:numPr>
        <w:spacing w:after="160"/>
      </w:pPr>
      <w:r>
        <w:t xml:space="preserve">Take advantage of existing funding and incentives in place to support new or expanding food and fibre enterprises. </w:t>
      </w:r>
    </w:p>
    <w:p w14:paraId="45923046" w14:textId="77777777" w:rsidR="00481FB1" w:rsidRDefault="00481FB1" w:rsidP="00481FB1">
      <w:pPr>
        <w:pStyle w:val="Bullet"/>
        <w:numPr>
          <w:ilvl w:val="0"/>
          <w:numId w:val="35"/>
        </w:numPr>
        <w:spacing w:after="160"/>
      </w:pPr>
      <w:r>
        <w:t xml:space="preserve">Support collaboration across industry, government, community and research institutions to enhance innovation that strengthens the capacity of Gippsland’s food and fibre industry. </w:t>
      </w:r>
    </w:p>
    <w:p w14:paraId="1452BC1B" w14:textId="77777777" w:rsidR="00481FB1" w:rsidRDefault="00481FB1" w:rsidP="00481FB1">
      <w:pPr>
        <w:pStyle w:val="Bullet"/>
        <w:numPr>
          <w:ilvl w:val="0"/>
          <w:numId w:val="35"/>
        </w:numPr>
        <w:spacing w:after="160"/>
      </w:pPr>
      <w:r>
        <w:t>Improve awareness of new and emerging opportunities associated with the circular economy, new technologies and niche industries.</w:t>
      </w:r>
    </w:p>
    <w:p w14:paraId="45072702" w14:textId="77777777" w:rsidR="00481FB1" w:rsidRDefault="00481FB1" w:rsidP="00481FB1">
      <w:pPr>
        <w:pStyle w:val="Bullet"/>
        <w:numPr>
          <w:ilvl w:val="0"/>
          <w:numId w:val="35"/>
        </w:numPr>
        <w:spacing w:after="160"/>
      </w:pPr>
      <w:r>
        <w:t>Support continued implementation of the Victorian Forestry Plan, including opportunities for an ongoing sustainable plantation industry in Gippsland and community transition.</w:t>
      </w:r>
    </w:p>
    <w:p w14:paraId="3E705157" w14:textId="77777777" w:rsidR="00481FB1" w:rsidRDefault="00481FB1" w:rsidP="00481FB1">
      <w:pPr>
        <w:pStyle w:val="Bullet"/>
        <w:numPr>
          <w:ilvl w:val="0"/>
          <w:numId w:val="35"/>
        </w:numPr>
        <w:spacing w:after="160"/>
      </w:pPr>
      <w:r>
        <w:t>Ensure local producers are engaged in local, State and national conversations about climate change adaptation and mitigation practices in the agriculture and manufacturing sectors.</w:t>
      </w:r>
    </w:p>
    <w:p w14:paraId="75ED59BC" w14:textId="4970E45C" w:rsidR="00481FB1" w:rsidRDefault="00481FB1" w:rsidP="00481FB1">
      <w:pPr>
        <w:pStyle w:val="Bullet"/>
        <w:numPr>
          <w:ilvl w:val="0"/>
          <w:numId w:val="35"/>
        </w:numPr>
        <w:spacing w:after="160"/>
      </w:pPr>
      <w:r>
        <w:t xml:space="preserve">Advocate for improved connectivity to support digital capabilities, worker mobility and market access. </w:t>
      </w:r>
    </w:p>
    <w:p w14:paraId="2D98670D" w14:textId="77777777" w:rsidR="00481FB1" w:rsidRDefault="00481FB1" w:rsidP="00481FB1">
      <w:pPr>
        <w:pStyle w:val="Bullet"/>
        <w:numPr>
          <w:ilvl w:val="0"/>
          <w:numId w:val="35"/>
        </w:numPr>
        <w:spacing w:after="160"/>
      </w:pPr>
      <w:r>
        <w:t xml:space="preserve">Encourage and promote a consistent uptake and application of best practices in agriculture. </w:t>
      </w:r>
    </w:p>
    <w:p w14:paraId="4AB62AF9" w14:textId="77777777" w:rsidR="00481FB1" w:rsidRDefault="00481FB1" w:rsidP="00E057C7">
      <w:pPr>
        <w:pStyle w:val="Bulletlast"/>
      </w:pPr>
      <w:r>
        <w:t xml:space="preserve">Support investment to access appropriate water resources for food production. </w:t>
      </w:r>
    </w:p>
    <w:p w14:paraId="499B76B6" w14:textId="09EB0E66" w:rsidR="00481FB1" w:rsidRDefault="00481FB1" w:rsidP="00481FB1">
      <w:pPr>
        <w:pStyle w:val="Heading2"/>
      </w:pPr>
      <w:bookmarkStart w:id="64" w:name="_Toc106189444"/>
      <w:bookmarkStart w:id="65" w:name="_Toc118405122"/>
      <w:r>
        <w:t>4.2</w:t>
      </w:r>
      <w:r w:rsidR="00E057C7">
        <w:t xml:space="preserve"> </w:t>
      </w:r>
      <w:r>
        <w:t>Accelerate advanced manufacturing capabilities</w:t>
      </w:r>
      <w:r w:rsidR="00E057C7">
        <w:t xml:space="preserve"> </w:t>
      </w:r>
      <w:r>
        <w:t>in the region</w:t>
      </w:r>
      <w:bookmarkEnd w:id="64"/>
      <w:bookmarkEnd w:id="65"/>
    </w:p>
    <w:p w14:paraId="6C25FF4D" w14:textId="1994123C" w:rsidR="00481FB1" w:rsidRPr="00E057C7" w:rsidRDefault="00481FB1" w:rsidP="00E057C7">
      <w:pPr>
        <w:pStyle w:val="Heading3"/>
      </w:pPr>
      <w:bookmarkStart w:id="66" w:name="_Toc106189445"/>
      <w:r w:rsidRPr="00E057C7">
        <w:t>Significance</w:t>
      </w:r>
      <w:bookmarkEnd w:id="66"/>
    </w:p>
    <w:p w14:paraId="08C02F5A" w14:textId="77777777" w:rsidR="00481FB1" w:rsidRDefault="00481FB1" w:rsidP="00481FB1">
      <w:r>
        <w:t xml:space="preserve">The Gippsland region has a long tradition in manufacturing including the production of food, energy, pulp and paper, high-tech machinery and aircraft. Significant transport infrastructure—including major highways, railways and regional airports—connect the region’s manufacturers with consumers across Australia and internationally. International exports of manufactured goods have continued to grow since 2016, primarily driven by food and fibre product manufacturing. </w:t>
      </w:r>
    </w:p>
    <w:p w14:paraId="4FE54545" w14:textId="00D4EF2F" w:rsidR="00481FB1" w:rsidRDefault="00481FB1" w:rsidP="00481FB1">
      <w:r>
        <w:t xml:space="preserve">Despite declines in the manufacturing sector over the past decade, Gippsland is seeing a resurgence of manufacturing, with output and employment growth outpacing state averages. Local stakeholders are focused on encouraging innovation and investment to sustainably grow the advanced manufacturing sector. </w:t>
      </w:r>
    </w:p>
    <w:p w14:paraId="5CF55B5C" w14:textId="03E898BF" w:rsidR="00481FB1" w:rsidRPr="00E30EAC" w:rsidRDefault="00481FB1" w:rsidP="00E30EAC">
      <w:pPr>
        <w:pStyle w:val="Heading3"/>
      </w:pPr>
      <w:bookmarkStart w:id="67" w:name="_Toc106189446"/>
      <w:r w:rsidRPr="00E30EAC">
        <w:lastRenderedPageBreak/>
        <w:t>Opportunities</w:t>
      </w:r>
      <w:bookmarkEnd w:id="67"/>
    </w:p>
    <w:p w14:paraId="4BBEB123" w14:textId="77777777" w:rsidR="00481FB1" w:rsidRDefault="00481FB1" w:rsidP="00481FB1">
      <w:pPr>
        <w:pStyle w:val="Heading4"/>
      </w:pPr>
      <w:r>
        <w:t>Industry 4.0 and collaborative research</w:t>
      </w:r>
    </w:p>
    <w:p w14:paraId="6D9E67F3" w14:textId="77777777" w:rsidR="00481FB1" w:rsidRDefault="00481FB1" w:rsidP="00481FB1">
      <w:r>
        <w:rPr>
          <w:rStyle w:val="bodyitalics"/>
        </w:rPr>
        <w:t xml:space="preserve">Industry 4.0 </w:t>
      </w:r>
      <w:r>
        <w:t>– the digitisation of manufacturing enhanced by data and machine learning—has changed the way goods are produced. The Morwell Innovation Centre and Hi-Tech Precinct Gippsland acts as a gateway to establish connections between advanced manufacturing businesses, research and industry to strengthen development and innovation along the sector’s entire supply chain. Enhancing collaboration and supporting clustering of manufacturing supply chains enable the region to maintain and grow its reputation as a globally renowned centre of excellence for advanced manufacturing. Many of the principles of Industry 4.0, including innovation, productivity and efficiency gains, can be rolled out to other sectors including agriculture and service provision.</w:t>
      </w:r>
    </w:p>
    <w:p w14:paraId="2BEB5C05" w14:textId="77777777" w:rsidR="00481FB1" w:rsidRDefault="00481FB1" w:rsidP="00481FB1">
      <w:pPr>
        <w:pStyle w:val="Heading4"/>
      </w:pPr>
      <w:r>
        <w:t>Manufacturing to strengthen regional specialisations</w:t>
      </w:r>
    </w:p>
    <w:p w14:paraId="7F35EDAD" w14:textId="77777777" w:rsidR="00481FB1" w:rsidRDefault="00481FB1" w:rsidP="00390091">
      <w:pPr>
        <w:pStyle w:val="Normalbeforebullet"/>
      </w:pPr>
      <w:r>
        <w:t>Advanced manufacturing principles apply to a broad range of production activities and could be harnessed to strengthen the region’s specialisation. There may be immediate opportunities in the agriculture, energy and health manufacturing industry. These include:</w:t>
      </w:r>
    </w:p>
    <w:p w14:paraId="52EBF916" w14:textId="6CFC5CFA" w:rsidR="00481FB1" w:rsidRDefault="00481FB1" w:rsidP="00481FB1">
      <w:pPr>
        <w:pStyle w:val="Bullet"/>
        <w:numPr>
          <w:ilvl w:val="0"/>
          <w:numId w:val="35"/>
        </w:numPr>
        <w:spacing w:after="160"/>
      </w:pPr>
      <w:r>
        <w:rPr>
          <w:rStyle w:val="bodyitalics"/>
        </w:rPr>
        <w:t>Niche food product manufacturing:</w:t>
      </w:r>
      <w:r>
        <w:t xml:space="preserve"> Gippsland has a highly specialised agricultural industry with productive dairy, meat and vegetable industries that underpin food product manufacturing. Enhancing collaboration, innovation and traceability across the supply chain can create significant processing and value adding potential to meet growing domestic and global demand for safe, high-quality and provenance-based food and fibre products. </w:t>
      </w:r>
    </w:p>
    <w:p w14:paraId="41BFA8EB" w14:textId="77777777" w:rsidR="00481FB1" w:rsidRDefault="00481FB1" w:rsidP="00481FB1">
      <w:pPr>
        <w:pStyle w:val="Bullet"/>
        <w:numPr>
          <w:ilvl w:val="0"/>
          <w:numId w:val="35"/>
        </w:numPr>
        <w:spacing w:after="160"/>
      </w:pPr>
      <w:r>
        <w:rPr>
          <w:rStyle w:val="bodyitalics"/>
        </w:rPr>
        <w:t>Energy supply chain:</w:t>
      </w:r>
      <w:r>
        <w:t xml:space="preserve"> The region has a strong foundation for the development of smart technology infrastructure for Victoria’s clean and renewable energy boom. This foundation is based on existing competitive industries, a skilled workforce and vibrant education and research facilities. There are opportunities in manufacturing high-value wind and solar infrastructure components and in maintenance and repair of renewable energy products.</w:t>
      </w:r>
    </w:p>
    <w:p w14:paraId="70C016BC" w14:textId="77777777" w:rsidR="00481FB1" w:rsidRDefault="00481FB1" w:rsidP="00E30EAC">
      <w:pPr>
        <w:pStyle w:val="Bulletlast"/>
      </w:pPr>
      <w:r>
        <w:rPr>
          <w:rStyle w:val="bodyitalics"/>
        </w:rPr>
        <w:t xml:space="preserve">Health manufacturing: </w:t>
      </w:r>
      <w:r>
        <w:t xml:space="preserve">The Gippsland region is focused on enhancing specialisation in health and wellbeing. There are considerable opportunities to develop key health supplies and pharmaceuticals locally both for export and to scale up local production in times of need. </w:t>
      </w:r>
    </w:p>
    <w:p w14:paraId="1435228F" w14:textId="1D751878" w:rsidR="00481FB1" w:rsidRPr="00E30EAC" w:rsidRDefault="00E30EAC" w:rsidP="00E30EAC">
      <w:pPr>
        <w:rPr>
          <w:b/>
          <w:bCs/>
        </w:rPr>
      </w:pPr>
      <w:r w:rsidRPr="00E30EAC">
        <w:rPr>
          <w:b/>
          <w:bCs/>
        </w:rPr>
        <w:t>Table 2: Digital inclusion by geography in Victoria shows that Gippsland performs relatively poorly</w:t>
      </w:r>
    </w:p>
    <w:tbl>
      <w:tblPr>
        <w:tblStyle w:val="TableGrid"/>
        <w:tblW w:w="9067" w:type="dxa"/>
        <w:tblLayout w:type="fixed"/>
        <w:tblCellMar>
          <w:top w:w="0" w:type="dxa"/>
          <w:bottom w:w="0" w:type="dxa"/>
        </w:tblCellMar>
        <w:tblLook w:val="0020" w:firstRow="1" w:lastRow="0" w:firstColumn="0" w:lastColumn="0" w:noHBand="0" w:noVBand="0"/>
      </w:tblPr>
      <w:tblGrid>
        <w:gridCol w:w="3114"/>
        <w:gridCol w:w="1271"/>
        <w:gridCol w:w="1559"/>
        <w:gridCol w:w="1422"/>
        <w:gridCol w:w="1701"/>
      </w:tblGrid>
      <w:tr w:rsidR="00E30EAC" w:rsidRPr="00E30EAC" w14:paraId="20F2BD94" w14:textId="77777777" w:rsidTr="00390091">
        <w:trPr>
          <w:cantSplit/>
          <w:tblHeader/>
        </w:trPr>
        <w:tc>
          <w:tcPr>
            <w:tcW w:w="3114" w:type="dxa"/>
          </w:tcPr>
          <w:p w14:paraId="36BD60B5" w14:textId="77777777" w:rsidR="00E30EAC" w:rsidRPr="00E30EAC" w:rsidRDefault="00E30EAC" w:rsidP="00E30EAC">
            <w:pPr>
              <w:pStyle w:val="TableHeading"/>
            </w:pPr>
          </w:p>
        </w:tc>
        <w:tc>
          <w:tcPr>
            <w:tcW w:w="1271" w:type="dxa"/>
          </w:tcPr>
          <w:p w14:paraId="1A33CB22" w14:textId="77777777" w:rsidR="00E30EAC" w:rsidRPr="00E30EAC" w:rsidRDefault="00E30EAC" w:rsidP="00E30EAC">
            <w:pPr>
              <w:pStyle w:val="TableHeading"/>
              <w:rPr>
                <w:bCs/>
                <w:lang w:val="en-US"/>
              </w:rPr>
            </w:pPr>
            <w:r w:rsidRPr="00E30EAC">
              <w:rPr>
                <w:bCs/>
                <w:lang w:val="en-US"/>
              </w:rPr>
              <w:t>Victoria</w:t>
            </w:r>
          </w:p>
        </w:tc>
        <w:tc>
          <w:tcPr>
            <w:tcW w:w="1559" w:type="dxa"/>
          </w:tcPr>
          <w:p w14:paraId="5004A6DA" w14:textId="77777777" w:rsidR="00E30EAC" w:rsidRPr="00E30EAC" w:rsidRDefault="00E30EAC" w:rsidP="00E30EAC">
            <w:pPr>
              <w:pStyle w:val="TableHeading"/>
              <w:rPr>
                <w:bCs/>
                <w:lang w:val="en-US"/>
              </w:rPr>
            </w:pPr>
            <w:r w:rsidRPr="00E30EAC">
              <w:rPr>
                <w:bCs/>
                <w:lang w:val="en-US"/>
              </w:rPr>
              <w:t>Melbourne</w:t>
            </w:r>
          </w:p>
        </w:tc>
        <w:tc>
          <w:tcPr>
            <w:tcW w:w="1422" w:type="dxa"/>
          </w:tcPr>
          <w:p w14:paraId="5D81C851" w14:textId="77777777" w:rsidR="00E30EAC" w:rsidRPr="00E30EAC" w:rsidRDefault="00E30EAC" w:rsidP="00E30EAC">
            <w:pPr>
              <w:pStyle w:val="TableHeading"/>
              <w:rPr>
                <w:bCs/>
                <w:lang w:val="en-US"/>
              </w:rPr>
            </w:pPr>
            <w:r w:rsidRPr="00E30EAC">
              <w:rPr>
                <w:bCs/>
                <w:lang w:val="en-US"/>
              </w:rPr>
              <w:t xml:space="preserve">Rural Victoria </w:t>
            </w:r>
          </w:p>
        </w:tc>
        <w:tc>
          <w:tcPr>
            <w:tcW w:w="1701" w:type="dxa"/>
          </w:tcPr>
          <w:p w14:paraId="56EEC46F" w14:textId="77777777" w:rsidR="00E30EAC" w:rsidRPr="00E30EAC" w:rsidRDefault="00E30EAC" w:rsidP="00E30EAC">
            <w:pPr>
              <w:pStyle w:val="TableHeading"/>
              <w:rPr>
                <w:bCs/>
                <w:lang w:val="en-US"/>
              </w:rPr>
            </w:pPr>
            <w:r w:rsidRPr="00E30EAC">
              <w:rPr>
                <w:bCs/>
                <w:lang w:val="en-US"/>
              </w:rPr>
              <w:t xml:space="preserve">East Victoria </w:t>
            </w:r>
            <w:r w:rsidRPr="00E30EAC">
              <w:rPr>
                <w:lang w:val="en-US"/>
              </w:rPr>
              <w:t>(Gippsland)</w:t>
            </w:r>
          </w:p>
        </w:tc>
      </w:tr>
      <w:tr w:rsidR="00E30EAC" w:rsidRPr="00E30EAC" w14:paraId="7B354247" w14:textId="77777777" w:rsidTr="00390091">
        <w:trPr>
          <w:cantSplit/>
        </w:trPr>
        <w:tc>
          <w:tcPr>
            <w:tcW w:w="3114" w:type="dxa"/>
          </w:tcPr>
          <w:p w14:paraId="1B5F95C8" w14:textId="77777777" w:rsidR="00E30EAC" w:rsidRPr="00E30EAC" w:rsidRDefault="00E30EAC" w:rsidP="00E30EAC">
            <w:pPr>
              <w:pStyle w:val="TableCopy"/>
              <w:rPr>
                <w:b/>
                <w:bCs/>
                <w:lang w:val="en-US"/>
              </w:rPr>
            </w:pPr>
            <w:r w:rsidRPr="00E30EAC">
              <w:rPr>
                <w:b/>
                <w:bCs/>
                <w:lang w:val="en-US"/>
              </w:rPr>
              <w:t>Access</w:t>
            </w:r>
          </w:p>
          <w:p w14:paraId="3D01EA48" w14:textId="77777777" w:rsidR="00E30EAC" w:rsidRPr="00E30EAC" w:rsidRDefault="00E30EAC" w:rsidP="00E30EAC">
            <w:pPr>
              <w:pStyle w:val="TableBullet"/>
              <w:rPr>
                <w:lang w:val="en-US"/>
              </w:rPr>
            </w:pPr>
            <w:r w:rsidRPr="00E30EAC">
              <w:rPr>
                <w:lang w:val="en-US"/>
              </w:rPr>
              <w:t>Internet access</w:t>
            </w:r>
          </w:p>
          <w:p w14:paraId="0D8590B8" w14:textId="77777777" w:rsidR="00E30EAC" w:rsidRPr="00E30EAC" w:rsidRDefault="00E30EAC" w:rsidP="00E30EAC">
            <w:pPr>
              <w:pStyle w:val="TableBullet"/>
              <w:rPr>
                <w:lang w:val="en-US"/>
              </w:rPr>
            </w:pPr>
            <w:r w:rsidRPr="00E30EAC">
              <w:rPr>
                <w:lang w:val="en-US"/>
              </w:rPr>
              <w:t>Internet technology</w:t>
            </w:r>
          </w:p>
          <w:p w14:paraId="580D9E09" w14:textId="77777777" w:rsidR="00E30EAC" w:rsidRPr="00E30EAC" w:rsidRDefault="00E30EAC" w:rsidP="00E30EAC">
            <w:pPr>
              <w:pStyle w:val="TableBullet"/>
              <w:rPr>
                <w:lang w:val="en-US"/>
              </w:rPr>
            </w:pPr>
            <w:r w:rsidRPr="00E30EAC">
              <w:rPr>
                <w:lang w:val="en-US"/>
              </w:rPr>
              <w:t>Internet data allowance</w:t>
            </w:r>
          </w:p>
        </w:tc>
        <w:tc>
          <w:tcPr>
            <w:tcW w:w="1271" w:type="dxa"/>
          </w:tcPr>
          <w:p w14:paraId="1D74AC25" w14:textId="77777777" w:rsidR="00E30EAC" w:rsidRPr="00E30EAC" w:rsidRDefault="00E30EAC" w:rsidP="00E30EAC">
            <w:pPr>
              <w:pStyle w:val="TableCopy"/>
              <w:rPr>
                <w:lang w:val="en-US"/>
              </w:rPr>
            </w:pPr>
            <w:r w:rsidRPr="00E30EAC">
              <w:rPr>
                <w:lang w:val="en-US"/>
              </w:rPr>
              <w:t>76.3</w:t>
            </w:r>
          </w:p>
        </w:tc>
        <w:tc>
          <w:tcPr>
            <w:tcW w:w="1559" w:type="dxa"/>
          </w:tcPr>
          <w:p w14:paraId="1FFCB7FF" w14:textId="77777777" w:rsidR="00E30EAC" w:rsidRPr="00E30EAC" w:rsidRDefault="00E30EAC" w:rsidP="00E30EAC">
            <w:pPr>
              <w:pStyle w:val="TableCopy"/>
              <w:rPr>
                <w:lang w:val="en-US"/>
              </w:rPr>
            </w:pPr>
            <w:r w:rsidRPr="00E30EAC">
              <w:rPr>
                <w:lang w:val="en-US"/>
              </w:rPr>
              <w:t>77.1</w:t>
            </w:r>
          </w:p>
        </w:tc>
        <w:tc>
          <w:tcPr>
            <w:tcW w:w="1422" w:type="dxa"/>
          </w:tcPr>
          <w:p w14:paraId="3D2B8016" w14:textId="77777777" w:rsidR="00E30EAC" w:rsidRPr="00E30EAC" w:rsidRDefault="00E30EAC" w:rsidP="00E30EAC">
            <w:pPr>
              <w:pStyle w:val="TableCopy"/>
              <w:rPr>
                <w:lang w:val="en-US"/>
              </w:rPr>
            </w:pPr>
            <w:r w:rsidRPr="00E30EAC">
              <w:rPr>
                <w:lang w:val="en-US"/>
              </w:rPr>
              <w:t>73.0</w:t>
            </w:r>
          </w:p>
        </w:tc>
        <w:tc>
          <w:tcPr>
            <w:tcW w:w="1701" w:type="dxa"/>
          </w:tcPr>
          <w:p w14:paraId="48DDACA6" w14:textId="77777777" w:rsidR="00E30EAC" w:rsidRPr="00E30EAC" w:rsidRDefault="00E30EAC" w:rsidP="00E30EAC">
            <w:pPr>
              <w:pStyle w:val="TableCopy"/>
              <w:rPr>
                <w:lang w:val="en-US"/>
              </w:rPr>
            </w:pPr>
            <w:r w:rsidRPr="00E30EAC">
              <w:rPr>
                <w:lang w:val="en-US"/>
              </w:rPr>
              <w:t>72.2</w:t>
            </w:r>
          </w:p>
        </w:tc>
      </w:tr>
      <w:tr w:rsidR="00E30EAC" w:rsidRPr="00E30EAC" w14:paraId="08D77518" w14:textId="77777777" w:rsidTr="00390091">
        <w:trPr>
          <w:cantSplit/>
        </w:trPr>
        <w:tc>
          <w:tcPr>
            <w:tcW w:w="3114" w:type="dxa"/>
          </w:tcPr>
          <w:p w14:paraId="453CA62A" w14:textId="77777777" w:rsidR="00E30EAC" w:rsidRPr="00E30EAC" w:rsidRDefault="00E30EAC" w:rsidP="00E30EAC">
            <w:pPr>
              <w:pStyle w:val="TableCopy"/>
              <w:rPr>
                <w:b/>
                <w:bCs/>
                <w:lang w:val="en-US"/>
              </w:rPr>
            </w:pPr>
            <w:r w:rsidRPr="00E30EAC">
              <w:rPr>
                <w:b/>
                <w:bCs/>
                <w:lang w:val="en-US"/>
              </w:rPr>
              <w:lastRenderedPageBreak/>
              <w:t>Affordability</w:t>
            </w:r>
          </w:p>
          <w:p w14:paraId="42BF6336" w14:textId="77777777" w:rsidR="00E30EAC" w:rsidRPr="00E30EAC" w:rsidRDefault="00E30EAC" w:rsidP="00E30EAC">
            <w:pPr>
              <w:pStyle w:val="TableBullet"/>
              <w:rPr>
                <w:lang w:val="en-US"/>
              </w:rPr>
            </w:pPr>
            <w:r w:rsidRPr="00E30EAC">
              <w:rPr>
                <w:lang w:val="en-US"/>
              </w:rPr>
              <w:t xml:space="preserve">Relative expenditure </w:t>
            </w:r>
          </w:p>
          <w:p w14:paraId="434DF32C" w14:textId="77777777" w:rsidR="00E30EAC" w:rsidRPr="00E30EAC" w:rsidRDefault="00E30EAC" w:rsidP="00E30EAC">
            <w:pPr>
              <w:pStyle w:val="TableBullet"/>
              <w:rPr>
                <w:lang w:val="en-US"/>
              </w:rPr>
            </w:pPr>
            <w:r w:rsidRPr="00E30EAC">
              <w:rPr>
                <w:lang w:val="en-US"/>
              </w:rPr>
              <w:t>Value of expenditure</w:t>
            </w:r>
          </w:p>
        </w:tc>
        <w:tc>
          <w:tcPr>
            <w:tcW w:w="1271" w:type="dxa"/>
          </w:tcPr>
          <w:p w14:paraId="2076AFAF" w14:textId="77777777" w:rsidR="00E30EAC" w:rsidRPr="00E30EAC" w:rsidRDefault="00E30EAC" w:rsidP="00E30EAC">
            <w:pPr>
              <w:pStyle w:val="TableCopy"/>
              <w:rPr>
                <w:lang w:val="en-US"/>
              </w:rPr>
            </w:pPr>
            <w:r w:rsidRPr="00E30EAC">
              <w:rPr>
                <w:lang w:val="en-US"/>
              </w:rPr>
              <w:t>60.7</w:t>
            </w:r>
          </w:p>
        </w:tc>
        <w:tc>
          <w:tcPr>
            <w:tcW w:w="1559" w:type="dxa"/>
          </w:tcPr>
          <w:p w14:paraId="043E981B" w14:textId="77777777" w:rsidR="00E30EAC" w:rsidRPr="00E30EAC" w:rsidRDefault="00E30EAC" w:rsidP="00E30EAC">
            <w:pPr>
              <w:pStyle w:val="TableCopy"/>
              <w:rPr>
                <w:lang w:val="en-US"/>
              </w:rPr>
            </w:pPr>
            <w:r w:rsidRPr="00E30EAC">
              <w:rPr>
                <w:lang w:val="en-US"/>
              </w:rPr>
              <w:t>62.5</w:t>
            </w:r>
          </w:p>
        </w:tc>
        <w:tc>
          <w:tcPr>
            <w:tcW w:w="1422" w:type="dxa"/>
          </w:tcPr>
          <w:p w14:paraId="705DFAE1" w14:textId="77777777" w:rsidR="00E30EAC" w:rsidRPr="00E30EAC" w:rsidRDefault="00E30EAC" w:rsidP="00E30EAC">
            <w:pPr>
              <w:pStyle w:val="TableCopy"/>
              <w:rPr>
                <w:lang w:val="en-US"/>
              </w:rPr>
            </w:pPr>
            <w:r w:rsidRPr="00E30EAC">
              <w:rPr>
                <w:lang w:val="en-US"/>
              </w:rPr>
              <w:t>53.7</w:t>
            </w:r>
          </w:p>
        </w:tc>
        <w:tc>
          <w:tcPr>
            <w:tcW w:w="1701" w:type="dxa"/>
          </w:tcPr>
          <w:p w14:paraId="606E76FB" w14:textId="77777777" w:rsidR="00E30EAC" w:rsidRPr="00E30EAC" w:rsidRDefault="00E30EAC" w:rsidP="00E30EAC">
            <w:pPr>
              <w:pStyle w:val="TableCopy"/>
              <w:rPr>
                <w:lang w:val="en-US"/>
              </w:rPr>
            </w:pPr>
            <w:r w:rsidRPr="00E30EAC">
              <w:rPr>
                <w:lang w:val="en-US"/>
              </w:rPr>
              <w:t>50.5</w:t>
            </w:r>
          </w:p>
        </w:tc>
      </w:tr>
      <w:tr w:rsidR="00E30EAC" w:rsidRPr="00E30EAC" w14:paraId="0EFA4429" w14:textId="77777777" w:rsidTr="00390091">
        <w:trPr>
          <w:cantSplit/>
        </w:trPr>
        <w:tc>
          <w:tcPr>
            <w:tcW w:w="3114" w:type="dxa"/>
          </w:tcPr>
          <w:p w14:paraId="4CB3E180" w14:textId="77777777" w:rsidR="00E30EAC" w:rsidRPr="00E30EAC" w:rsidRDefault="00E30EAC" w:rsidP="00E30EAC">
            <w:pPr>
              <w:pStyle w:val="TableCopy"/>
              <w:rPr>
                <w:b/>
                <w:bCs/>
                <w:lang w:val="en-US"/>
              </w:rPr>
            </w:pPr>
            <w:r w:rsidRPr="00E30EAC">
              <w:rPr>
                <w:b/>
                <w:bCs/>
                <w:lang w:val="en-US"/>
              </w:rPr>
              <w:t xml:space="preserve">Digital ability </w:t>
            </w:r>
          </w:p>
          <w:p w14:paraId="2BDEC5CA" w14:textId="77777777" w:rsidR="00E30EAC" w:rsidRPr="00E30EAC" w:rsidRDefault="00E30EAC" w:rsidP="00E30EAC">
            <w:pPr>
              <w:pStyle w:val="TableBullet"/>
              <w:rPr>
                <w:lang w:val="en-US"/>
              </w:rPr>
            </w:pPr>
            <w:r w:rsidRPr="00E30EAC">
              <w:rPr>
                <w:lang w:val="en-US"/>
              </w:rPr>
              <w:t xml:space="preserve">Attitudes </w:t>
            </w:r>
          </w:p>
          <w:p w14:paraId="1C56AB81" w14:textId="77777777" w:rsidR="00E30EAC" w:rsidRPr="00E30EAC" w:rsidRDefault="00E30EAC" w:rsidP="00E30EAC">
            <w:pPr>
              <w:pStyle w:val="TableBullet"/>
              <w:rPr>
                <w:lang w:val="en-US"/>
              </w:rPr>
            </w:pPr>
            <w:r w:rsidRPr="00E30EAC">
              <w:rPr>
                <w:lang w:val="en-US"/>
              </w:rPr>
              <w:t xml:space="preserve">Basic skills </w:t>
            </w:r>
          </w:p>
          <w:p w14:paraId="43FE3487" w14:textId="77777777" w:rsidR="00E30EAC" w:rsidRPr="00E30EAC" w:rsidRDefault="00E30EAC" w:rsidP="00E30EAC">
            <w:pPr>
              <w:pStyle w:val="TableBullet"/>
              <w:rPr>
                <w:lang w:val="en-US"/>
              </w:rPr>
            </w:pPr>
            <w:r w:rsidRPr="00E30EAC">
              <w:rPr>
                <w:lang w:val="en-US"/>
              </w:rPr>
              <w:t>Activities</w:t>
            </w:r>
          </w:p>
        </w:tc>
        <w:tc>
          <w:tcPr>
            <w:tcW w:w="1271" w:type="dxa"/>
          </w:tcPr>
          <w:p w14:paraId="0A31EF85" w14:textId="77777777" w:rsidR="00E30EAC" w:rsidRPr="00E30EAC" w:rsidRDefault="00E30EAC" w:rsidP="00E30EAC">
            <w:pPr>
              <w:pStyle w:val="TableCopy"/>
              <w:rPr>
                <w:lang w:val="en-US"/>
              </w:rPr>
            </w:pPr>
            <w:r w:rsidRPr="00E30EAC">
              <w:rPr>
                <w:lang w:val="en-US"/>
              </w:rPr>
              <w:t>52.2</w:t>
            </w:r>
          </w:p>
        </w:tc>
        <w:tc>
          <w:tcPr>
            <w:tcW w:w="1559" w:type="dxa"/>
          </w:tcPr>
          <w:p w14:paraId="38BE77F1" w14:textId="77777777" w:rsidR="00E30EAC" w:rsidRPr="00E30EAC" w:rsidRDefault="00E30EAC" w:rsidP="00E30EAC">
            <w:pPr>
              <w:pStyle w:val="TableCopy"/>
              <w:rPr>
                <w:lang w:val="en-US"/>
              </w:rPr>
            </w:pPr>
            <w:r w:rsidRPr="00E30EAC">
              <w:rPr>
                <w:lang w:val="en-US"/>
              </w:rPr>
              <w:t>53.7</w:t>
            </w:r>
          </w:p>
        </w:tc>
        <w:tc>
          <w:tcPr>
            <w:tcW w:w="1422" w:type="dxa"/>
          </w:tcPr>
          <w:p w14:paraId="7E0C1BFC" w14:textId="77777777" w:rsidR="00E30EAC" w:rsidRPr="00E30EAC" w:rsidRDefault="00E30EAC" w:rsidP="00E30EAC">
            <w:pPr>
              <w:pStyle w:val="TableCopy"/>
              <w:rPr>
                <w:lang w:val="en-US"/>
              </w:rPr>
            </w:pPr>
            <w:r w:rsidRPr="00E30EAC">
              <w:rPr>
                <w:lang w:val="en-US"/>
              </w:rPr>
              <w:t>46.8</w:t>
            </w:r>
          </w:p>
        </w:tc>
        <w:tc>
          <w:tcPr>
            <w:tcW w:w="1701" w:type="dxa"/>
          </w:tcPr>
          <w:p w14:paraId="319A7EAB" w14:textId="77777777" w:rsidR="00E30EAC" w:rsidRPr="00E30EAC" w:rsidRDefault="00E30EAC" w:rsidP="00E30EAC">
            <w:pPr>
              <w:pStyle w:val="TableCopy"/>
              <w:rPr>
                <w:lang w:val="en-US"/>
              </w:rPr>
            </w:pPr>
            <w:r w:rsidRPr="00E30EAC">
              <w:rPr>
                <w:lang w:val="en-US"/>
              </w:rPr>
              <w:t>45.0</w:t>
            </w:r>
          </w:p>
        </w:tc>
      </w:tr>
      <w:tr w:rsidR="00E30EAC" w:rsidRPr="00E30EAC" w14:paraId="25932FEC" w14:textId="77777777" w:rsidTr="00390091">
        <w:trPr>
          <w:cantSplit/>
        </w:trPr>
        <w:tc>
          <w:tcPr>
            <w:tcW w:w="3114" w:type="dxa"/>
          </w:tcPr>
          <w:p w14:paraId="32158ACC" w14:textId="77777777" w:rsidR="00E30EAC" w:rsidRPr="00E30EAC" w:rsidRDefault="00E30EAC" w:rsidP="00E30EAC">
            <w:pPr>
              <w:pStyle w:val="TableCopy"/>
              <w:rPr>
                <w:b/>
                <w:bCs/>
                <w:lang w:val="en-US"/>
              </w:rPr>
            </w:pPr>
            <w:r w:rsidRPr="00E30EAC">
              <w:rPr>
                <w:b/>
                <w:bCs/>
                <w:lang w:val="en-US"/>
              </w:rPr>
              <w:t>Digital inclusion index</w:t>
            </w:r>
          </w:p>
        </w:tc>
        <w:tc>
          <w:tcPr>
            <w:tcW w:w="1271" w:type="dxa"/>
          </w:tcPr>
          <w:p w14:paraId="7F7A8CE5" w14:textId="77777777" w:rsidR="00E30EAC" w:rsidRPr="00E30EAC" w:rsidRDefault="00E30EAC" w:rsidP="00E30EAC">
            <w:pPr>
              <w:pStyle w:val="TableCopy"/>
              <w:rPr>
                <w:lang w:val="en-US"/>
              </w:rPr>
            </w:pPr>
            <w:r w:rsidRPr="00E30EAC">
              <w:rPr>
                <w:lang w:val="en-US"/>
              </w:rPr>
              <w:t>52.2</w:t>
            </w:r>
          </w:p>
        </w:tc>
        <w:tc>
          <w:tcPr>
            <w:tcW w:w="1559" w:type="dxa"/>
          </w:tcPr>
          <w:p w14:paraId="1B7C36C3" w14:textId="77777777" w:rsidR="00E30EAC" w:rsidRPr="00E30EAC" w:rsidRDefault="00E30EAC" w:rsidP="00E30EAC">
            <w:pPr>
              <w:pStyle w:val="TableCopy"/>
              <w:rPr>
                <w:lang w:val="en-US"/>
              </w:rPr>
            </w:pPr>
            <w:r w:rsidRPr="00E30EAC">
              <w:rPr>
                <w:lang w:val="en-US"/>
              </w:rPr>
              <w:t>64.4</w:t>
            </w:r>
          </w:p>
        </w:tc>
        <w:tc>
          <w:tcPr>
            <w:tcW w:w="1422" w:type="dxa"/>
          </w:tcPr>
          <w:p w14:paraId="074D9D34" w14:textId="77777777" w:rsidR="00E30EAC" w:rsidRPr="00E30EAC" w:rsidRDefault="00E30EAC" w:rsidP="00E30EAC">
            <w:pPr>
              <w:pStyle w:val="TableCopy"/>
              <w:rPr>
                <w:lang w:val="en-US"/>
              </w:rPr>
            </w:pPr>
            <w:r w:rsidRPr="00E30EAC">
              <w:rPr>
                <w:lang w:val="en-US"/>
              </w:rPr>
              <w:t>57.8</w:t>
            </w:r>
          </w:p>
        </w:tc>
        <w:tc>
          <w:tcPr>
            <w:tcW w:w="1701" w:type="dxa"/>
          </w:tcPr>
          <w:p w14:paraId="47947682" w14:textId="77777777" w:rsidR="00E30EAC" w:rsidRPr="00E30EAC" w:rsidRDefault="00E30EAC" w:rsidP="00E30EAC">
            <w:pPr>
              <w:pStyle w:val="TableCopy"/>
              <w:rPr>
                <w:lang w:val="en-US"/>
              </w:rPr>
            </w:pPr>
            <w:r w:rsidRPr="00E30EAC">
              <w:rPr>
                <w:lang w:val="en-US"/>
              </w:rPr>
              <w:t>55.9</w:t>
            </w:r>
          </w:p>
        </w:tc>
      </w:tr>
    </w:tbl>
    <w:p w14:paraId="5A3CD2D0" w14:textId="77777777" w:rsidR="00E30EAC" w:rsidRPr="00E30EAC" w:rsidRDefault="00E30EAC" w:rsidP="00E30EAC">
      <w:pPr>
        <w:pStyle w:val="Source"/>
        <w:rPr>
          <w:lang w:val="en-US"/>
        </w:rPr>
      </w:pPr>
      <w:r w:rsidRPr="00E30EAC">
        <w:rPr>
          <w:lang w:val="en-US"/>
        </w:rPr>
        <w:t>Source: Roy Morgan, 2020, Measuring Australia’s Digital Divide; The Australian Digital Inclusion Index 2020</w:t>
      </w:r>
    </w:p>
    <w:p w14:paraId="5C98447F" w14:textId="022216EF" w:rsidR="00481FB1" w:rsidRPr="00E30EAC" w:rsidRDefault="00481FB1" w:rsidP="00E30EAC">
      <w:pPr>
        <w:pStyle w:val="Heading3"/>
      </w:pPr>
      <w:bookmarkStart w:id="68" w:name="_Toc106189447"/>
      <w:r w:rsidRPr="00E30EAC">
        <w:t>Challenges</w:t>
      </w:r>
      <w:bookmarkEnd w:id="68"/>
    </w:p>
    <w:p w14:paraId="5888A44A" w14:textId="77777777" w:rsidR="00481FB1" w:rsidRDefault="00481FB1" w:rsidP="00481FB1">
      <w:pPr>
        <w:pStyle w:val="Heading4"/>
      </w:pPr>
      <w:r>
        <w:t xml:space="preserve">Digital connectivity and capability </w:t>
      </w:r>
    </w:p>
    <w:p w14:paraId="0D137F2E" w14:textId="70D68D29" w:rsidR="00481FB1" w:rsidRDefault="00481FB1" w:rsidP="00481FB1">
      <w:r>
        <w:t xml:space="preserve">Digital connectivity is critical to innovation. The 2020 Australian Digital Inclusion Index shows that East Victoria, which includes Gippsland, performs below both regional Victoria and metropolitan Melbourne in terms of digital inclusion. This includes digital access, ability and affordability. Internet speed and digital capability is a critical enabler to doing business in advanced manufacturing. The Gippsland Digital Plan identifies that the digital intensity of the region’s manufacturing industry is set to increase considerably in the short term. In the next 5 years, their digital needs will require greater access, more sophisticated networks such as industrial IoT, fault prevention and data analytics for logistics. </w:t>
      </w:r>
    </w:p>
    <w:p w14:paraId="45D0BB38" w14:textId="27930DEA" w:rsidR="00481FB1" w:rsidRPr="00B123DA" w:rsidRDefault="00481FB1" w:rsidP="00B123DA">
      <w:pPr>
        <w:pStyle w:val="Heading3"/>
      </w:pPr>
      <w:bookmarkStart w:id="69" w:name="_Toc106189448"/>
      <w:r w:rsidRPr="00B123DA">
        <w:t>The policy environment</w:t>
      </w:r>
      <w:bookmarkEnd w:id="69"/>
    </w:p>
    <w:p w14:paraId="73AB2C35" w14:textId="77777777" w:rsidR="00481FB1" w:rsidRDefault="00481FB1" w:rsidP="00390091">
      <w:pPr>
        <w:pStyle w:val="Normalbeforebullet"/>
      </w:pPr>
      <w:r>
        <w:t>Accelerating advanced manufacturing capabilities is closely aligned with national, state and local priorities. In particular:</w:t>
      </w:r>
    </w:p>
    <w:p w14:paraId="08CBD76E" w14:textId="69B3C34D" w:rsidR="00481FB1" w:rsidRDefault="00481FB1" w:rsidP="00481FB1">
      <w:pPr>
        <w:pStyle w:val="Bullet"/>
        <w:numPr>
          <w:ilvl w:val="0"/>
          <w:numId w:val="35"/>
        </w:numPr>
        <w:spacing w:after="160"/>
      </w:pPr>
      <w:r>
        <w:t xml:space="preserve">The Federal Government’s </w:t>
      </w:r>
      <w:r>
        <w:rPr>
          <w:rStyle w:val="bodyitalics"/>
        </w:rPr>
        <w:t>Make it happen – The Australian Government’s Modern Manufacturing Strategy</w:t>
      </w:r>
      <w:r>
        <w:t xml:space="preserve"> focuses on six sub-sectors of priority and advantage to the nation and getting the economic conditions right for manufacturing businesses to succeed.</w:t>
      </w:r>
    </w:p>
    <w:p w14:paraId="0F145947" w14:textId="77777777" w:rsidR="00481FB1" w:rsidRDefault="00481FB1" w:rsidP="00481FB1">
      <w:pPr>
        <w:pStyle w:val="Bullet"/>
        <w:numPr>
          <w:ilvl w:val="0"/>
          <w:numId w:val="35"/>
        </w:numPr>
        <w:spacing w:after="160"/>
      </w:pPr>
      <w:r>
        <w:t xml:space="preserve">The State Government’s </w:t>
      </w:r>
      <w:r>
        <w:rPr>
          <w:rStyle w:val="bodyitalics"/>
        </w:rPr>
        <w:t>Advancing Victoria’s Manufacturing: A Blueprint for the Future</w:t>
      </w:r>
      <w:r>
        <w:t xml:space="preserve"> also focuses on six future industries to guide future investment and activity.</w:t>
      </w:r>
    </w:p>
    <w:p w14:paraId="1AB1A2C1" w14:textId="77777777" w:rsidR="00481FB1" w:rsidRDefault="00481FB1" w:rsidP="00481FB1">
      <w:pPr>
        <w:pStyle w:val="Bullet"/>
        <w:numPr>
          <w:ilvl w:val="0"/>
          <w:numId w:val="35"/>
        </w:numPr>
        <w:spacing w:after="160"/>
        <w:rPr>
          <w:spacing w:val="-2"/>
        </w:rPr>
      </w:pPr>
      <w:r>
        <w:rPr>
          <w:spacing w:val="-2"/>
        </w:rPr>
        <w:t xml:space="preserve">CSIRO as part of their Futures series have prepared the </w:t>
      </w:r>
      <w:r>
        <w:rPr>
          <w:rStyle w:val="bodyitalics"/>
          <w:spacing w:val="-2"/>
        </w:rPr>
        <w:t>Advanced Manufacturing Roadmap</w:t>
      </w:r>
      <w:r>
        <w:rPr>
          <w:spacing w:val="-2"/>
        </w:rPr>
        <w:t xml:space="preserve"> which provides a comprehensive analysis of the current state of play and what strategic moves need to be made by the industry in the next 20 years to remain competitive.</w:t>
      </w:r>
    </w:p>
    <w:p w14:paraId="2BBD952A" w14:textId="4FA15CA2" w:rsidR="00481FB1" w:rsidRDefault="00481FB1" w:rsidP="00B123DA">
      <w:pPr>
        <w:pStyle w:val="Bulletlast"/>
      </w:pPr>
      <w:r>
        <w:t xml:space="preserve">The </w:t>
      </w:r>
      <w:r>
        <w:rPr>
          <w:rStyle w:val="bodyitalics"/>
        </w:rPr>
        <w:t xml:space="preserve">Gippsland Regional Plan 2020-25 </w:t>
      </w:r>
      <w:r>
        <w:t xml:space="preserve">identifies advanced manufacturing as a key economic sector and encourages Gippsland manufacturers to invest in collaborative research to exploit innovative technologies and embrace the fourth industrial revolution. </w:t>
      </w:r>
    </w:p>
    <w:p w14:paraId="403EB732" w14:textId="22E1D051" w:rsidR="00481FB1" w:rsidRPr="00B123DA" w:rsidRDefault="00481FB1" w:rsidP="00B123DA">
      <w:pPr>
        <w:pStyle w:val="Heading3"/>
      </w:pPr>
      <w:bookmarkStart w:id="70" w:name="_Toc106189449"/>
      <w:r w:rsidRPr="00B123DA">
        <w:lastRenderedPageBreak/>
        <w:t>Aboriginal inclusion</w:t>
      </w:r>
      <w:bookmarkEnd w:id="70"/>
    </w:p>
    <w:p w14:paraId="4106DE2B" w14:textId="4C018699" w:rsidR="00481FB1" w:rsidRDefault="00481FB1" w:rsidP="00481FB1">
      <w:r>
        <w:t>The manufacturing sector is a relatively small employer of Aboriginal people in Gippsland, employing only 6.3 per cent of the Aboriginal workforce. Although manufacturing has not been identified as a priority area to date for GLaWAC and other Aboriginal stakeholders, there are opportunities related to promoting Aboriginal business or employment participation along the manufacturing supply chain. This could include looking at opportunities relating to existing areas of interest such as bush medicine and wellbeing products and seafood and aquaculture including yabbies.</w:t>
      </w:r>
    </w:p>
    <w:p w14:paraId="3F85EBC4" w14:textId="719566E2" w:rsidR="00481FB1" w:rsidRPr="00B123DA" w:rsidRDefault="00481FB1" w:rsidP="00B123DA">
      <w:pPr>
        <w:pStyle w:val="Heading3"/>
      </w:pPr>
      <w:bookmarkStart w:id="71" w:name="_Toc106189450"/>
      <w:r w:rsidRPr="00B123DA">
        <w:t>How can we unlock this strategic direction?</w:t>
      </w:r>
      <w:bookmarkEnd w:id="71"/>
    </w:p>
    <w:p w14:paraId="0FB2975F" w14:textId="02163BE3" w:rsidR="00481FB1" w:rsidRDefault="00481FB1" w:rsidP="00390091">
      <w:pPr>
        <w:pStyle w:val="Normalbeforebullet"/>
      </w:pPr>
      <w:r>
        <w:t>To unlock this opportunity and drive growth, local, state and Commonwealth partners could work together to:</w:t>
      </w:r>
    </w:p>
    <w:p w14:paraId="5165D0D5" w14:textId="2A041F60" w:rsidR="00481FB1" w:rsidRDefault="00481FB1" w:rsidP="00481FB1">
      <w:pPr>
        <w:pStyle w:val="Bullet"/>
        <w:numPr>
          <w:ilvl w:val="0"/>
          <w:numId w:val="35"/>
        </w:numPr>
        <w:spacing w:after="160"/>
      </w:pPr>
      <w:r>
        <w:t xml:space="preserve">Provide the right enabling conditions (e.g investment in upskilling, reskilling and digital technology) for the manufacturing sector to implement and commercialise new products and technologies. </w:t>
      </w:r>
    </w:p>
    <w:p w14:paraId="4A09537F" w14:textId="77777777" w:rsidR="00481FB1" w:rsidRDefault="00481FB1" w:rsidP="00481FB1">
      <w:pPr>
        <w:pStyle w:val="Bullet"/>
        <w:numPr>
          <w:ilvl w:val="0"/>
          <w:numId w:val="35"/>
        </w:numPr>
        <w:spacing w:after="160"/>
      </w:pPr>
      <w:r>
        <w:t>Support collaborative research across sectors to bolster other regional specialisations such as agriculture, fibre and health.</w:t>
      </w:r>
    </w:p>
    <w:p w14:paraId="62D4F9FD" w14:textId="77777777" w:rsidR="00481FB1" w:rsidRDefault="00481FB1" w:rsidP="00B123DA">
      <w:pPr>
        <w:pStyle w:val="Bulletlast"/>
      </w:pPr>
      <w:r>
        <w:t xml:space="preserve">Access existing funding programs that improve digital capability and accessibility.  </w:t>
      </w:r>
    </w:p>
    <w:p w14:paraId="3DC90FEE" w14:textId="312946D2" w:rsidR="00481FB1" w:rsidRDefault="00481FB1" w:rsidP="00481FB1">
      <w:pPr>
        <w:pStyle w:val="Heading2"/>
      </w:pPr>
      <w:bookmarkStart w:id="72" w:name="_Toc106189451"/>
      <w:bookmarkStart w:id="73" w:name="_Toc118405123"/>
      <w:r>
        <w:t>4.3</w:t>
      </w:r>
      <w:r w:rsidR="00B123DA">
        <w:t xml:space="preserve"> </w:t>
      </w:r>
      <w:r>
        <w:t>Pursue opportunities emerging from energy industry transition, including in clean and renewable energy and earth resources</w:t>
      </w:r>
      <w:bookmarkEnd w:id="72"/>
      <w:bookmarkEnd w:id="73"/>
    </w:p>
    <w:p w14:paraId="6574F700" w14:textId="178EB950" w:rsidR="00481FB1" w:rsidRPr="00B123DA" w:rsidRDefault="00481FB1" w:rsidP="00B123DA">
      <w:pPr>
        <w:pStyle w:val="Heading3"/>
      </w:pPr>
      <w:bookmarkStart w:id="74" w:name="_Toc106189452"/>
      <w:r w:rsidRPr="00B123DA">
        <w:t>Significance</w:t>
      </w:r>
      <w:bookmarkEnd w:id="74"/>
    </w:p>
    <w:p w14:paraId="53349729" w14:textId="77777777" w:rsidR="00481FB1" w:rsidRDefault="00481FB1" w:rsidP="00481FB1">
      <w:r>
        <w:t xml:space="preserve">Gippsland has historically been the energy production powerhouse of Victoria. Legacy electricity and gas generation and transmission infrastructure supports the region’s comparative strength in the energy sector and puts Gippsland in an advantageous position to benefit from the increasing state-wide focus on renewable energy generation. </w:t>
      </w:r>
    </w:p>
    <w:p w14:paraId="2397E9C5" w14:textId="03591FBD" w:rsidR="00481FB1" w:rsidRDefault="00481FB1" w:rsidP="00481FB1">
      <w:r>
        <w:t xml:space="preserve">The Latrobe Valley contains Victoria’s remaining coal-fired power stations and almost all of Victoria’s coal reserves. Off-shore oil and gas extraction in the Bass Strait supplies much of the state’s natural gas. Global trends and the pending closure of coal-fired power stations are accelerating transition in Gippsland’s energy and extractives services. Coal mining and electricity supply have been the most important contributors to the local economy. Activation of emerging opportunities, such as in the renewable energy economy, as well as support for transitioning workers will be critical to navigate energy transition in Gippsland. The renewable energy sector, particularly wind and solar, has planned significant capital expenditure in Gippsland which is expected to increase local demand for technical skills. The investment in renewables will lead to growth in the value of the construction and electricity sectors.  </w:t>
      </w:r>
    </w:p>
    <w:p w14:paraId="15EFF74C" w14:textId="77777777" w:rsidR="00481FB1" w:rsidRDefault="00481FB1" w:rsidP="00481FB1">
      <w:r>
        <w:lastRenderedPageBreak/>
        <w:t xml:space="preserve">Gippsland also has the potential to supply Melbourne and regional growth areas with the extractive resources needed for construction of housing, community infrastructure and renewable energy infrastructure, such as rock, sand and gravel. Gippsland is an important future supply area for Melbourne’s growth to replace depleted long standing production areas in Melbourne’s west.  </w:t>
      </w:r>
    </w:p>
    <w:p w14:paraId="31FE67AA" w14:textId="64EF0D87" w:rsidR="00481FB1" w:rsidRPr="00B123DA" w:rsidRDefault="00481FB1" w:rsidP="00B123DA">
      <w:pPr>
        <w:pStyle w:val="Heading3"/>
      </w:pPr>
      <w:bookmarkStart w:id="75" w:name="_Toc106189453"/>
      <w:r w:rsidRPr="00B123DA">
        <w:t>Opportunities</w:t>
      </w:r>
      <w:bookmarkEnd w:id="75"/>
    </w:p>
    <w:p w14:paraId="07DBBE27" w14:textId="77777777" w:rsidR="00481FB1" w:rsidRDefault="00481FB1" w:rsidP="00481FB1">
      <w:pPr>
        <w:pStyle w:val="Heading4"/>
      </w:pPr>
      <w:r>
        <w:t xml:space="preserve">Clean energy potential </w:t>
      </w:r>
    </w:p>
    <w:p w14:paraId="141A8608" w14:textId="77777777" w:rsidR="00481FB1" w:rsidRDefault="00481FB1" w:rsidP="00481FB1">
      <w:r>
        <w:t>The region has natural endowments that can support future clean and renewable energy growth. This includes wind resources creating both on- and off-shore renewable energy opportunities; high levels of agricultural activity that provide bioenergy potential; and other natural assets supporting solar, small scale hydro, geothermal and marine wave power. The diversity of potential clean and renewable energy sources combined with existing transmission infrastructure means the region can be at the forefront of any new technologies or developments as global momentum continues to increase the demand for renewable energy. Co-locating renewable energy, such as solar and bioenergy, could support on-farm income diversification and reduce input costs.</w:t>
      </w:r>
    </w:p>
    <w:p w14:paraId="5894ACA8" w14:textId="77777777" w:rsidR="00481FB1" w:rsidRDefault="00481FB1" w:rsidP="00481FB1">
      <w:pPr>
        <w:pStyle w:val="Heading4"/>
      </w:pPr>
      <w:r>
        <w:t>Carbon capture and storage (CCS)</w:t>
      </w:r>
    </w:p>
    <w:p w14:paraId="5AB09B5F" w14:textId="43FD51C4" w:rsidR="00481FB1" w:rsidRDefault="00481FB1" w:rsidP="00481FB1">
      <w:r>
        <w:t>Global pathways to limit global warming include initiatives that remove carbon dioxide from the atmosphere, including CCS. The CarbonNet project in Gippsland, funded by the Australian and State governments, is seeking to develop commercial-scale CCS that could become an important piece of enabling economic infrastructure. CCS and its associated industries have the potential to assist the decarbonisation of multiple sectors across the Victorian economy and support new enterprises.</w:t>
      </w:r>
      <w:r w:rsidR="00390091">
        <w:rPr>
          <w:rStyle w:val="FootnoteReference"/>
        </w:rPr>
        <w:footnoteReference w:id="17"/>
      </w:r>
    </w:p>
    <w:p w14:paraId="365C3336" w14:textId="77777777" w:rsidR="00481FB1" w:rsidRDefault="00481FB1" w:rsidP="00481FB1">
      <w:pPr>
        <w:pStyle w:val="Heading4"/>
      </w:pPr>
      <w:r>
        <w:t>Resources for the construction boom</w:t>
      </w:r>
    </w:p>
    <w:p w14:paraId="0A257444" w14:textId="759E313B" w:rsidR="00481FB1" w:rsidRDefault="00481FB1" w:rsidP="00481FB1">
      <w:r>
        <w:t>The quarry sector is playing a key role in Victoria’s post-COVID-19 economic recovery effort. Demand for extractive resources in Victoria is expected to more than double 2015 levels by 2050.</w:t>
      </w:r>
      <w:r w:rsidR="00390091">
        <w:rPr>
          <w:rStyle w:val="FootnoteReference"/>
        </w:rPr>
        <w:footnoteReference w:id="18"/>
      </w:r>
      <w:r>
        <w:t xml:space="preserve"> Gippsland is rich in natural resources, including in-demand sand for construction, that will support the significant investment in infrastructure across Victoria, including for housing, community infrastructure and renewable energy projects. The proximity of the region to Melbourne allows advantages in cost effective exports transport of these resources across Victoria.</w:t>
      </w:r>
    </w:p>
    <w:p w14:paraId="59E9F96B" w14:textId="77777777" w:rsidR="00481FB1" w:rsidRDefault="00481FB1" w:rsidP="00481FB1">
      <w:pPr>
        <w:pStyle w:val="Heading4"/>
      </w:pPr>
      <w:r>
        <w:t xml:space="preserve">Hydrogen – fuel of the future </w:t>
      </w:r>
    </w:p>
    <w:p w14:paraId="001257DD" w14:textId="1A9CAD78" w:rsidR="00481FB1" w:rsidRDefault="00481FB1" w:rsidP="00481FB1">
      <w:r>
        <w:rPr>
          <w:spacing w:val="-2"/>
        </w:rPr>
        <w:t>Global demand for hydrogen is expected to grow and hydrogen is projected to supply up to a fifth of global energy needs by 2050.</w:t>
      </w:r>
      <w:r w:rsidR="00390091">
        <w:rPr>
          <w:rStyle w:val="FootnoteReference"/>
          <w:spacing w:val="-2"/>
        </w:rPr>
        <w:footnoteReference w:id="19"/>
      </w:r>
      <w:r>
        <w:rPr>
          <w:spacing w:val="-2"/>
        </w:rPr>
        <w:t xml:space="preserve"> The Hydrogen Energy Supply Chain project is testing the feasibility of producing liquid hydrogen and shipping it to Japan. If </w:t>
      </w:r>
      <w:r>
        <w:rPr>
          <w:spacing w:val="-2"/>
        </w:rPr>
        <w:lastRenderedPageBreak/>
        <w:t xml:space="preserve">successfully commercialised, this supply chain could generate significant future investment, trade opportunities and employment in the region. Gippsland has also been chosen by National Energy Resources Australia as one of 13 clusters across Australia that will play a pivotal role in accelerating the development, deployment and commercialisation of the Australian hydrogen industry. </w:t>
      </w:r>
    </w:p>
    <w:p w14:paraId="5AC17287" w14:textId="77777777" w:rsidR="00481FB1" w:rsidRDefault="00481FB1" w:rsidP="00481FB1">
      <w:r>
        <w:t xml:space="preserve">Any new projects would need to comply with the Victorian Government’s </w:t>
      </w:r>
      <w:r>
        <w:rPr>
          <w:rStyle w:val="bodyitalics"/>
          <w:spacing w:val="-2"/>
        </w:rPr>
        <w:t>Statement on Future Uses of Brown Coal</w:t>
      </w:r>
      <w:r>
        <w:t xml:space="preserve">, including consideration of environmental, economic and social factors.  </w:t>
      </w:r>
    </w:p>
    <w:p w14:paraId="04A9D034" w14:textId="67E22C97" w:rsidR="00481FB1" w:rsidRPr="00BD07C3" w:rsidRDefault="00481FB1" w:rsidP="00BD07C3">
      <w:pPr>
        <w:pStyle w:val="Heading3"/>
      </w:pPr>
      <w:bookmarkStart w:id="76" w:name="_Toc106189454"/>
      <w:r w:rsidRPr="00BD07C3">
        <w:t>Challenges</w:t>
      </w:r>
      <w:bookmarkEnd w:id="76"/>
    </w:p>
    <w:p w14:paraId="01A4FB7D" w14:textId="77777777" w:rsidR="00481FB1" w:rsidRDefault="00481FB1" w:rsidP="00481FB1">
      <w:pPr>
        <w:pStyle w:val="Heading4"/>
      </w:pPr>
      <w:r>
        <w:t xml:space="preserve">Social licence and land use tensions </w:t>
      </w:r>
    </w:p>
    <w:p w14:paraId="31509E69" w14:textId="77777777" w:rsidR="00481FB1" w:rsidRDefault="00481FB1" w:rsidP="00481FB1">
      <w:r>
        <w:t xml:space="preserve">Competing pressures to maintain or restore land values may impact opportunities in the new energy and earth resources sectors. For extractive resources to continue to be available as Victoria grows, industry should work with the community to build a social licence to operate. </w:t>
      </w:r>
    </w:p>
    <w:p w14:paraId="7CD9FE3B" w14:textId="77777777" w:rsidR="00481FB1" w:rsidRDefault="00481FB1" w:rsidP="00481FB1">
      <w:r>
        <w:t>The Gippsland region is home to highly productive agricultural land and the Macalister Irrigation District, which underpins the region’s agri-food supply chain. New renewable energy activities can create land use and resource (water) competition  as well as amenity impacts. Future renewable energy activity needs to consider the potential impact on the agricultural and resources sectors, including the Victorian Government’s objective to plan and manage for sustainable change within irrigation districts under the Victorian Planning Provisions. Exploring opportunities to co-locate solar farms with agriculture and extractive industries could lead to farm income diversification and reduce land-use tensions.</w:t>
      </w:r>
    </w:p>
    <w:p w14:paraId="51FB0BD7" w14:textId="77777777" w:rsidR="00481FB1" w:rsidRDefault="00481FB1" w:rsidP="00481FB1">
      <w:pPr>
        <w:pStyle w:val="Heading4"/>
      </w:pPr>
      <w:r>
        <w:t xml:space="preserve">Structural transition in mining and energy </w:t>
      </w:r>
    </w:p>
    <w:p w14:paraId="270216A4" w14:textId="2B86314A" w:rsidR="00481FB1" w:rsidRDefault="00481FB1" w:rsidP="00481FB1">
      <w:pPr>
        <w:rPr>
          <w:spacing w:val="-2"/>
        </w:rPr>
      </w:pPr>
      <w:r>
        <w:rPr>
          <w:spacing w:val="-2"/>
        </w:rPr>
        <w:t xml:space="preserve">Both the coal mining and energy sectors in Gippsland face pressures as coal-fired power stations in the Latrobe Valley are set to close within 30 years. This will continue the existing downward trend in output from mining and energy (oil and gas) sectors. This trend will change the structure of the Gippsland economy, and will require carefully managed transition, including skills retraining, to ensure local livelihoods are supported through the adjustment period. Rehabilitation of mines may also offer opportunities for economic activity and will be guided by the </w:t>
      </w:r>
      <w:r>
        <w:rPr>
          <w:rStyle w:val="bodyitalics"/>
          <w:spacing w:val="-2"/>
        </w:rPr>
        <w:t>Latrobe Valley Regional Rehabilitation Strategy</w:t>
      </w:r>
      <w:r>
        <w:rPr>
          <w:spacing w:val="-2"/>
        </w:rPr>
        <w:t xml:space="preserve">, which supports integrated planning and decision-making for the rehabilitation of Hazelwood, Yallourn and Loy Yang coal mines. Capital investment in the development of renewables, particularly wind power, will also support local jobs and the transition in the region. </w:t>
      </w:r>
    </w:p>
    <w:p w14:paraId="6F7B499E" w14:textId="47474E57" w:rsidR="00DB4CED" w:rsidRPr="00940C96" w:rsidRDefault="00DB4CED" w:rsidP="00940C96">
      <w:pPr>
        <w:keepNext/>
        <w:rPr>
          <w:b/>
          <w:bCs/>
        </w:rPr>
      </w:pPr>
      <w:r w:rsidRPr="00940C96">
        <w:rPr>
          <w:b/>
          <w:bCs/>
        </w:rPr>
        <w:lastRenderedPageBreak/>
        <w:t>Figure 7: GVA of mining and energy industries 2001-20</w:t>
      </w:r>
    </w:p>
    <w:p w14:paraId="561DBB8C" w14:textId="39B4FDD9" w:rsidR="00DB4CED" w:rsidRDefault="00DB4CED" w:rsidP="00481FB1">
      <w:r>
        <w:rPr>
          <w:noProof/>
        </w:rPr>
        <w:drawing>
          <wp:inline distT="0" distB="0" distL="0" distR="0" wp14:anchorId="6CD06255" wp14:editId="2FEAA740">
            <wp:extent cx="5731510" cy="1764030"/>
            <wp:effectExtent l="0" t="0" r="2540" b="0"/>
            <wp:docPr id="6" name="Picture 6" descr="Graph showing GVA Mining Industry over time, Gippsland.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GVA Mining Industry over time, Gippsland. A detailed description is provided via the link below the graph."/>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764030"/>
                    </a:xfrm>
                    <a:prstGeom prst="rect">
                      <a:avLst/>
                    </a:prstGeom>
                  </pic:spPr>
                </pic:pic>
              </a:graphicData>
            </a:graphic>
          </wp:inline>
        </w:drawing>
      </w:r>
    </w:p>
    <w:p w14:paraId="5CB27432" w14:textId="27E7F24E" w:rsidR="00DB4CED" w:rsidRDefault="00DB4CED" w:rsidP="00481FB1">
      <w:r>
        <w:rPr>
          <w:noProof/>
        </w:rPr>
        <w:drawing>
          <wp:inline distT="0" distB="0" distL="0" distR="0" wp14:anchorId="6EAC65C7" wp14:editId="4AEBE501">
            <wp:extent cx="5731510" cy="1529715"/>
            <wp:effectExtent l="0" t="0" r="2540" b="0"/>
            <wp:docPr id="7" name="Picture 7" descr="Graph showing GVA Electricity, Gas, Water and Waste over time, Gippsland. A detailed description is provided via the link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GVA Electricity, Gas, Water and Waste over time, Gippsland. A detailed description is provided via the link below the graph.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529715"/>
                    </a:xfrm>
                    <a:prstGeom prst="rect">
                      <a:avLst/>
                    </a:prstGeom>
                  </pic:spPr>
                </pic:pic>
              </a:graphicData>
            </a:graphic>
          </wp:inline>
        </w:drawing>
      </w:r>
    </w:p>
    <w:p w14:paraId="08476378" w14:textId="3B085008" w:rsidR="005E2B70" w:rsidRDefault="00000000" w:rsidP="00481FB1">
      <w:hyperlink w:anchor="_Figure_7_GVA" w:history="1">
        <w:r w:rsidR="005E2B70" w:rsidRPr="005E2B70">
          <w:rPr>
            <w:rStyle w:val="Hyperlink"/>
          </w:rPr>
          <w:t>Figure 7 GVA of mining and energy industries 2001-20 – Long Alternate Text</w:t>
        </w:r>
      </w:hyperlink>
    </w:p>
    <w:p w14:paraId="162B5BC3" w14:textId="29023B63" w:rsidR="00481FB1" w:rsidRPr="005A3F54" w:rsidRDefault="00481FB1" w:rsidP="005A3F54">
      <w:pPr>
        <w:pStyle w:val="Heading2"/>
      </w:pPr>
      <w:bookmarkStart w:id="77" w:name="Fig_7"/>
      <w:bookmarkStart w:id="78" w:name="_Toc106189455"/>
      <w:bookmarkStart w:id="79" w:name="_Toc118405124"/>
      <w:bookmarkEnd w:id="77"/>
      <w:r w:rsidRPr="005A3F54">
        <w:t>The policy environment</w:t>
      </w:r>
      <w:bookmarkEnd w:id="78"/>
      <w:bookmarkEnd w:id="79"/>
    </w:p>
    <w:p w14:paraId="186BF493" w14:textId="77777777" w:rsidR="00481FB1" w:rsidRDefault="00481FB1" w:rsidP="00DB4CED">
      <w:pPr>
        <w:pStyle w:val="Normalbeforebullet"/>
      </w:pPr>
      <w:r>
        <w:t>Growing the opportunities in new energy is closely aligned with state and local priorities. In particular:</w:t>
      </w:r>
    </w:p>
    <w:p w14:paraId="00926FBE" w14:textId="0E230351" w:rsidR="00481FB1" w:rsidRDefault="00481FB1" w:rsidP="00481FB1">
      <w:pPr>
        <w:pStyle w:val="Bullet"/>
        <w:numPr>
          <w:ilvl w:val="0"/>
          <w:numId w:val="35"/>
        </w:numPr>
        <w:spacing w:after="160"/>
      </w:pPr>
      <w:r>
        <w:rPr>
          <w:rStyle w:val="bodyitalics"/>
        </w:rPr>
        <w:t>Victoria’s Climate Change Strategy</w:t>
      </w:r>
      <w:r>
        <w:t xml:space="preserve"> provides a roadmap towards net-zero emissions by 2050. It includes interim targets to reduce emissions and pledges for energy, agriculture, transport, waste and forestry sectors. The Energy Sector pledge will accelerate Victoria’s transition to a clean and efficient energy future, ensuring that 50 per cent of Victoria’s electricity will come from renewable sources by 2030.</w:t>
      </w:r>
    </w:p>
    <w:p w14:paraId="0CD57251" w14:textId="77777777" w:rsidR="00481FB1" w:rsidRDefault="00481FB1" w:rsidP="00481FB1">
      <w:pPr>
        <w:pStyle w:val="Bullet"/>
        <w:numPr>
          <w:ilvl w:val="0"/>
          <w:numId w:val="35"/>
        </w:numPr>
        <w:spacing w:after="160"/>
      </w:pPr>
      <w:r>
        <w:t xml:space="preserve">The </w:t>
      </w:r>
      <w:r>
        <w:rPr>
          <w:rStyle w:val="bodyitalics"/>
        </w:rPr>
        <w:t xml:space="preserve">Statement on Future Uses of Brown Coal </w:t>
      </w:r>
      <w:r>
        <w:t xml:space="preserve">provides clarity to industry and local communities about uses of Victoria’s brown coal reserves in a low-emissions setting to ensure new projects comply with Victoria’s commitment to net zero emissions by 2050 and are assessed through a transparent and robust framework. </w:t>
      </w:r>
    </w:p>
    <w:p w14:paraId="738F39EE" w14:textId="77777777" w:rsidR="00481FB1" w:rsidRDefault="00481FB1" w:rsidP="00481FB1">
      <w:pPr>
        <w:pStyle w:val="Bullet"/>
        <w:numPr>
          <w:ilvl w:val="0"/>
          <w:numId w:val="35"/>
        </w:numPr>
        <w:spacing w:after="160"/>
      </w:pPr>
      <w:r>
        <w:t xml:space="preserve">The Latrobe Valley Authority’s Smart Specialisation work, which identifies new energy as one of Gippsland’s identified future growth industries and the </w:t>
      </w:r>
      <w:r>
        <w:rPr>
          <w:rStyle w:val="bodyitalics"/>
        </w:rPr>
        <w:t>Latrobe Valley New Energy Jobs and Investment Prospectus</w:t>
      </w:r>
      <w:r>
        <w:t xml:space="preserve"> positions the region to transport the energy sector and drive investment in new energy technologies. </w:t>
      </w:r>
    </w:p>
    <w:p w14:paraId="58AE671E" w14:textId="77777777" w:rsidR="00481FB1" w:rsidRDefault="00481FB1" w:rsidP="00481FB1">
      <w:pPr>
        <w:pStyle w:val="Bullet"/>
        <w:numPr>
          <w:ilvl w:val="0"/>
          <w:numId w:val="35"/>
        </w:numPr>
        <w:spacing w:after="160"/>
      </w:pPr>
      <w:r>
        <w:t xml:space="preserve">The </w:t>
      </w:r>
      <w:r>
        <w:rPr>
          <w:rStyle w:val="bodyitalics"/>
        </w:rPr>
        <w:t>Gippsland Regional Plan 2020-25</w:t>
      </w:r>
      <w:r>
        <w:t xml:space="preserve"> identifies renewable, clean and community energy initiatives as game changers for the region. </w:t>
      </w:r>
    </w:p>
    <w:p w14:paraId="35B6D1AD" w14:textId="77777777" w:rsidR="00481FB1" w:rsidRDefault="00481FB1" w:rsidP="00481FB1">
      <w:pPr>
        <w:pStyle w:val="Bullet"/>
        <w:numPr>
          <w:ilvl w:val="0"/>
          <w:numId w:val="35"/>
        </w:numPr>
        <w:spacing w:after="160"/>
      </w:pPr>
      <w:r>
        <w:t xml:space="preserve">The </w:t>
      </w:r>
      <w:r>
        <w:rPr>
          <w:rStyle w:val="bodyitalics"/>
        </w:rPr>
        <w:t>Southern Gippsland Renewable Energy Roadmap</w:t>
      </w:r>
      <w:r>
        <w:t xml:space="preserve"> identifies existing and potential opportunities for renewable energy development and transmission. </w:t>
      </w:r>
    </w:p>
    <w:p w14:paraId="4196A347" w14:textId="53993DFC" w:rsidR="00481FB1" w:rsidRDefault="00481FB1" w:rsidP="00481FB1">
      <w:pPr>
        <w:pStyle w:val="Bullet"/>
        <w:numPr>
          <w:ilvl w:val="0"/>
          <w:numId w:val="35"/>
        </w:numPr>
        <w:spacing w:after="160"/>
      </w:pPr>
      <w:r>
        <w:rPr>
          <w:rStyle w:val="bodyitalics"/>
        </w:rPr>
        <w:lastRenderedPageBreak/>
        <w:t>The Central and Gippsland Region Sustainable Water Strategy</w:t>
      </w:r>
      <w:r>
        <w:t xml:space="preserve"> (under development) will set out the Victorian Government’s plan for a climate-resilient future in the region, and will explore the options available to meet the range of water needs. </w:t>
      </w:r>
    </w:p>
    <w:p w14:paraId="4B02B4EE" w14:textId="77777777" w:rsidR="00481FB1" w:rsidRDefault="00481FB1" w:rsidP="00481FB1">
      <w:pPr>
        <w:pStyle w:val="Bullet"/>
        <w:numPr>
          <w:ilvl w:val="0"/>
          <w:numId w:val="35"/>
        </w:numPr>
        <w:spacing w:after="160"/>
      </w:pPr>
      <w:r>
        <w:t xml:space="preserve">The </w:t>
      </w:r>
      <w:r>
        <w:rPr>
          <w:rStyle w:val="bodyitalics"/>
        </w:rPr>
        <w:t>Victorian Offshore Wind Policy Directions Paper</w:t>
      </w:r>
      <w:r>
        <w:t xml:space="preserve"> sets out a pathway to establish an offshore wind industry and sets a state-wide target of 9GW of offshore wind energy generation by 2040.</w:t>
      </w:r>
    </w:p>
    <w:p w14:paraId="41E3FC02" w14:textId="26CD42BE" w:rsidR="00481FB1" w:rsidRDefault="00481FB1" w:rsidP="005A3F54">
      <w:pPr>
        <w:pStyle w:val="Bulletlast"/>
      </w:pPr>
      <w:r>
        <w:t xml:space="preserve">The Victorian government has a suite of state-wide policies and initiatives to support the State’s energy sector to transition to net-zero emissions, which are available on </w:t>
      </w:r>
      <w:hyperlink r:id="rId20" w:history="1">
        <w:r w:rsidRPr="00DB4CED">
          <w:rPr>
            <w:rStyle w:val="Hyperlink"/>
          </w:rPr>
          <w:t>energy.vic.gov.au</w:t>
        </w:r>
      </w:hyperlink>
      <w:r>
        <w:t xml:space="preserve">. </w:t>
      </w:r>
    </w:p>
    <w:p w14:paraId="71109393" w14:textId="77777777" w:rsidR="00481FB1" w:rsidRDefault="00481FB1" w:rsidP="00481FB1">
      <w:r>
        <w:t xml:space="preserve">Victoria’s Renewable Energy Zones (REZs) target investment towards strengthening the transmission network in Victoria to enable an orderly and coordinated transition to renewable energy and engage with local communities to ensure that they benefit from REZs. The Australian Energy Market Operator (AEMO) has identified two renewable energy zones that cross into the Gippsland region.  </w:t>
      </w:r>
    </w:p>
    <w:p w14:paraId="23FA526F" w14:textId="77777777" w:rsidR="00481FB1" w:rsidRDefault="00481FB1" w:rsidP="00DB4CED">
      <w:pPr>
        <w:pStyle w:val="Normalbeforebullet"/>
      </w:pPr>
      <w:r>
        <w:t>Safeguarding Victoria’s resources for future growth is also a Victorian Government priority:</w:t>
      </w:r>
    </w:p>
    <w:p w14:paraId="553932AE" w14:textId="77777777" w:rsidR="00481FB1" w:rsidRDefault="00481FB1" w:rsidP="00481FB1">
      <w:pPr>
        <w:pStyle w:val="Bullet"/>
        <w:numPr>
          <w:ilvl w:val="0"/>
          <w:numId w:val="35"/>
        </w:numPr>
        <w:spacing w:after="160"/>
      </w:pPr>
      <w:r>
        <w:t xml:space="preserve">The </w:t>
      </w:r>
      <w:r>
        <w:rPr>
          <w:rStyle w:val="bodyitalics"/>
        </w:rPr>
        <w:t>Helping Victoria Grow: Extractive Resources Strategy</w:t>
      </w:r>
      <w:r>
        <w:t xml:space="preserve"> helps ensure that high quality extractive resources continue to be available at a competitive price to support Victoria’s growth. All six of Gippsland’s LGAs are recognised in the Strategy as being among the top 20 strategic resource local government areas.</w:t>
      </w:r>
    </w:p>
    <w:p w14:paraId="0E5A2C8F" w14:textId="77777777" w:rsidR="00481FB1" w:rsidRDefault="00481FB1" w:rsidP="005A3F54">
      <w:pPr>
        <w:pStyle w:val="Bullet"/>
      </w:pPr>
      <w:r>
        <w:t xml:space="preserve">The </w:t>
      </w:r>
      <w:r>
        <w:rPr>
          <w:rStyle w:val="bodyitalics"/>
        </w:rPr>
        <w:t xml:space="preserve">Strategic Extractive Resources Roadmap </w:t>
      </w:r>
      <w:r>
        <w:t>supports</w:t>
      </w:r>
      <w:r>
        <w:rPr>
          <w:rStyle w:val="bodyitalics"/>
        </w:rPr>
        <w:t xml:space="preserve"> Helping Victoria Grow: Extractive Resources Strategy</w:t>
      </w:r>
      <w:r>
        <w:t xml:space="preserve"> by advancing actions under the resource and land use planning theme. Actions include updates to mapping and planning provisions that better identify and secure strategic extractive resources in priority locations across Victoria. South Gippsland, Bass Coast, Baw Baw and Latrobe are recognised as priority extractive resource supply LGAs for detailed investigation, and implementation of stronger planning controls. </w:t>
      </w:r>
    </w:p>
    <w:p w14:paraId="346C1A47" w14:textId="345D5E20" w:rsidR="00481FB1" w:rsidRDefault="00481FB1" w:rsidP="005A3F54">
      <w:pPr>
        <w:pStyle w:val="Bulletlast"/>
      </w:pPr>
      <w:r>
        <w:t xml:space="preserve">Strategic Extractive Resource Areas (SERAs) are now in place in South Gippsland. SERAs have been developed to provide greater certainty to industry, land use planners and the community by indicating the future land use in the planning scheme. SERAs identify strategic extractive resource locations, and apply planning controls to manage the impact of land uses that are incompatible with extractive industries. The development of SERAs considers other existing land uses, environmental assets, and community interests.  </w:t>
      </w:r>
    </w:p>
    <w:p w14:paraId="4E36C10C" w14:textId="63CFF65D" w:rsidR="00481FB1" w:rsidRPr="005A3F54" w:rsidRDefault="00481FB1" w:rsidP="005A3F54">
      <w:pPr>
        <w:pStyle w:val="Heading2"/>
      </w:pPr>
      <w:bookmarkStart w:id="80" w:name="_Toc106189456"/>
      <w:bookmarkStart w:id="81" w:name="_Toc118405125"/>
      <w:r w:rsidRPr="005A3F54">
        <w:t>Aboriginal inclusion</w:t>
      </w:r>
      <w:bookmarkEnd w:id="80"/>
      <w:bookmarkEnd w:id="81"/>
    </w:p>
    <w:p w14:paraId="2598CE37" w14:textId="77777777" w:rsidR="00481FB1" w:rsidRDefault="00481FB1" w:rsidP="00481FB1">
      <w:r>
        <w:t>There may be opportunities for Aboriginal owned renewable energy projects. The Southern Gippsland Renewable Energy Roadmap recognises that Aboriginal organisations are investigating mid-scale solar projects in Southern Gippsland. Aboriginal leaders and technical experts are exploring pathways to generate long-term positive impacts in health and education through income streams from solar farms. Renewable energy and mining investments should consider the needs of Traditional Owners and Aboriginal communities and any potential land use conflicts.</w:t>
      </w:r>
    </w:p>
    <w:p w14:paraId="175E44D9" w14:textId="62EB44A7" w:rsidR="00481FB1" w:rsidRPr="00940C96" w:rsidRDefault="00481FB1" w:rsidP="00940C96">
      <w:pPr>
        <w:pStyle w:val="Heading2"/>
      </w:pPr>
      <w:bookmarkStart w:id="82" w:name="_Toc106189457"/>
      <w:bookmarkStart w:id="83" w:name="_Toc118405126"/>
      <w:r w:rsidRPr="00940C96">
        <w:lastRenderedPageBreak/>
        <w:t>How can we unlock this strategic direction?</w:t>
      </w:r>
      <w:bookmarkEnd w:id="82"/>
      <w:bookmarkEnd w:id="83"/>
    </w:p>
    <w:p w14:paraId="1683F168" w14:textId="77777777" w:rsidR="00481FB1" w:rsidRDefault="00481FB1" w:rsidP="00940C96">
      <w:pPr>
        <w:pStyle w:val="Normalbeforebullet"/>
      </w:pPr>
      <w:r>
        <w:t>To unlock this opportunity and drive growth, local, State and Commonwealth partners could work together to:</w:t>
      </w:r>
    </w:p>
    <w:p w14:paraId="5ED0DB93" w14:textId="77777777" w:rsidR="00481FB1" w:rsidRDefault="00481FB1" w:rsidP="00481FB1">
      <w:pPr>
        <w:pStyle w:val="Bullet"/>
        <w:numPr>
          <w:ilvl w:val="0"/>
          <w:numId w:val="35"/>
        </w:numPr>
        <w:spacing w:after="160"/>
      </w:pPr>
      <w:r>
        <w:t xml:space="preserve">Position Gippsland as a centre of excellence for new energy and energy innovation and attract new energy investments that leverage the existing high-capacity electricity and gas transmission infrastructure </w:t>
      </w:r>
    </w:p>
    <w:p w14:paraId="0D848A78" w14:textId="76B5A30A" w:rsidR="00481FB1" w:rsidRDefault="00481FB1" w:rsidP="00481FB1">
      <w:pPr>
        <w:pStyle w:val="Bullet"/>
        <w:numPr>
          <w:ilvl w:val="0"/>
          <w:numId w:val="35"/>
        </w:numPr>
        <w:spacing w:after="160"/>
      </w:pPr>
      <w:r>
        <w:t xml:space="preserve">Build workforce skills and industry capability to support the new energy sector. </w:t>
      </w:r>
    </w:p>
    <w:p w14:paraId="30C0DEEF" w14:textId="77777777" w:rsidR="00481FB1" w:rsidRDefault="00481FB1" w:rsidP="00481FB1">
      <w:pPr>
        <w:pStyle w:val="Bullet"/>
        <w:numPr>
          <w:ilvl w:val="0"/>
          <w:numId w:val="35"/>
        </w:numPr>
        <w:spacing w:after="160"/>
      </w:pPr>
      <w:r>
        <w:t xml:space="preserve">Prepare industry and workers to support transition in the mining and energy sectors, including proactively preparing for the closure of the remaining power stations. </w:t>
      </w:r>
    </w:p>
    <w:p w14:paraId="72353948" w14:textId="77777777" w:rsidR="00481FB1" w:rsidRDefault="00481FB1" w:rsidP="00481FB1">
      <w:pPr>
        <w:pStyle w:val="Bullet"/>
        <w:numPr>
          <w:ilvl w:val="0"/>
          <w:numId w:val="35"/>
        </w:numPr>
        <w:spacing w:after="160"/>
      </w:pPr>
      <w:r>
        <w:t>Maximise the extent to which local job seekers are skilled to meet the need of major projects, including energy and resource projects.</w:t>
      </w:r>
    </w:p>
    <w:p w14:paraId="7EE383C7" w14:textId="77777777" w:rsidR="00481FB1" w:rsidRDefault="00481FB1" w:rsidP="00481FB1">
      <w:pPr>
        <w:pStyle w:val="Bullet"/>
        <w:numPr>
          <w:ilvl w:val="0"/>
          <w:numId w:val="35"/>
        </w:numPr>
        <w:spacing w:after="160"/>
      </w:pPr>
      <w:r>
        <w:t xml:space="preserve">Support the development of Aboriginal owned renewable energy projects based on the principles of self-determination. </w:t>
      </w:r>
    </w:p>
    <w:p w14:paraId="7943569C" w14:textId="77777777" w:rsidR="00481FB1" w:rsidRDefault="00481FB1" w:rsidP="00481FB1">
      <w:pPr>
        <w:pStyle w:val="Bullet"/>
        <w:numPr>
          <w:ilvl w:val="0"/>
          <w:numId w:val="35"/>
        </w:numPr>
        <w:spacing w:after="160"/>
      </w:pPr>
      <w:r>
        <w:t xml:space="preserve">Engage communities on the importance of extractive resources through all stages of the quarry lifecycle, and gain confidence that quarry operations will be well managed. </w:t>
      </w:r>
    </w:p>
    <w:p w14:paraId="275E9F7A" w14:textId="77777777" w:rsidR="00481FB1" w:rsidRDefault="00481FB1" w:rsidP="00481FB1">
      <w:pPr>
        <w:pStyle w:val="Bullet"/>
        <w:numPr>
          <w:ilvl w:val="0"/>
          <w:numId w:val="35"/>
        </w:numPr>
        <w:spacing w:after="160"/>
      </w:pPr>
      <w:r>
        <w:t>Explore transport connectivity challenges and address connectivity barriers that could hinder renewable energy development and expansion in the region.</w:t>
      </w:r>
    </w:p>
    <w:p w14:paraId="7418C816" w14:textId="77777777" w:rsidR="00481FB1" w:rsidRDefault="00481FB1" w:rsidP="00940C96">
      <w:pPr>
        <w:pStyle w:val="Bulletlast"/>
      </w:pPr>
      <w:r>
        <w:t xml:space="preserve">Support programs and initiatives that aim to upskill regional business owners and entrepreneurs, and advocate for upskilling community cohorts that are likely to be unrepresented in this field. </w:t>
      </w:r>
    </w:p>
    <w:p w14:paraId="75C0D9BE" w14:textId="2076106B" w:rsidR="00481FB1" w:rsidRDefault="00481FB1" w:rsidP="00481FB1">
      <w:pPr>
        <w:pStyle w:val="Heading2"/>
      </w:pPr>
      <w:bookmarkStart w:id="84" w:name="_Toc106189458"/>
      <w:bookmarkStart w:id="85" w:name="_Toc118405127"/>
      <w:r>
        <w:t>4.4</w:t>
      </w:r>
      <w:r w:rsidR="00940C96">
        <w:t xml:space="preserve"> </w:t>
      </w:r>
      <w:r>
        <w:t>Support growth and diversification in the visitor economy</w:t>
      </w:r>
      <w:bookmarkEnd w:id="84"/>
      <w:bookmarkEnd w:id="85"/>
      <w:r>
        <w:t xml:space="preserve"> </w:t>
      </w:r>
    </w:p>
    <w:p w14:paraId="026E41A4" w14:textId="6C60A8B4" w:rsidR="00481FB1" w:rsidRPr="00940C96" w:rsidRDefault="00481FB1" w:rsidP="00940C96">
      <w:pPr>
        <w:pStyle w:val="Heading2"/>
      </w:pPr>
      <w:bookmarkStart w:id="86" w:name="_Toc106189459"/>
      <w:bookmarkStart w:id="87" w:name="_Toc118405128"/>
      <w:r w:rsidRPr="00940C96">
        <w:t>Significance</w:t>
      </w:r>
      <w:bookmarkEnd w:id="86"/>
      <w:bookmarkEnd w:id="87"/>
    </w:p>
    <w:p w14:paraId="5AD8EE8B" w14:textId="77777777" w:rsidR="00481FB1" w:rsidRDefault="00481FB1" w:rsidP="00481FB1">
      <w:r>
        <w:t xml:space="preserve">Gippsland’s appeal as a visitor destination is underpinned by its diverse natural attractions, engaging towns and villages, established tourism brands, Aboriginal heritage and an emerging creative industry. </w:t>
      </w:r>
    </w:p>
    <w:p w14:paraId="4F442CA7" w14:textId="77777777" w:rsidR="00481FB1" w:rsidRDefault="00481FB1" w:rsidP="00940C96">
      <w:pPr>
        <w:pStyle w:val="Normalbeforebullet"/>
      </w:pPr>
      <w:r>
        <w:t>Significant attractions include:</w:t>
      </w:r>
    </w:p>
    <w:p w14:paraId="0571F191" w14:textId="77777777" w:rsidR="00481FB1" w:rsidRDefault="00481FB1" w:rsidP="00481FB1">
      <w:pPr>
        <w:pStyle w:val="Bullet"/>
        <w:numPr>
          <w:ilvl w:val="0"/>
          <w:numId w:val="35"/>
        </w:numPr>
        <w:spacing w:after="160"/>
      </w:pPr>
      <w:r>
        <w:t xml:space="preserve">Phillip Island, which is one of Victoria’s premier tourist destinations. </w:t>
      </w:r>
    </w:p>
    <w:p w14:paraId="7F4CF48E" w14:textId="77777777" w:rsidR="00481FB1" w:rsidRDefault="00481FB1" w:rsidP="00481FB1">
      <w:pPr>
        <w:pStyle w:val="Bullet"/>
        <w:numPr>
          <w:ilvl w:val="0"/>
          <w:numId w:val="35"/>
        </w:numPr>
        <w:spacing w:after="160"/>
      </w:pPr>
      <w:r>
        <w:t>High value environmental assets, including Wilsons Promontory National Park, Gippsland Lakes, Croajingolong National Park, Strzelecki Ranges, Yallock-Bulluk Marine and Coastal Park and Buchan Caves Reserve.</w:t>
      </w:r>
    </w:p>
    <w:p w14:paraId="464EE438" w14:textId="77777777" w:rsidR="00481FB1" w:rsidRDefault="00481FB1" w:rsidP="00481FB1">
      <w:pPr>
        <w:pStyle w:val="Bullet"/>
        <w:numPr>
          <w:ilvl w:val="0"/>
          <w:numId w:val="35"/>
        </w:numPr>
        <w:spacing w:after="160"/>
      </w:pPr>
      <w:r>
        <w:t xml:space="preserve">Long established food tourism networks, offering speciality goods, wine and farmer market experiences. </w:t>
      </w:r>
    </w:p>
    <w:p w14:paraId="5B962344" w14:textId="77777777" w:rsidR="00481FB1" w:rsidRDefault="00481FB1" w:rsidP="00481FB1">
      <w:pPr>
        <w:pStyle w:val="Bullet"/>
        <w:numPr>
          <w:ilvl w:val="0"/>
          <w:numId w:val="35"/>
        </w:numPr>
        <w:spacing w:after="160"/>
      </w:pPr>
      <w:r>
        <w:t>Alpine areas, such as Mt Baw Baw and parts of the Australian Alps national parks.</w:t>
      </w:r>
    </w:p>
    <w:p w14:paraId="29D3C943" w14:textId="77777777" w:rsidR="00481FB1" w:rsidRDefault="00481FB1" w:rsidP="00481FB1">
      <w:pPr>
        <w:pStyle w:val="Bullet"/>
        <w:numPr>
          <w:ilvl w:val="0"/>
          <w:numId w:val="35"/>
        </w:numPr>
        <w:spacing w:after="160"/>
      </w:pPr>
      <w:r>
        <w:lastRenderedPageBreak/>
        <w:t>Museums, galleries and performing arts centres in Latrobe, Warragul, Traralgon, Sale, Bairnsdale and Wonthaggi.</w:t>
      </w:r>
    </w:p>
    <w:p w14:paraId="3CDCD5D9" w14:textId="77777777" w:rsidR="00481FB1" w:rsidRDefault="00481FB1" w:rsidP="00940C96">
      <w:pPr>
        <w:pStyle w:val="Bulletlast"/>
      </w:pPr>
      <w:r>
        <w:t xml:space="preserve">Lardner Park in Baw Baw, which normally hosts around 150 events annually. </w:t>
      </w:r>
    </w:p>
    <w:p w14:paraId="7F04BCBF" w14:textId="77777777" w:rsidR="00481FB1" w:rsidRDefault="00481FB1" w:rsidP="00481FB1">
      <w:r>
        <w:t xml:space="preserve">The visitor economy is a significant contributor to the regional economy and the industry has performed strongly in recent years. Prior to COVID-19 and the 2019-20 summer bushfires, visitor numbers and expenditure were growing year-on-year, with domestic intrastate overnight visitors the fastest growing type of tourist.  The south-eastern region of Gippsland is also strategically located along the coastal journey between Melbourne and Sydney. Visitation to the South East Coast offers significant opportunities to market a ‘through journey’ narrative that benefits tourism operators and coastal towns in both New South Wales and Victoria. </w:t>
      </w:r>
    </w:p>
    <w:p w14:paraId="22AAE543" w14:textId="1CF58997" w:rsidR="00481FB1" w:rsidRPr="00940C96" w:rsidRDefault="00481FB1" w:rsidP="00940C96">
      <w:pPr>
        <w:pStyle w:val="Heading2"/>
      </w:pPr>
      <w:bookmarkStart w:id="88" w:name="_Toc106189460"/>
      <w:bookmarkStart w:id="89" w:name="_Toc118405129"/>
      <w:r w:rsidRPr="00940C96">
        <w:t>Opportunities</w:t>
      </w:r>
      <w:bookmarkEnd w:id="88"/>
      <w:bookmarkEnd w:id="89"/>
    </w:p>
    <w:p w14:paraId="112A0200" w14:textId="77777777" w:rsidR="00481FB1" w:rsidRDefault="00481FB1" w:rsidP="00940C96">
      <w:pPr>
        <w:pStyle w:val="Heading3"/>
      </w:pPr>
      <w:r>
        <w:t>Year-round visitation</w:t>
      </w:r>
    </w:p>
    <w:p w14:paraId="139B787E" w14:textId="12AC2639" w:rsidR="00481FB1" w:rsidRDefault="00481FB1" w:rsidP="00481FB1">
      <w:r>
        <w:t xml:space="preserve">Creating experiences that enable year-round visitation is a priority for the region, particularly in areas attractive for seasonal visitation such as the coast, lakes and alpine areas.  Maintaining strong regional and intra-regional transport is critical to attract visitors and support mobility throughout the year. These could include ‘hero’ experiences that attract high levels of visitation and encourage private investment in surrounding areas. Year-round opportunities could be developed through leveraging the region’s critical tourism precincts surrounding Phillip Island and the national parks, capturing adventure tourism potential at Mount Baw Baw and wellness tourism opportunities through the Metung Hot Springs and Nunduck Spa Retreat, and increasing the agri-tourism offering. Tourism opportunities can be grouped as complementary experiences or a single, major hero experience to encourage high level of visitation, length of stay and spending. Enabling year round visitation requires strong regional and intra-regional transport to attract visitors and support mobility throughout the year. </w:t>
      </w:r>
    </w:p>
    <w:p w14:paraId="5D256197" w14:textId="77777777" w:rsidR="00481FB1" w:rsidRDefault="00481FB1" w:rsidP="00940C96">
      <w:pPr>
        <w:pStyle w:val="Heading3"/>
      </w:pPr>
      <w:r>
        <w:t>Aboriginal heritage</w:t>
      </w:r>
    </w:p>
    <w:p w14:paraId="7E1DBCC9" w14:textId="77777777" w:rsidR="00481FB1" w:rsidRDefault="00481FB1" w:rsidP="00481FB1">
      <w:r>
        <w:t xml:space="preserve">Cultural tourism provides an opportunity for the community to connect with the Gippsland Aboriginal community’s culture, history, and language. Working with Gunaikurnai Land and Waters Aboriginal Corporation, Destination Gippsland and others, there is an opportunity to build and mature a dedicated Aboriginal tourism product and align and enhance existing products through Traditional Owner knowledge of culture, heritage and caring for country. In addition, growing cultural tourism provides an opportunity to deliver improved economic outcomes for Aboriginal Victorians and support Aboriginal-owned experiences. </w:t>
      </w:r>
    </w:p>
    <w:p w14:paraId="55E0708A" w14:textId="77777777" w:rsidR="00481FB1" w:rsidRDefault="00481FB1" w:rsidP="00940C96">
      <w:pPr>
        <w:pStyle w:val="Heading3"/>
      </w:pPr>
      <w:r>
        <w:t xml:space="preserve">Agritourism </w:t>
      </w:r>
    </w:p>
    <w:p w14:paraId="1E4A5259" w14:textId="77777777" w:rsidR="00481FB1" w:rsidRDefault="00481FB1" w:rsidP="00481FB1">
      <w:r>
        <w:t xml:space="preserve">Agritourism offers growth potential for the region, given the presence of niche farms in a variety of agricultural production areas in close proximity to Melbourne. Investing in agritourism such as farm stay, food and winery experiences will expand on the visitor destination opportunities that currently exist in the region. </w:t>
      </w:r>
    </w:p>
    <w:p w14:paraId="2A05EDE5" w14:textId="690B327E" w:rsidR="00481FB1" w:rsidRPr="00940C96" w:rsidRDefault="00481FB1" w:rsidP="00940C96">
      <w:pPr>
        <w:pStyle w:val="Heading2"/>
      </w:pPr>
      <w:bookmarkStart w:id="90" w:name="_Toc106189461"/>
      <w:bookmarkStart w:id="91" w:name="_Toc118405130"/>
      <w:r w:rsidRPr="00940C96">
        <w:lastRenderedPageBreak/>
        <w:t>Challenges</w:t>
      </w:r>
      <w:bookmarkEnd w:id="90"/>
      <w:bookmarkEnd w:id="91"/>
    </w:p>
    <w:p w14:paraId="408422D6" w14:textId="6D9CFC50" w:rsidR="00481FB1" w:rsidRDefault="00481FB1" w:rsidP="00940C96">
      <w:pPr>
        <w:pStyle w:val="Heading3"/>
      </w:pPr>
      <w:r>
        <w:t xml:space="preserve">Recovery from natural and economic shocks </w:t>
      </w:r>
    </w:p>
    <w:p w14:paraId="283951DF" w14:textId="77777777" w:rsidR="00481FB1" w:rsidRDefault="00481FB1" w:rsidP="00481FB1">
      <w:r>
        <w:t xml:space="preserve">Gippsland has faced consecutive economic and environmental shocks in recent years, including bushfires, drought and dry seasonal conditions and flood events and the COVID-19 pandemic. Despite year-on-year growth in visitation and visitor expenditure prior to the COVID-19 pandemic, these shocks have affected the local workforce, tourism operators and infrastructure. Recovery is the first step in enhancing the visitor economy. </w:t>
      </w:r>
    </w:p>
    <w:p w14:paraId="3A06A198" w14:textId="77777777" w:rsidR="00481FB1" w:rsidRDefault="00481FB1" w:rsidP="00940C96">
      <w:pPr>
        <w:pStyle w:val="Heading3"/>
      </w:pPr>
      <w:r>
        <w:t>Climate change</w:t>
      </w:r>
    </w:p>
    <w:p w14:paraId="2B7205EF" w14:textId="22041317" w:rsidR="00481FB1" w:rsidRDefault="00481FB1" w:rsidP="00481FB1">
      <w:r>
        <w:t>Increasing temperatures and environmental degradation pose a long-term threat to nature-based tourism experiences. More extreme heat days may reduce access to nature-based tourism, while increased bushfire risk days may pose challenges to tourism operators and to visitor mobility to parts of the region. Warmer weather conditions are likely to shorten the snow season at Mt Baw Baw and Mt Hotham will lead to a natural increase in the abundance and variety of algae and other organisms in the Gippsland Lakes, which could lead to increased algae blooms. As well as seeking ways to mitigate climate change, parts of the visitor economy that rely on nature-based assets will need to adapt to the conditions by diversifying their offerings.</w:t>
      </w:r>
    </w:p>
    <w:p w14:paraId="505A60C3" w14:textId="0C6220F6" w:rsidR="00481FB1" w:rsidRPr="00940C96" w:rsidRDefault="00481FB1" w:rsidP="00940C96">
      <w:pPr>
        <w:pStyle w:val="FigureInfographics"/>
      </w:pPr>
      <w:r w:rsidRPr="00940C96">
        <w:t>Table 3: Overview of year-on-year total visitation and expenditure in Gippsland 2016-20</w:t>
      </w:r>
    </w:p>
    <w:tbl>
      <w:tblPr>
        <w:tblStyle w:val="TableGrid"/>
        <w:tblW w:w="9067" w:type="dxa"/>
        <w:tblLayout w:type="fixed"/>
        <w:tblLook w:val="0020" w:firstRow="1" w:lastRow="0" w:firstColumn="0" w:lastColumn="0" w:noHBand="0" w:noVBand="0"/>
      </w:tblPr>
      <w:tblGrid>
        <w:gridCol w:w="3402"/>
        <w:gridCol w:w="1133"/>
        <w:gridCol w:w="1133"/>
        <w:gridCol w:w="1133"/>
        <w:gridCol w:w="1133"/>
        <w:gridCol w:w="1133"/>
      </w:tblGrid>
      <w:tr w:rsidR="00481FB1" w14:paraId="298A48F5" w14:textId="77777777" w:rsidTr="00A52064">
        <w:trPr>
          <w:trHeight w:val="396"/>
        </w:trPr>
        <w:tc>
          <w:tcPr>
            <w:tcW w:w="3402" w:type="dxa"/>
          </w:tcPr>
          <w:p w14:paraId="363F08DC" w14:textId="77777777" w:rsidR="00481FB1" w:rsidRDefault="00481FB1" w:rsidP="00A52064">
            <w:pPr>
              <w:pStyle w:val="TableHeading"/>
            </w:pPr>
          </w:p>
        </w:tc>
        <w:tc>
          <w:tcPr>
            <w:tcW w:w="1133" w:type="dxa"/>
          </w:tcPr>
          <w:p w14:paraId="2B43A89B" w14:textId="77777777" w:rsidR="00481FB1" w:rsidRDefault="00481FB1" w:rsidP="00A52064">
            <w:pPr>
              <w:pStyle w:val="TableHeading"/>
            </w:pPr>
            <w:r>
              <w:t>2016</w:t>
            </w:r>
          </w:p>
        </w:tc>
        <w:tc>
          <w:tcPr>
            <w:tcW w:w="1133" w:type="dxa"/>
          </w:tcPr>
          <w:p w14:paraId="5DA7FD20" w14:textId="77777777" w:rsidR="00481FB1" w:rsidRDefault="00481FB1" w:rsidP="00A52064">
            <w:pPr>
              <w:pStyle w:val="TableHeading"/>
            </w:pPr>
            <w:r>
              <w:t>2017</w:t>
            </w:r>
          </w:p>
        </w:tc>
        <w:tc>
          <w:tcPr>
            <w:tcW w:w="1133" w:type="dxa"/>
          </w:tcPr>
          <w:p w14:paraId="10A6A505" w14:textId="77777777" w:rsidR="00481FB1" w:rsidRDefault="00481FB1" w:rsidP="00A52064">
            <w:pPr>
              <w:pStyle w:val="TableHeading"/>
            </w:pPr>
            <w:r>
              <w:t>2018</w:t>
            </w:r>
          </w:p>
        </w:tc>
        <w:tc>
          <w:tcPr>
            <w:tcW w:w="1133" w:type="dxa"/>
          </w:tcPr>
          <w:p w14:paraId="641575F9" w14:textId="77777777" w:rsidR="00481FB1" w:rsidRDefault="00481FB1" w:rsidP="00A52064">
            <w:pPr>
              <w:pStyle w:val="TableHeading"/>
            </w:pPr>
            <w:r>
              <w:t>2019</w:t>
            </w:r>
          </w:p>
        </w:tc>
        <w:tc>
          <w:tcPr>
            <w:tcW w:w="1133" w:type="dxa"/>
          </w:tcPr>
          <w:p w14:paraId="265BC466" w14:textId="77777777" w:rsidR="00481FB1" w:rsidRDefault="00481FB1" w:rsidP="00A52064">
            <w:pPr>
              <w:pStyle w:val="TableHeading"/>
            </w:pPr>
            <w:r>
              <w:t>2020</w:t>
            </w:r>
          </w:p>
        </w:tc>
      </w:tr>
      <w:tr w:rsidR="00481FB1" w:rsidRPr="00A52064" w14:paraId="0936557F" w14:textId="77777777" w:rsidTr="00A52064">
        <w:trPr>
          <w:trHeight w:val="566"/>
        </w:trPr>
        <w:tc>
          <w:tcPr>
            <w:tcW w:w="3402" w:type="dxa"/>
          </w:tcPr>
          <w:p w14:paraId="391DB8EB" w14:textId="77777777" w:rsidR="00481FB1" w:rsidRPr="00A52064" w:rsidRDefault="00481FB1" w:rsidP="00A52064">
            <w:pPr>
              <w:pStyle w:val="TableCopy"/>
            </w:pPr>
            <w:r w:rsidRPr="00A52064">
              <w:t>Annual visitation (million people)</w:t>
            </w:r>
          </w:p>
        </w:tc>
        <w:tc>
          <w:tcPr>
            <w:tcW w:w="1133" w:type="dxa"/>
          </w:tcPr>
          <w:p w14:paraId="444BE803" w14:textId="77777777" w:rsidR="00481FB1" w:rsidRPr="00A52064" w:rsidRDefault="00481FB1" w:rsidP="00A52064">
            <w:pPr>
              <w:pStyle w:val="TableCopy"/>
            </w:pPr>
            <w:r w:rsidRPr="00A52064">
              <w:t>7.3</w:t>
            </w:r>
          </w:p>
        </w:tc>
        <w:tc>
          <w:tcPr>
            <w:tcW w:w="1133" w:type="dxa"/>
          </w:tcPr>
          <w:p w14:paraId="2F10905C" w14:textId="77777777" w:rsidR="00481FB1" w:rsidRPr="00A52064" w:rsidRDefault="00481FB1" w:rsidP="00A52064">
            <w:pPr>
              <w:pStyle w:val="TableCopy"/>
            </w:pPr>
            <w:r w:rsidRPr="00A52064">
              <w:t>7.8</w:t>
            </w:r>
          </w:p>
        </w:tc>
        <w:tc>
          <w:tcPr>
            <w:tcW w:w="1133" w:type="dxa"/>
          </w:tcPr>
          <w:p w14:paraId="297EE806" w14:textId="77777777" w:rsidR="00481FB1" w:rsidRPr="00A52064" w:rsidRDefault="00481FB1" w:rsidP="00A52064">
            <w:pPr>
              <w:pStyle w:val="TableCopy"/>
            </w:pPr>
            <w:r w:rsidRPr="00A52064">
              <w:t>7.7</w:t>
            </w:r>
          </w:p>
        </w:tc>
        <w:tc>
          <w:tcPr>
            <w:tcW w:w="1133" w:type="dxa"/>
          </w:tcPr>
          <w:p w14:paraId="0497F66A" w14:textId="77777777" w:rsidR="00481FB1" w:rsidRPr="00A52064" w:rsidRDefault="00481FB1" w:rsidP="00A52064">
            <w:pPr>
              <w:pStyle w:val="TableCopy"/>
            </w:pPr>
            <w:r w:rsidRPr="00A52064">
              <w:t>8.7</w:t>
            </w:r>
          </w:p>
        </w:tc>
        <w:tc>
          <w:tcPr>
            <w:tcW w:w="1133" w:type="dxa"/>
          </w:tcPr>
          <w:p w14:paraId="54D4F7E1" w14:textId="77777777" w:rsidR="00481FB1" w:rsidRPr="00A52064" w:rsidRDefault="00481FB1" w:rsidP="00A52064">
            <w:pPr>
              <w:pStyle w:val="TableCopy"/>
            </w:pPr>
            <w:r w:rsidRPr="00A52064">
              <w:t>5.7</w:t>
            </w:r>
          </w:p>
        </w:tc>
      </w:tr>
      <w:tr w:rsidR="00481FB1" w:rsidRPr="00A52064" w14:paraId="429BD399" w14:textId="77777777" w:rsidTr="00A52064">
        <w:trPr>
          <w:trHeight w:val="566"/>
        </w:trPr>
        <w:tc>
          <w:tcPr>
            <w:tcW w:w="3402" w:type="dxa"/>
          </w:tcPr>
          <w:p w14:paraId="047AAC0D" w14:textId="77777777" w:rsidR="00481FB1" w:rsidRPr="00A52064" w:rsidRDefault="00481FB1" w:rsidP="00A52064">
            <w:pPr>
              <w:pStyle w:val="TableCopy"/>
            </w:pPr>
            <w:r w:rsidRPr="00A52064">
              <w:t>Annual expenditure ($ billion)</w:t>
            </w:r>
          </w:p>
        </w:tc>
        <w:tc>
          <w:tcPr>
            <w:tcW w:w="1133" w:type="dxa"/>
          </w:tcPr>
          <w:p w14:paraId="71272A10" w14:textId="77777777" w:rsidR="00481FB1" w:rsidRPr="00A52064" w:rsidRDefault="00481FB1" w:rsidP="00A52064">
            <w:pPr>
              <w:pStyle w:val="TableCopy"/>
            </w:pPr>
            <w:r w:rsidRPr="00A52064">
              <w:t>$1.2</w:t>
            </w:r>
          </w:p>
        </w:tc>
        <w:tc>
          <w:tcPr>
            <w:tcW w:w="1133" w:type="dxa"/>
          </w:tcPr>
          <w:p w14:paraId="0685A2A0" w14:textId="77777777" w:rsidR="00481FB1" w:rsidRPr="00A52064" w:rsidRDefault="00481FB1" w:rsidP="00A52064">
            <w:pPr>
              <w:pStyle w:val="TableCopy"/>
            </w:pPr>
            <w:r w:rsidRPr="00A52064">
              <w:t>$1.4</w:t>
            </w:r>
          </w:p>
        </w:tc>
        <w:tc>
          <w:tcPr>
            <w:tcW w:w="1133" w:type="dxa"/>
          </w:tcPr>
          <w:p w14:paraId="4FBC7C83" w14:textId="77777777" w:rsidR="00481FB1" w:rsidRPr="00A52064" w:rsidRDefault="00481FB1" w:rsidP="00A52064">
            <w:pPr>
              <w:pStyle w:val="TableCopy"/>
            </w:pPr>
            <w:r w:rsidRPr="00A52064">
              <w:t>$1.4</w:t>
            </w:r>
          </w:p>
        </w:tc>
        <w:tc>
          <w:tcPr>
            <w:tcW w:w="1133" w:type="dxa"/>
          </w:tcPr>
          <w:p w14:paraId="0D0183C3" w14:textId="77777777" w:rsidR="00481FB1" w:rsidRPr="00A52064" w:rsidRDefault="00481FB1" w:rsidP="00A52064">
            <w:pPr>
              <w:pStyle w:val="TableCopy"/>
            </w:pPr>
            <w:r w:rsidRPr="00A52064">
              <w:t>$1.6</w:t>
            </w:r>
          </w:p>
        </w:tc>
        <w:tc>
          <w:tcPr>
            <w:tcW w:w="1133" w:type="dxa"/>
          </w:tcPr>
          <w:p w14:paraId="0E287EF9" w14:textId="77777777" w:rsidR="00481FB1" w:rsidRPr="00A52064" w:rsidRDefault="00481FB1" w:rsidP="00A52064">
            <w:pPr>
              <w:pStyle w:val="TableCopy"/>
            </w:pPr>
            <w:r w:rsidRPr="00A52064">
              <w:t>$1.2</w:t>
            </w:r>
          </w:p>
        </w:tc>
      </w:tr>
    </w:tbl>
    <w:p w14:paraId="0C07E86D" w14:textId="77777777" w:rsidR="00481FB1" w:rsidRDefault="00481FB1" w:rsidP="00A52064">
      <w:pPr>
        <w:pStyle w:val="Source"/>
      </w:pPr>
      <w:r>
        <w:t xml:space="preserve">Source: Tourism Research Australia research data, as reported by DJPR – Tourism, Events and the Visitor Economy Research 2021. </w:t>
      </w:r>
    </w:p>
    <w:p w14:paraId="266C4F94" w14:textId="77777777" w:rsidR="00481FB1" w:rsidRDefault="00481FB1" w:rsidP="00A52064">
      <w:pPr>
        <w:pStyle w:val="Source"/>
      </w:pPr>
      <w:r>
        <w:t xml:space="preserve">Note: From 2021 tourism data for Regional Partnership regions is defined based on SA2 boundaries. Prior data is based on LGA boundaries and therefore estimates may differ slightly. </w:t>
      </w:r>
    </w:p>
    <w:p w14:paraId="3767F5FB" w14:textId="249035C8" w:rsidR="00481FB1" w:rsidRPr="00A52064" w:rsidRDefault="00481FB1" w:rsidP="00A52064">
      <w:pPr>
        <w:pStyle w:val="Heading2"/>
      </w:pPr>
      <w:bookmarkStart w:id="92" w:name="_Toc106189462"/>
      <w:bookmarkStart w:id="93" w:name="_Toc118405131"/>
      <w:r w:rsidRPr="00A52064">
        <w:t>The policy environment</w:t>
      </w:r>
      <w:bookmarkEnd w:id="92"/>
      <w:bookmarkEnd w:id="93"/>
    </w:p>
    <w:p w14:paraId="2A5464EB" w14:textId="77777777" w:rsidR="00481FB1" w:rsidRDefault="00481FB1" w:rsidP="00A52064">
      <w:pPr>
        <w:pStyle w:val="Normalbeforebullet"/>
      </w:pPr>
      <w:r>
        <w:t>Growing the visitor economy in Gippsland is in line with state and local priorities:</w:t>
      </w:r>
    </w:p>
    <w:p w14:paraId="02B050D5" w14:textId="77777777" w:rsidR="00481FB1" w:rsidRDefault="00481FB1" w:rsidP="00481FB1">
      <w:pPr>
        <w:pStyle w:val="Bullet"/>
        <w:numPr>
          <w:ilvl w:val="0"/>
          <w:numId w:val="35"/>
        </w:numPr>
        <w:spacing w:after="160"/>
      </w:pPr>
      <w:r>
        <w:t xml:space="preserve">The Victorian Government’s </w:t>
      </w:r>
      <w:r>
        <w:rPr>
          <w:rStyle w:val="bodyitalics"/>
        </w:rPr>
        <w:t>Visitor Economy Recovery and Reform Plan</w:t>
      </w:r>
      <w:r>
        <w:t xml:space="preserve"> (2021)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will be the </w:t>
      </w:r>
      <w:r>
        <w:rPr>
          <w:rStyle w:val="bodyitalics"/>
        </w:rPr>
        <w:t>Nature-Based Tourism Plan</w:t>
      </w:r>
      <w:r>
        <w:t xml:space="preserve"> and the </w:t>
      </w:r>
      <w:r>
        <w:rPr>
          <w:rStyle w:val="bodyitalics"/>
        </w:rPr>
        <w:t>First Peoples’ Tourism Plan</w:t>
      </w:r>
      <w:r>
        <w:t xml:space="preserve">) and the establishment of Visitor Economy Partnerships across Victoria. </w:t>
      </w:r>
    </w:p>
    <w:p w14:paraId="4119BD77" w14:textId="77777777" w:rsidR="00481FB1" w:rsidRDefault="00481FB1" w:rsidP="00481FB1">
      <w:pPr>
        <w:pStyle w:val="Bullet"/>
        <w:numPr>
          <w:ilvl w:val="0"/>
          <w:numId w:val="35"/>
        </w:numPr>
        <w:spacing w:after="160"/>
      </w:pPr>
      <w:r>
        <w:lastRenderedPageBreak/>
        <w:t xml:space="preserve">The Latrobe Valley Authority’s Smart Specialisation work, which identifies the visitor economy as one of Gippsland’s identified future growth industries. </w:t>
      </w:r>
    </w:p>
    <w:p w14:paraId="13866004" w14:textId="77777777" w:rsidR="00481FB1" w:rsidRDefault="00481FB1" w:rsidP="00481FB1">
      <w:pPr>
        <w:pStyle w:val="Bullet"/>
        <w:numPr>
          <w:ilvl w:val="0"/>
          <w:numId w:val="35"/>
        </w:numPr>
        <w:spacing w:after="160"/>
      </w:pPr>
      <w:r>
        <w:t xml:space="preserve">Destination Gippsland’s </w:t>
      </w:r>
      <w:r>
        <w:rPr>
          <w:rStyle w:val="bodyitalics"/>
        </w:rPr>
        <w:t xml:space="preserve">Towards 2030 Gippsland Destination Management Plan </w:t>
      </w:r>
      <w:r>
        <w:t>provides a clear vision for achieve long-term, sustainable growth in Gippsland’s visitor economy with a focus on nature-based, epicurean, adventure and heritage tourism.</w:t>
      </w:r>
    </w:p>
    <w:p w14:paraId="251E4582" w14:textId="77777777" w:rsidR="00481FB1" w:rsidRDefault="00481FB1" w:rsidP="00A52064">
      <w:pPr>
        <w:pStyle w:val="Bulletlast"/>
      </w:pPr>
      <w:r>
        <w:t xml:space="preserve">The </w:t>
      </w:r>
      <w:r>
        <w:rPr>
          <w:rStyle w:val="bodyitalics"/>
        </w:rPr>
        <w:t>Gippsland Regional Plan 2020-25</w:t>
      </w:r>
      <w:r>
        <w:t xml:space="preserve"> identifies the visitor economy as a key economic sector with opportunities across a range of visitor economy pillars (nature-based, gourmet food and beverage, heritage and culture and sporting events). </w:t>
      </w:r>
    </w:p>
    <w:p w14:paraId="377B35E1" w14:textId="77777777" w:rsidR="00481FB1" w:rsidRDefault="00481FB1" w:rsidP="00481FB1">
      <w:r>
        <w:t xml:space="preserve">The Victorian Government is also investing in a range of visitor economy initiatives to diversify Gippsland’s economy and support recovery from bushfires and the COVID-19 pandemic. </w:t>
      </w:r>
    </w:p>
    <w:p w14:paraId="0CCECEC2" w14:textId="4DF5D43A" w:rsidR="00481FB1" w:rsidRPr="00A52064" w:rsidRDefault="00481FB1" w:rsidP="00A52064">
      <w:pPr>
        <w:pStyle w:val="Heading2"/>
      </w:pPr>
      <w:bookmarkStart w:id="94" w:name="_Toc106189463"/>
      <w:bookmarkStart w:id="95" w:name="_Toc118405132"/>
      <w:r w:rsidRPr="00A52064">
        <w:t>Aboriginal inclusion</w:t>
      </w:r>
      <w:bookmarkEnd w:id="94"/>
      <w:bookmarkEnd w:id="95"/>
    </w:p>
    <w:p w14:paraId="74DEB008" w14:textId="77777777" w:rsidR="00481FB1" w:rsidRDefault="00481FB1" w:rsidP="00481FB1">
      <w:r>
        <w:t xml:space="preserve">GLaWAC’s </w:t>
      </w:r>
      <w:r>
        <w:rPr>
          <w:rStyle w:val="bodyitalics"/>
        </w:rPr>
        <w:t>Aboriginal Economic Development Strategy; Building on the legacy</w:t>
      </w:r>
      <w:r>
        <w:t xml:space="preserve"> recognises cultural tourism, art and design and food and hospitality as unique strengths of local Aboriginal communities. With over 17 per cent of the local Aboriginal workforce employed in sectors that directly support the visitor economy—including accommodation and food services, arts and recreation and retail trade—efforts to enhance the visitor economy will create enterprise and employment opportunities for Aboriginal communities in Gippsland. </w:t>
      </w:r>
    </w:p>
    <w:p w14:paraId="0282FE4E" w14:textId="59007938" w:rsidR="00481FB1" w:rsidRPr="00A52064" w:rsidRDefault="00481FB1" w:rsidP="00A52064">
      <w:pPr>
        <w:pStyle w:val="Heading2"/>
      </w:pPr>
      <w:bookmarkStart w:id="96" w:name="_Toc106189464"/>
      <w:bookmarkStart w:id="97" w:name="_Toc118405133"/>
      <w:r w:rsidRPr="00A52064">
        <w:t>How can we unlock this strategic direction?</w:t>
      </w:r>
      <w:bookmarkEnd w:id="96"/>
      <w:bookmarkEnd w:id="97"/>
    </w:p>
    <w:p w14:paraId="76629D72" w14:textId="77777777" w:rsidR="00481FB1" w:rsidRDefault="00481FB1" w:rsidP="00A52064">
      <w:pPr>
        <w:pStyle w:val="Normalbeforebullet"/>
      </w:pPr>
      <w:r>
        <w:t>To unlock this opportunity and drive growth, local, State and Commonwealth partners could work together to:</w:t>
      </w:r>
    </w:p>
    <w:p w14:paraId="403F1793" w14:textId="77777777" w:rsidR="00481FB1" w:rsidRDefault="00481FB1" w:rsidP="00481FB1">
      <w:pPr>
        <w:pStyle w:val="Bullet"/>
        <w:numPr>
          <w:ilvl w:val="0"/>
          <w:numId w:val="35"/>
        </w:numPr>
        <w:spacing w:after="160"/>
      </w:pPr>
      <w:r>
        <w:t xml:space="preserve">Support development of experiences that enable year-round visitation, particularly in areas which currently have a seasonal visitation focus such as coastal, lakes and alpine regions. </w:t>
      </w:r>
    </w:p>
    <w:p w14:paraId="4F78483B" w14:textId="77777777" w:rsidR="00481FB1" w:rsidRDefault="00481FB1" w:rsidP="00481FB1">
      <w:pPr>
        <w:pStyle w:val="Bullet"/>
        <w:numPr>
          <w:ilvl w:val="0"/>
          <w:numId w:val="35"/>
        </w:numPr>
        <w:spacing w:after="160"/>
      </w:pPr>
      <w:r>
        <w:t>Coordinate tourism planning across government and tourism boards to align priorities and maximise investment outcomes, including with representatives in NSW.</w:t>
      </w:r>
    </w:p>
    <w:p w14:paraId="5477D381" w14:textId="1FE8F58E" w:rsidR="00481FB1" w:rsidRDefault="00481FB1" w:rsidP="00481FB1">
      <w:pPr>
        <w:pStyle w:val="Bullet"/>
        <w:numPr>
          <w:ilvl w:val="0"/>
          <w:numId w:val="35"/>
        </w:numPr>
        <w:spacing w:after="160"/>
      </w:pPr>
      <w:r>
        <w:t>Identify regional tourism offerings that have current and future ‘hero’ potential to elevate</w:t>
      </w:r>
      <w:r w:rsidR="00A52064">
        <w:t xml:space="preserve"> </w:t>
      </w:r>
      <w:r>
        <w:t>the region.</w:t>
      </w:r>
    </w:p>
    <w:p w14:paraId="13F9CE10" w14:textId="580B1CA1" w:rsidR="00481FB1" w:rsidRDefault="00481FB1" w:rsidP="00481FB1">
      <w:pPr>
        <w:pStyle w:val="Bullet"/>
        <w:numPr>
          <w:ilvl w:val="0"/>
          <w:numId w:val="35"/>
        </w:numPr>
        <w:spacing w:after="160"/>
      </w:pPr>
      <w:r>
        <w:t xml:space="preserve">Focus on place-based solutions to support the region recover from natural and economic shocks. </w:t>
      </w:r>
    </w:p>
    <w:p w14:paraId="7162F940" w14:textId="77777777" w:rsidR="00481FB1" w:rsidRDefault="00481FB1" w:rsidP="00481FB1">
      <w:pPr>
        <w:pStyle w:val="Bullet"/>
        <w:numPr>
          <w:ilvl w:val="0"/>
          <w:numId w:val="35"/>
        </w:numPr>
        <w:spacing w:after="160"/>
      </w:pPr>
      <w:r>
        <w:t xml:space="preserve">Support Aboriginal communities to activate business opportunities in the visitor economy and land management based on the principles of self-determination. </w:t>
      </w:r>
    </w:p>
    <w:p w14:paraId="7D010A5A" w14:textId="77777777" w:rsidR="00481FB1" w:rsidRDefault="00481FB1" w:rsidP="00A52064">
      <w:pPr>
        <w:pStyle w:val="Bulletlast"/>
      </w:pPr>
      <w:r>
        <w:t xml:space="preserve">Support development and delivery of a pipeline of projects with a focus on business development, product offerings and management of natural assets to enhance visitors’ experience in the region. </w:t>
      </w:r>
    </w:p>
    <w:p w14:paraId="40B442F6" w14:textId="7FAC97A4" w:rsidR="00481FB1" w:rsidRDefault="00481FB1" w:rsidP="00A52064">
      <w:pPr>
        <w:pStyle w:val="Heading2"/>
      </w:pPr>
      <w:bookmarkStart w:id="98" w:name="_Toc106189465"/>
      <w:bookmarkStart w:id="99" w:name="_Toc118405134"/>
      <w:r>
        <w:lastRenderedPageBreak/>
        <w:t>4.5</w:t>
      </w:r>
      <w:r w:rsidR="00A52064">
        <w:t xml:space="preserve"> </w:t>
      </w:r>
      <w:r>
        <w:t>Enhance regional specialisation in health care and social assistance</w:t>
      </w:r>
      <w:bookmarkEnd w:id="98"/>
      <w:bookmarkEnd w:id="99"/>
      <w:r>
        <w:t xml:space="preserve"> </w:t>
      </w:r>
    </w:p>
    <w:p w14:paraId="5E799DF3" w14:textId="1B425DC6" w:rsidR="00481FB1" w:rsidRPr="00A52064" w:rsidRDefault="00481FB1" w:rsidP="00A52064">
      <w:pPr>
        <w:pStyle w:val="Heading2"/>
      </w:pPr>
      <w:bookmarkStart w:id="100" w:name="_Toc106189466"/>
      <w:bookmarkStart w:id="101" w:name="_Toc118405135"/>
      <w:r w:rsidRPr="00A52064">
        <w:t>Significance</w:t>
      </w:r>
      <w:bookmarkEnd w:id="100"/>
      <w:bookmarkEnd w:id="101"/>
    </w:p>
    <w:p w14:paraId="7AAD5129" w14:textId="77777777" w:rsidR="00481FB1" w:rsidRDefault="00481FB1" w:rsidP="00481FB1">
      <w:r>
        <w:t xml:space="preserve">Health care and social assistance is the region’s largest employer and is expected to grow significantly in the coming years in line with demographic changes. This will create employment opportunities in diverse fields and create opportunities for workers transitioning from other fields. Local stakeholders are focused on how innovation in the health care and social assistance sector can strengthen regional specialisation and meet the increasing and diversified demand for population services. </w:t>
      </w:r>
    </w:p>
    <w:p w14:paraId="660F8296" w14:textId="5C143DAF" w:rsidR="00481FB1" w:rsidRPr="00A52064" w:rsidRDefault="00481FB1" w:rsidP="00A52064">
      <w:pPr>
        <w:pStyle w:val="Heading2"/>
      </w:pPr>
      <w:bookmarkStart w:id="102" w:name="_Toc106189467"/>
      <w:bookmarkStart w:id="103" w:name="_Toc118405136"/>
      <w:r w:rsidRPr="00A52064">
        <w:t>Opportunities</w:t>
      </w:r>
      <w:bookmarkEnd w:id="102"/>
      <w:bookmarkEnd w:id="103"/>
    </w:p>
    <w:p w14:paraId="7C119585" w14:textId="77777777" w:rsidR="00481FB1" w:rsidRDefault="00481FB1" w:rsidP="00A52064">
      <w:pPr>
        <w:pStyle w:val="Heading3"/>
      </w:pPr>
      <w:r>
        <w:t xml:space="preserve">Product innovation </w:t>
      </w:r>
    </w:p>
    <w:p w14:paraId="49A21823" w14:textId="77777777" w:rsidR="00481FB1" w:rsidRDefault="00481FB1" w:rsidP="00481FB1">
      <w:r>
        <w:t xml:space="preserve">Gippsland is characterised by unique geography with concentrated population centres in the west and central regions and dispersed or remote populations to the east. The region also has relatively high levels of socioeconomic disadvantage which can create poorer health and education outcomes. These challenges require health providers to explore innovative activities to reach and service the local population through hub and spoke models, digital health innovation, telehealth or other methods. </w:t>
      </w:r>
    </w:p>
    <w:p w14:paraId="6A84C443" w14:textId="0F8F4ABA" w:rsidR="00481FB1" w:rsidRDefault="00481FB1" w:rsidP="00A52064">
      <w:pPr>
        <w:pStyle w:val="Heading3"/>
      </w:pPr>
      <w:r>
        <w:t>Address labour participation and youth outmigration</w:t>
      </w:r>
    </w:p>
    <w:p w14:paraId="026A3E79" w14:textId="77777777" w:rsidR="00481FB1" w:rsidRDefault="00481FB1" w:rsidP="00481FB1">
      <w:r>
        <w:t xml:space="preserve">Between 2019 and 2024, an additional 3,000 people are projected to find employment in health care and social assistance. Meanwhile, at 57.7 per cent, Gippsland has relatively low levels of labour force participation and young people aged 15-24 migrate out of most parts of Gippsland at higher rates than regional averages. There are opportunities to support greater engagement of the local workforce to meet this increasing demand for workers and stem the outflow of young people from the region. Promoting careers in the health care and social services sector, leveraging local training assets and creating training and employment pathways that target under engaged population segments may assist with this. </w:t>
      </w:r>
    </w:p>
    <w:p w14:paraId="40EB4C4C" w14:textId="0732877B" w:rsidR="00481FB1" w:rsidRDefault="00481FB1" w:rsidP="00A52064">
      <w:pPr>
        <w:pStyle w:val="Heading3"/>
      </w:pPr>
      <w:r>
        <w:t xml:space="preserve">Partnership with education and training providers </w:t>
      </w:r>
    </w:p>
    <w:p w14:paraId="1DDADD20" w14:textId="77777777" w:rsidR="00481FB1" w:rsidRDefault="00481FB1" w:rsidP="00481FB1">
      <w:r>
        <w:t xml:space="preserve">Gippsland’s growing culture of innovation includes strong connections between industry and training providers to ensure access to lifelong learning and to skilled workers. Stronger partnerships between the health care and social assistance sector and education and training providers—including TAFE Gippsland, Federation University and Monash Rural Health—are critical to ensure delivery of appropriate courses, encourage clinical placements in Gippsland and enhance the profile of a career in the health care and social assistance sector. </w:t>
      </w:r>
    </w:p>
    <w:p w14:paraId="73ECEC1A" w14:textId="77777777" w:rsidR="00481FB1" w:rsidRDefault="00481FB1" w:rsidP="00A52064">
      <w:pPr>
        <w:pStyle w:val="Heading3"/>
      </w:pPr>
      <w:r>
        <w:lastRenderedPageBreak/>
        <w:t xml:space="preserve">Improving labour market inclusion </w:t>
      </w:r>
    </w:p>
    <w:p w14:paraId="632AA94A" w14:textId="77777777" w:rsidR="00481FB1" w:rsidRDefault="00481FB1" w:rsidP="00481FB1">
      <w:r>
        <w:t>There is evidence of a correlation between low economic participation and high socioeconomic disadvantage. Difficulty in accessing the same opportunities and services as those in more populated areas has implications for workforce participation and labour outcomes. Encouraging and boosting employment opportunities for disengaged cohorts provides an avenue for maximising local labour capacities while building a more diverse and inclusive workforce. Addressing the underlying issues that result in low economic participation and ensuring work practices, policies and strategies are also inclusive will be critical to ensuring that inclusive employment generates long term and lasting benefits.</w:t>
      </w:r>
    </w:p>
    <w:p w14:paraId="76AD61DB" w14:textId="19D3F6B8" w:rsidR="00481FB1" w:rsidRDefault="00481FB1" w:rsidP="00A52064">
      <w:pPr>
        <w:pStyle w:val="FigureInfographics"/>
      </w:pPr>
      <w:r w:rsidRPr="00A52064">
        <w:t>Figure 8: Participation rate by gender (2016)</w:t>
      </w:r>
    </w:p>
    <w:p w14:paraId="73ACA644" w14:textId="3122DC43" w:rsidR="00A52064" w:rsidRDefault="00A52064" w:rsidP="00A52064">
      <w:r>
        <w:rPr>
          <w:noProof/>
        </w:rPr>
        <w:drawing>
          <wp:inline distT="0" distB="0" distL="0" distR="0" wp14:anchorId="1642A67A" wp14:editId="505C67B2">
            <wp:extent cx="2880366" cy="2542037"/>
            <wp:effectExtent l="0" t="0" r="0" b="0"/>
            <wp:docPr id="8" name="Picture 8" descr="Graph showing workforce participation by gender in Gippsland. Participation of both males and females is lower in Gippsland than in both regional Victoria as a whole and Metro Melbourne. Data is provided at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workforce participation by gender in Gippsland. Participation of both males and females is lower in Gippsland than in both regional Victoria as a whole and Metro Melbourne. Data is provided at the link below the grap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66" cy="2542037"/>
                    </a:xfrm>
                    <a:prstGeom prst="rect">
                      <a:avLst/>
                    </a:prstGeom>
                  </pic:spPr>
                </pic:pic>
              </a:graphicData>
            </a:graphic>
          </wp:inline>
        </w:drawing>
      </w:r>
    </w:p>
    <w:p w14:paraId="2168B56F" w14:textId="430E7E76" w:rsidR="009E3E19" w:rsidRPr="00A52064" w:rsidRDefault="00000000" w:rsidP="00A52064">
      <w:hyperlink w:anchor="_Figure_8_Participation" w:history="1">
        <w:r w:rsidR="009E3E19" w:rsidRPr="009E3E19">
          <w:rPr>
            <w:rStyle w:val="Hyperlink"/>
          </w:rPr>
          <w:t>Figure 8 Participation rate by gender (2016) – Long Alternate Text</w:t>
        </w:r>
      </w:hyperlink>
    </w:p>
    <w:p w14:paraId="749016ED" w14:textId="77777777" w:rsidR="00481FB1" w:rsidRDefault="00481FB1" w:rsidP="00A52064">
      <w:pPr>
        <w:pStyle w:val="Source"/>
      </w:pPr>
      <w:bookmarkStart w:id="104" w:name="Fig_8"/>
      <w:bookmarkEnd w:id="104"/>
      <w:r>
        <w:t>Source: ABS Census, 2016</w:t>
      </w:r>
    </w:p>
    <w:p w14:paraId="56CC726A" w14:textId="77777777" w:rsidR="00481FB1" w:rsidRDefault="00481FB1" w:rsidP="00481FB1">
      <w:r>
        <w:t xml:space="preserve">Consistent with the pattern across the state and regional Victoria, the female participation rate in the Gippsland region is significantly lower than the male participation rate. This disparity presents an opportunity to boost future economic growth by addressing the comparatively high proportion of part-time workers and relatively lower participation rate for female workers. </w:t>
      </w:r>
    </w:p>
    <w:p w14:paraId="5EBFE361" w14:textId="1DDF9A16" w:rsidR="00481FB1" w:rsidRPr="00544DD4" w:rsidRDefault="00481FB1" w:rsidP="00544DD4">
      <w:pPr>
        <w:pStyle w:val="Heading2"/>
      </w:pPr>
      <w:bookmarkStart w:id="105" w:name="_Toc106189468"/>
      <w:bookmarkStart w:id="106" w:name="_Toc118405137"/>
      <w:r w:rsidRPr="00544DD4">
        <w:t>Challenges</w:t>
      </w:r>
      <w:bookmarkEnd w:id="105"/>
      <w:bookmarkEnd w:id="106"/>
    </w:p>
    <w:p w14:paraId="0282EE2A" w14:textId="77777777" w:rsidR="00481FB1" w:rsidRDefault="00481FB1" w:rsidP="00544DD4">
      <w:pPr>
        <w:pStyle w:val="Heading3"/>
      </w:pPr>
      <w:r>
        <w:t xml:space="preserve">Workforce attraction and retention </w:t>
      </w:r>
    </w:p>
    <w:p w14:paraId="73F76046" w14:textId="77777777" w:rsidR="00481FB1" w:rsidRDefault="00481FB1" w:rsidP="00481FB1">
      <w:r>
        <w:t xml:space="preserve">Local stakeholders report serious and persistent shortages of qualified health care professionals. The drivers of these shortages include youth out-migration, an aging population, lower participation rates and limited local training pathways to some health care professions. Housing availability and the perception that small-scale rural or remote services may not have the same benefits as large centres also limits the ability of the region to attract skilled healthcare workers. </w:t>
      </w:r>
    </w:p>
    <w:p w14:paraId="74356546" w14:textId="77777777" w:rsidR="00481FB1" w:rsidRDefault="00481FB1" w:rsidP="00544DD4">
      <w:pPr>
        <w:pStyle w:val="Heading3"/>
      </w:pPr>
      <w:r>
        <w:lastRenderedPageBreak/>
        <w:t xml:space="preserve">Digital inequalities </w:t>
      </w:r>
    </w:p>
    <w:p w14:paraId="3F7B2B56" w14:textId="77777777" w:rsidR="00481FB1" w:rsidRDefault="00481FB1" w:rsidP="00544DD4">
      <w:pPr>
        <w:pStyle w:val="Normalbeforebullet"/>
      </w:pPr>
      <w:r>
        <w:t xml:space="preserve">The </w:t>
      </w:r>
      <w:r>
        <w:rPr>
          <w:rStyle w:val="bodyitalics"/>
        </w:rPr>
        <w:t>Gippsland Regional Digital Plan</w:t>
      </w:r>
      <w:r>
        <w:t xml:space="preserve"> notes that digital intensity in the health care and social assistance sector is expected to increase significantly in the coming years with the roll out of telehealth, digitisation of records and analysis and robot assisted operations. Gippsland has relatively lower levels of digital inclusion compared to both regional and metropolitan areas of Victoria. This limits service provision and innovation in the health care and social assistance sector:</w:t>
      </w:r>
    </w:p>
    <w:p w14:paraId="733A5449" w14:textId="6E568D25" w:rsidR="00481FB1" w:rsidRDefault="00481FB1" w:rsidP="00481FB1">
      <w:pPr>
        <w:pStyle w:val="Bullet"/>
        <w:numPr>
          <w:ilvl w:val="0"/>
          <w:numId w:val="35"/>
        </w:numPr>
        <w:spacing w:after="160"/>
      </w:pPr>
      <w:r>
        <w:rPr>
          <w:rStyle w:val="bodyitalics"/>
        </w:rPr>
        <w:t xml:space="preserve">Service provision: </w:t>
      </w:r>
      <w:r>
        <w:t>mobile blackspots can limit the provision of in-home care and emergency response.</w:t>
      </w:r>
    </w:p>
    <w:p w14:paraId="1FC070C1" w14:textId="6AC74447" w:rsidR="00481FB1" w:rsidRDefault="00481FB1" w:rsidP="00544DD4">
      <w:pPr>
        <w:pStyle w:val="Bulletlast"/>
      </w:pPr>
      <w:r>
        <w:rPr>
          <w:rStyle w:val="bodyitalics"/>
          <w:spacing w:val="-2"/>
        </w:rPr>
        <w:t xml:space="preserve">Innovation: </w:t>
      </w:r>
      <w:r>
        <w:t xml:space="preserve">Gippsland’s regional universities and hospitals need to compete with metropolitan organisations for research and private investment in digital health innovation. Metropolitan organisations often have superior digital connectivity, existing research records and private sector investment. This may challenge some of Gippsland’s efforts to create place-based responses to health care challenges or commercialise digital health innovations. </w:t>
      </w:r>
    </w:p>
    <w:p w14:paraId="38959AAA" w14:textId="1BE4353B" w:rsidR="00481FB1" w:rsidRPr="00544DD4" w:rsidRDefault="00481FB1" w:rsidP="00544DD4">
      <w:pPr>
        <w:pStyle w:val="Heading2"/>
      </w:pPr>
      <w:bookmarkStart w:id="107" w:name="_Toc106189469"/>
      <w:bookmarkStart w:id="108" w:name="_Toc118405138"/>
      <w:r w:rsidRPr="00544DD4">
        <w:t>The policy environment</w:t>
      </w:r>
      <w:bookmarkEnd w:id="107"/>
      <w:bookmarkEnd w:id="108"/>
    </w:p>
    <w:p w14:paraId="5E5B443F" w14:textId="77777777" w:rsidR="00481FB1" w:rsidRDefault="00481FB1" w:rsidP="00544DD4">
      <w:pPr>
        <w:pStyle w:val="Normalbeforebullet"/>
      </w:pPr>
      <w:r>
        <w:t>Enhancing regional specialisation in health care and social assistance in the Gippsland region is in line with state and local priorities:</w:t>
      </w:r>
    </w:p>
    <w:p w14:paraId="6E561294" w14:textId="77777777" w:rsidR="00481FB1" w:rsidRDefault="00481FB1" w:rsidP="00481FB1">
      <w:pPr>
        <w:pStyle w:val="Bullet"/>
        <w:numPr>
          <w:ilvl w:val="0"/>
          <w:numId w:val="35"/>
        </w:numPr>
        <w:spacing w:after="160"/>
      </w:pPr>
      <w:r>
        <w:t xml:space="preserve">The Victorian Government established the </w:t>
      </w:r>
      <w:r>
        <w:rPr>
          <w:rStyle w:val="bodyitalics"/>
        </w:rPr>
        <w:t>Latrobe Health Innovation Zone</w:t>
      </w:r>
      <w:r>
        <w:t xml:space="preserve"> in 2016 to improve health and wellbeing of residents in Latrobe City, with partners, local health providers and the community working together to drive innovation and change. </w:t>
      </w:r>
    </w:p>
    <w:p w14:paraId="7713B4F8" w14:textId="1CDAC9BD" w:rsidR="00481FB1" w:rsidRDefault="00481FB1" w:rsidP="00481FB1">
      <w:pPr>
        <w:pStyle w:val="Bullet"/>
        <w:numPr>
          <w:ilvl w:val="0"/>
          <w:numId w:val="35"/>
        </w:numPr>
        <w:spacing w:after="160"/>
      </w:pPr>
      <w:r>
        <w:t>The Latrobe Valley Authority, through Gippsland’s Smart Specialisation Strategy project, identifies health and wellbeing as an area of regional strength and is exploring the role of partnerships, workforce planning and health and education hubs to realise economic opportunities.</w:t>
      </w:r>
    </w:p>
    <w:p w14:paraId="4A127C03" w14:textId="77777777" w:rsidR="00481FB1" w:rsidRDefault="00481FB1" w:rsidP="00544DD4">
      <w:pPr>
        <w:pStyle w:val="Bulletlast"/>
      </w:pPr>
      <w:r>
        <w:t xml:space="preserve">The </w:t>
      </w:r>
      <w:r>
        <w:rPr>
          <w:rStyle w:val="bodyitalics"/>
          <w:spacing w:val="-2"/>
        </w:rPr>
        <w:t xml:space="preserve">Gippsland Regional Plan 2020-25 </w:t>
      </w:r>
      <w:r>
        <w:t xml:space="preserve">identifies health care and social assistance as a key economic sector and notes population and aging will create further demand for health-related employment and capability development. </w:t>
      </w:r>
    </w:p>
    <w:p w14:paraId="422C6AE9" w14:textId="77777777" w:rsidR="00481FB1" w:rsidRDefault="00481FB1" w:rsidP="00481FB1">
      <w:r>
        <w:t xml:space="preserve">The Australian and Victorian Governments are investing in digital and telecommunications infrastructure that is critical to the provision of care and digital health innovation. This includes the Mobile Blackspot program and Connecting Victoria. </w:t>
      </w:r>
    </w:p>
    <w:p w14:paraId="3D0E5518" w14:textId="107A1F12" w:rsidR="00481FB1" w:rsidRPr="00544DD4" w:rsidRDefault="00481FB1" w:rsidP="00544DD4">
      <w:pPr>
        <w:pStyle w:val="Heading2"/>
      </w:pPr>
      <w:bookmarkStart w:id="109" w:name="_Toc106189470"/>
      <w:bookmarkStart w:id="110" w:name="_Toc118405139"/>
      <w:r w:rsidRPr="00544DD4">
        <w:t>Aboriginal inclusion</w:t>
      </w:r>
      <w:bookmarkEnd w:id="109"/>
      <w:bookmarkEnd w:id="110"/>
    </w:p>
    <w:p w14:paraId="69E35B7F" w14:textId="77777777" w:rsidR="00481FB1" w:rsidRDefault="00481FB1" w:rsidP="00481FB1">
      <w:r>
        <w:t>The health care and social assistance and education and training sectors are important employers among the Aboriginal workforce in Gippsland, employing over 30 per cent of the workforce. Efforts to enhance the specialisation in these sectors will likely have positive employment outcomes for Aboriginal workers. The region is home to several of Victoria’s Aboriginal Community Controlled Health Organisations, which are crucial local stakeholders in delivering community, health and cultural heritage services.</w:t>
      </w:r>
    </w:p>
    <w:p w14:paraId="19DA9390" w14:textId="40672138" w:rsidR="00481FB1" w:rsidRPr="00544DD4" w:rsidRDefault="00481FB1" w:rsidP="00544DD4">
      <w:pPr>
        <w:pStyle w:val="Heading2"/>
      </w:pPr>
      <w:bookmarkStart w:id="111" w:name="_Toc106189471"/>
      <w:bookmarkStart w:id="112" w:name="_Toc118405140"/>
      <w:r w:rsidRPr="00544DD4">
        <w:lastRenderedPageBreak/>
        <w:t>How can we unlock this strategic direction?</w:t>
      </w:r>
      <w:bookmarkEnd w:id="111"/>
      <w:bookmarkEnd w:id="112"/>
    </w:p>
    <w:p w14:paraId="715BCAE2" w14:textId="4F724393" w:rsidR="00481FB1" w:rsidRDefault="00481FB1" w:rsidP="00544DD4">
      <w:pPr>
        <w:pStyle w:val="Normalbeforebullet"/>
      </w:pPr>
      <w:r>
        <w:t>To unlock this opportunity and drive growth, local, State and Commonwealth partners could work together to:</w:t>
      </w:r>
    </w:p>
    <w:p w14:paraId="69833C8E" w14:textId="6D973D42" w:rsidR="00481FB1" w:rsidRDefault="00481FB1" w:rsidP="00481FB1">
      <w:pPr>
        <w:pStyle w:val="Bullet"/>
        <w:numPr>
          <w:ilvl w:val="0"/>
          <w:numId w:val="35"/>
        </w:numPr>
        <w:spacing w:after="160"/>
      </w:pPr>
      <w:r>
        <w:t xml:space="preserve">Better understand the current skill base and future skill needs within the health care and social assistance sector to develop training and career pathways. </w:t>
      </w:r>
    </w:p>
    <w:p w14:paraId="6AB7088C" w14:textId="77777777" w:rsidR="00481FB1" w:rsidRDefault="00481FB1" w:rsidP="00481FB1">
      <w:pPr>
        <w:pStyle w:val="Bullet"/>
        <w:numPr>
          <w:ilvl w:val="0"/>
          <w:numId w:val="35"/>
        </w:numPr>
        <w:spacing w:after="160"/>
      </w:pPr>
      <w:r>
        <w:t>Support local initiatives and programs to attract broader workforce in regional and rural areas and increase workforce participation in the health care and social assistance sector among priority cohort, including Aboriginal communities and women.</w:t>
      </w:r>
    </w:p>
    <w:p w14:paraId="0ACFD175" w14:textId="77777777" w:rsidR="00481FB1" w:rsidRDefault="00481FB1" w:rsidP="00481FB1">
      <w:pPr>
        <w:pStyle w:val="Bullet"/>
        <w:numPr>
          <w:ilvl w:val="0"/>
          <w:numId w:val="35"/>
        </w:numPr>
        <w:spacing w:after="160"/>
      </w:pPr>
      <w:r>
        <w:t xml:space="preserve">Encourage partnerships between industry, training providers and government to build regional research capability and expertise and career pathways for local students. </w:t>
      </w:r>
    </w:p>
    <w:p w14:paraId="61A32CE0" w14:textId="5E160B87" w:rsidR="00481FB1" w:rsidRDefault="00481FB1" w:rsidP="00481FB1">
      <w:pPr>
        <w:pStyle w:val="Bullet"/>
        <w:numPr>
          <w:ilvl w:val="0"/>
          <w:numId w:val="35"/>
        </w:numPr>
        <w:spacing w:after="160"/>
      </w:pPr>
      <w:r>
        <w:t>Advocate for policy settings that encourage the placement of students and skilled migrations in regional areas.</w:t>
      </w:r>
    </w:p>
    <w:p w14:paraId="4BFD7021" w14:textId="0EC5324E" w:rsidR="00481FB1" w:rsidRDefault="00481FB1" w:rsidP="00481FB1">
      <w:pPr>
        <w:pStyle w:val="Bullet"/>
        <w:numPr>
          <w:ilvl w:val="0"/>
          <w:numId w:val="35"/>
        </w:numPr>
        <w:spacing w:after="160"/>
      </w:pPr>
      <w:r>
        <w:t xml:space="preserve">Coordinate activities to improve the quality of amenities and services to attract and retain population into the region.  </w:t>
      </w:r>
    </w:p>
    <w:p w14:paraId="54C38B43" w14:textId="77777777" w:rsidR="00481FB1" w:rsidRDefault="00481FB1" w:rsidP="00544DD4">
      <w:pPr>
        <w:pStyle w:val="Bulletlast"/>
      </w:pPr>
      <w:r>
        <w:t xml:space="preserve">Support investment in infrastructure and services that could promote inclusive labour market outcomes including care facilities, training and upskilling facilities. </w:t>
      </w:r>
    </w:p>
    <w:p w14:paraId="79917FCD" w14:textId="7C33713E" w:rsidR="00481FB1" w:rsidRPr="00544DD4" w:rsidRDefault="00481FB1" w:rsidP="00544DD4">
      <w:pPr>
        <w:pStyle w:val="Heading1"/>
      </w:pPr>
      <w:bookmarkStart w:id="113" w:name="_Toc106189472"/>
      <w:bookmarkStart w:id="114" w:name="_Toc118405141"/>
      <w:r w:rsidRPr="00544DD4">
        <w:t>05</w:t>
      </w:r>
      <w:r w:rsidR="00544DD4" w:rsidRPr="00544DD4">
        <w:t xml:space="preserve"> </w:t>
      </w:r>
      <w:r w:rsidRPr="00544DD4">
        <w:t>Implementation</w:t>
      </w:r>
      <w:bookmarkEnd w:id="113"/>
      <w:bookmarkEnd w:id="114"/>
    </w:p>
    <w:p w14:paraId="5DE0D096" w14:textId="77777777" w:rsidR="00481FB1" w:rsidRDefault="00481FB1" w:rsidP="00544DD4">
      <w:r>
        <w:t xml:space="preserve">The Gippsland REDS outlines Rural and Regional Victoria (RRV) Group’s strategic approach for focusing its future economic development activities, including through policy, investment and program delivery, in the region. It is not a prescriptive roadmap for Victorian Government economic development action in Gippsland. </w:t>
      </w:r>
    </w:p>
    <w:p w14:paraId="14AEE0BD" w14:textId="77777777" w:rsidR="00481FB1" w:rsidRDefault="00481FB1" w:rsidP="00544DD4">
      <w:pPr>
        <w:pStyle w:val="Heading2"/>
      </w:pPr>
      <w:bookmarkStart w:id="115" w:name="_Toc118405142"/>
      <w:r>
        <w:t>RRV will use the REDS to coordinate investments and activities in place</w:t>
      </w:r>
      <w:bookmarkEnd w:id="115"/>
    </w:p>
    <w:p w14:paraId="13F068C3" w14:textId="77777777" w:rsidR="00481FB1" w:rsidRDefault="00481FB1" w:rsidP="00481FB1">
      <w:r>
        <w:t xml:space="preserve">RRV is committed to pursuing the strategic directions through future policy design, investment and program implementation, as well as through collaboration across government and with regional partnerships, to deliver positive economic outcomes for the region. The Gippsland REDS will provide a central point for coordination for current and future work streams and investments. </w:t>
      </w:r>
    </w:p>
    <w:p w14:paraId="08EFB9DD" w14:textId="5C8C5806" w:rsidR="00481FB1" w:rsidRDefault="00481FB1" w:rsidP="00481FB1">
      <w:r>
        <w:t>RRV recognises that effective planning policy and controls will be a key enabler of inclusive, sustainable economic growth in the Gippsland region. Victoria’s Regional Growth Plans provide broad direction for land use and development, and enable economic growth by ensuring that infrastructure investment is coordinated, appropriate services are provided, and development meets community expectations. The Regional Development and Planning portfolios will pursue opportunities to ensure that as relevant state-led land use planning strategies, policies and controls are updated, they are aligned with the REDS strategic directions.</w:t>
      </w:r>
    </w:p>
    <w:p w14:paraId="4FF28961" w14:textId="77777777" w:rsidR="00481FB1" w:rsidRDefault="00481FB1" w:rsidP="005E2B70">
      <w:pPr>
        <w:pStyle w:val="Heading2"/>
      </w:pPr>
      <w:bookmarkStart w:id="116" w:name="_Toc118405143"/>
      <w:r>
        <w:lastRenderedPageBreak/>
        <w:t>Local stakeholders, industry leaders and government service providers can use the REDS to advocate for shared outcomes</w:t>
      </w:r>
      <w:bookmarkEnd w:id="116"/>
    </w:p>
    <w:p w14:paraId="268D3844" w14:textId="77777777" w:rsidR="00481FB1" w:rsidRDefault="00481FB1" w:rsidP="00481FB1">
      <w:r>
        <w:rPr>
          <w:spacing w:val="-2"/>
        </w:rPr>
        <w:t xml:space="preserve">The Gippsland REDS, along with the supporting </w:t>
      </w:r>
      <w:r>
        <w:rPr>
          <w:rStyle w:val="bodyitalics"/>
          <w:spacing w:val="-2"/>
        </w:rPr>
        <w:t>Gippsland Regional Economic Development Strategy – Supporting Analysis</w:t>
      </w:r>
      <w:r>
        <w:rPr>
          <w:spacing w:val="-2"/>
        </w:rPr>
        <w:t xml:space="preserve"> document, provides a starting point for an evidence-based, strategic approach to regional development. This approach is an ongoing process where specific development actions and projects can be proposed and considered in the context of alignment with the REDS. </w:t>
      </w:r>
    </w:p>
    <w:p w14:paraId="12B43D02" w14:textId="77777777" w:rsidR="00481FB1" w:rsidRDefault="00481FB1" w:rsidP="00481FB1">
      <w:r>
        <w:t xml:space="preserve">Regional Development Victoria – Gippsland will remain the main point of contact in the region for facilitating and coordinating regional development outcomes in close collaboration with regional stakeholders such as the Latrobe Valley Authority and relevant industry bodies. </w:t>
      </w:r>
    </w:p>
    <w:p w14:paraId="279520F6" w14:textId="77777777" w:rsidR="00481FB1" w:rsidRDefault="00481FB1" w:rsidP="00481FB1">
      <w:r>
        <w:t>The Gippsland Regional Partnership which comprises community and business leaders, CEOs of constituent Local Governments, members from the Regional Development Australia Gippsland Committee and State Government personnel will continue to be the main advisory body to the Minister for Regional Development and other government decision-makers on local issues and priorities.</w:t>
      </w:r>
    </w:p>
    <w:p w14:paraId="1F1E4FCA" w14:textId="77777777" w:rsidR="00481FB1" w:rsidRDefault="00481FB1" w:rsidP="00481FB1">
      <w:r>
        <w:t>The Gippsland REDs will provide Jobs Victoria with important context and understanding of local economic priorities and opportunities that will be a critical input into the planning and prioritisation of Jobs Victoria’s work and collaboration activities with our Service Partners. Jobs Victoria assists people looking for work, connects employers with the staff they need, administers wage subsidy programs and supports significant local employment transitions.</w:t>
      </w:r>
    </w:p>
    <w:p w14:paraId="68E7CABA" w14:textId="1D6BF51B" w:rsidR="00481FB1" w:rsidRDefault="00481FB1" w:rsidP="005E2B70">
      <w:pPr>
        <w:pStyle w:val="Heading2"/>
      </w:pPr>
      <w:bookmarkStart w:id="117" w:name="_Toc118405144"/>
      <w:r>
        <w:t>RRV will monitor the implementation of the REDS</w:t>
      </w:r>
      <w:bookmarkEnd w:id="117"/>
    </w:p>
    <w:p w14:paraId="1F593350" w14:textId="77777777" w:rsidR="00481FB1" w:rsidRDefault="00481FB1" w:rsidP="00481FB1">
      <w:r>
        <w:rPr>
          <w:spacing w:val="-2"/>
        </w:rPr>
        <w:t>The strategic directions in the REDS focus on medium- to long-term drivers of growth and opportunity but will be used immediately to guide investment in the region. Notwithstanding this timeframe, the strategic directions will continue to evolve and progress as actions and investment are made. To ensure ongoing relevance and accuracy, RRV will periodically update and refresh this Strategy.</w:t>
      </w:r>
    </w:p>
    <w:p w14:paraId="3C125390" w14:textId="77777777" w:rsidR="00481FB1" w:rsidRPr="005C6B41" w:rsidRDefault="00481FB1" w:rsidP="00481FB1">
      <w:pPr>
        <w:pStyle w:val="Heading1"/>
      </w:pPr>
      <w:r>
        <w:br w:type="page"/>
      </w:r>
      <w:bookmarkStart w:id="118" w:name="_Toc106188784"/>
      <w:bookmarkStart w:id="119" w:name="_Toc106189473"/>
      <w:bookmarkStart w:id="120" w:name="_Toc118405145"/>
      <w:r>
        <w:lastRenderedPageBreak/>
        <w:t>Appendix</w:t>
      </w:r>
      <w:bookmarkEnd w:id="118"/>
      <w:bookmarkEnd w:id="119"/>
      <w:bookmarkEnd w:id="120"/>
      <w:r>
        <w:t xml:space="preserve"> </w:t>
      </w:r>
    </w:p>
    <w:p w14:paraId="261C8A70" w14:textId="77777777" w:rsidR="00481FB1" w:rsidRDefault="00481FB1" w:rsidP="00DC06C4">
      <w:pPr>
        <w:pStyle w:val="Heading2"/>
      </w:pPr>
      <w:bookmarkStart w:id="121" w:name="_Figure_1:_Map"/>
      <w:bookmarkStart w:id="122" w:name="_Toc118405146"/>
      <w:bookmarkEnd w:id="121"/>
      <w:r>
        <w:t>Figure 1: Map of Regional Partnerships – Long Alternate Text</w:t>
      </w:r>
      <w:bookmarkEnd w:id="122"/>
    </w:p>
    <w:p w14:paraId="2FF7BD56" w14:textId="77777777" w:rsidR="00481FB1" w:rsidRPr="00EF025A" w:rsidRDefault="00481FB1" w:rsidP="001E748E">
      <w:r w:rsidRPr="00EF025A">
        <w:t xml:space="preserve">The </w:t>
      </w:r>
      <w:r w:rsidRPr="00EF025A">
        <w:rPr>
          <w:b/>
          <w:bCs/>
        </w:rPr>
        <w:t>Mallee</w:t>
      </w:r>
      <w:r w:rsidRPr="00EF025A">
        <w:t xml:space="preserve"> region is located in northwest Victoria and contains the LGAs of Mildura, Swan Hill, Buloke and Gannawarra. </w:t>
      </w:r>
    </w:p>
    <w:p w14:paraId="4E274D21" w14:textId="77777777" w:rsidR="00481FB1" w:rsidRPr="00EF025A" w:rsidRDefault="00481FB1" w:rsidP="001E748E">
      <w:r w:rsidRPr="00EF025A">
        <w:t xml:space="preserve">The </w:t>
      </w:r>
      <w:r w:rsidRPr="00EF025A">
        <w:rPr>
          <w:b/>
          <w:bCs/>
        </w:rPr>
        <w:t>Wimmera Southern Mallee</w:t>
      </w:r>
      <w:r w:rsidRPr="00EF025A">
        <w:t xml:space="preserve"> region is located in western Victoria and contains the LGAs of West Wimmera, Hindmarsh, Yarriambiack, Horsham and Northern Grampians. </w:t>
      </w:r>
    </w:p>
    <w:p w14:paraId="54C6D05E" w14:textId="77777777" w:rsidR="00481FB1" w:rsidRPr="00EF025A" w:rsidRDefault="00481FB1" w:rsidP="001E748E">
      <w:r w:rsidRPr="00EF025A">
        <w:t xml:space="preserve">The </w:t>
      </w:r>
      <w:r w:rsidRPr="00EF025A">
        <w:rPr>
          <w:b/>
          <w:bCs/>
        </w:rPr>
        <w:t>Great South Coast</w:t>
      </w:r>
      <w:r w:rsidRPr="00EF025A">
        <w:t xml:space="preserve"> region is located in southwest Victoria and contains the LGAs of Glenelg, Southern Grampians, Moyne, Warrnambool and Corangamite. </w:t>
      </w:r>
    </w:p>
    <w:p w14:paraId="6A3476C5" w14:textId="77777777" w:rsidR="00481FB1" w:rsidRPr="00EF025A" w:rsidRDefault="00481FB1" w:rsidP="001E748E">
      <w:r w:rsidRPr="00EF025A">
        <w:t xml:space="preserve">The </w:t>
      </w:r>
      <w:r w:rsidRPr="00EF025A">
        <w:rPr>
          <w:b/>
          <w:bCs/>
        </w:rPr>
        <w:t>Barwon</w:t>
      </w:r>
      <w:r w:rsidRPr="00EF025A">
        <w:t xml:space="preserve"> region is located to southwest of metropolitan Melbourne and contains the LGAs of Geelong, Queenscliffe, Surf Coast and Colac Otway. </w:t>
      </w:r>
    </w:p>
    <w:p w14:paraId="79BD4E7C" w14:textId="77777777" w:rsidR="00481FB1" w:rsidRPr="00EF025A" w:rsidRDefault="00481FB1" w:rsidP="001E748E">
      <w:r w:rsidRPr="00EF025A">
        <w:t xml:space="preserve">The </w:t>
      </w:r>
      <w:r w:rsidRPr="00EF025A">
        <w:rPr>
          <w:b/>
          <w:bCs/>
        </w:rPr>
        <w:t>Central Highlands</w:t>
      </w:r>
      <w:r w:rsidRPr="00EF025A">
        <w:t xml:space="preserve"> region is to the west of metropolitan Melbourne and contains the LGAs of Ararat, Pyrenees, Golden Plains, Moorabool</w:t>
      </w:r>
      <w:r>
        <w:t>,</w:t>
      </w:r>
      <w:r w:rsidRPr="00EF025A">
        <w:t xml:space="preserve"> Ballarat and Hepburn. </w:t>
      </w:r>
    </w:p>
    <w:p w14:paraId="6E78F2F7" w14:textId="77777777" w:rsidR="00481FB1" w:rsidRPr="00EF025A" w:rsidRDefault="00481FB1" w:rsidP="001E748E">
      <w:r w:rsidRPr="00EF025A">
        <w:t xml:space="preserve">The </w:t>
      </w:r>
      <w:r w:rsidRPr="00EF025A">
        <w:rPr>
          <w:b/>
          <w:bCs/>
        </w:rPr>
        <w:t>Loddon Campaspe</w:t>
      </w:r>
      <w:r w:rsidRPr="00EF025A">
        <w:t xml:space="preserve"> region is northwest of metropolitan Melbourne and contains the LGAs of Macedon Ranges, Mount Alexander, Central Goldfields, Loddon Campaspe and Bendigo.</w:t>
      </w:r>
    </w:p>
    <w:p w14:paraId="310DDAC1" w14:textId="77777777" w:rsidR="00481FB1" w:rsidRPr="00EF025A" w:rsidRDefault="00481FB1" w:rsidP="001E748E">
      <w:r w:rsidRPr="00EF025A">
        <w:t xml:space="preserve">The </w:t>
      </w:r>
      <w:r w:rsidRPr="00EF025A">
        <w:rPr>
          <w:b/>
          <w:bCs/>
        </w:rPr>
        <w:t xml:space="preserve">Goulburn </w:t>
      </w:r>
      <w:r w:rsidRPr="00EF025A">
        <w:t xml:space="preserve">region is north of metropolitan Melbourne and contains the LGAs of Mitchell, Murrindindi, Strathbogie, Greater Shepparton and Moira. </w:t>
      </w:r>
    </w:p>
    <w:p w14:paraId="7B8DDCAD" w14:textId="77777777" w:rsidR="00481FB1" w:rsidRPr="00EF025A" w:rsidRDefault="00481FB1" w:rsidP="001E748E">
      <w:r w:rsidRPr="00EF025A">
        <w:t xml:space="preserve">The </w:t>
      </w:r>
      <w:r w:rsidRPr="00EF025A">
        <w:rPr>
          <w:b/>
          <w:bCs/>
        </w:rPr>
        <w:t>Ovens Murray</w:t>
      </w:r>
      <w:r w:rsidRPr="00EF025A">
        <w:t xml:space="preserve"> region is located in the northeast of Victoria and contains the LGA’s of Mansfield, Benalla, Wangaratta, Alpine, Indigo, Towong and Wodonga. </w:t>
      </w:r>
    </w:p>
    <w:p w14:paraId="0C57CC64" w14:textId="76E23DD6" w:rsidR="00481FB1" w:rsidRDefault="00481FB1" w:rsidP="001E748E">
      <w:r w:rsidRPr="00EF025A">
        <w:t xml:space="preserve">The </w:t>
      </w:r>
      <w:r w:rsidRPr="00EF025A">
        <w:rPr>
          <w:b/>
          <w:bCs/>
        </w:rPr>
        <w:t xml:space="preserve">Gippsland </w:t>
      </w:r>
      <w:r w:rsidRPr="00EF025A">
        <w:t xml:space="preserve">region is located in the east of Victoria and contains the LGAs of Bass Coast, South Gippsland, Baw Baw, Latrobe, Wellington and East Gippsland. </w:t>
      </w:r>
    </w:p>
    <w:p w14:paraId="00560888" w14:textId="1231C72F" w:rsidR="0023243A" w:rsidRPr="00EF025A" w:rsidRDefault="00000000" w:rsidP="0023243A">
      <w:hyperlink w:anchor="Fig_1" w:history="1">
        <w:r w:rsidR="0023243A" w:rsidRPr="00D36855">
          <w:rPr>
            <w:rStyle w:val="Hyperlink"/>
          </w:rPr>
          <w:t>Click here to return to document</w:t>
        </w:r>
      </w:hyperlink>
    </w:p>
    <w:p w14:paraId="1F48CF67" w14:textId="77777777" w:rsidR="00481FB1" w:rsidRDefault="00481FB1" w:rsidP="00DC06C4">
      <w:pPr>
        <w:pStyle w:val="Heading2"/>
      </w:pPr>
      <w:bookmarkStart w:id="123" w:name="_Figure_2_Map"/>
      <w:bookmarkStart w:id="124" w:name="_Toc118405147"/>
      <w:bookmarkEnd w:id="123"/>
      <w:r>
        <w:t>Figure 2 Map of Gippsland – Long Alternate Text</w:t>
      </w:r>
      <w:bookmarkEnd w:id="124"/>
    </w:p>
    <w:p w14:paraId="4749694D" w14:textId="77777777" w:rsidR="00481FB1" w:rsidRDefault="00481FB1" w:rsidP="001E748E">
      <w:r w:rsidRPr="00BA6C6E">
        <w:t xml:space="preserve">The </w:t>
      </w:r>
      <w:r>
        <w:t xml:space="preserve">Gippsland region is made up of the Bass Coast, South Gippsland, Latrobe, Baw Baw, Wellington and East Gippsland Local Government Areas. </w:t>
      </w:r>
    </w:p>
    <w:p w14:paraId="6659825E" w14:textId="77777777" w:rsidR="00481FB1" w:rsidRDefault="00481FB1" w:rsidP="001E748E">
      <w:r>
        <w:t>The Gippsland region has major rail and road connections to Melbourne. The rail connection, ending in Bairnsdale, links several Gippsland towns (Drouin, Warragul, Yarragon, Moe, Newborough, Morwell, Traralgon, Sale, Stratford). Major road connections link the remaining towns across the Gippsland region</w:t>
      </w:r>
    </w:p>
    <w:p w14:paraId="12EB305C" w14:textId="62B23B05" w:rsidR="00481FB1" w:rsidRDefault="00481FB1" w:rsidP="001E748E">
      <w:r>
        <w:t xml:space="preserve">The towns of Mallacoota, Orbost, Bairnsdale, Sale, Maffra, Morwell, Yarram and Leongatha also have local airports, while several coastal towns have sea ports (Cowes, Lakes Entrance, Mallacoota). </w:t>
      </w:r>
    </w:p>
    <w:p w14:paraId="0E3A5076" w14:textId="55AA67C5" w:rsidR="00F25215" w:rsidRPr="00EF025A" w:rsidRDefault="00000000" w:rsidP="00F25215">
      <w:hyperlink w:anchor="_02_Regional_profile" w:history="1">
        <w:r w:rsidR="00F25215" w:rsidRPr="00D36855">
          <w:rPr>
            <w:rStyle w:val="Hyperlink"/>
          </w:rPr>
          <w:t>Click here to return to document</w:t>
        </w:r>
      </w:hyperlink>
    </w:p>
    <w:p w14:paraId="63AAF596" w14:textId="77777777" w:rsidR="00481FB1" w:rsidRDefault="00481FB1" w:rsidP="00DC06C4">
      <w:pPr>
        <w:pStyle w:val="Heading2"/>
      </w:pPr>
      <w:bookmarkStart w:id="125" w:name="_Figure_3_Gippsland"/>
      <w:bookmarkStart w:id="126" w:name="_Toc118405148"/>
      <w:bookmarkEnd w:id="125"/>
      <w:r>
        <w:lastRenderedPageBreak/>
        <w:t>Figure 3 Gippsland industry Employment – Long Alternate Text</w:t>
      </w:r>
      <w:bookmarkEnd w:id="126"/>
    </w:p>
    <w:p w14:paraId="309C763A" w14:textId="77777777" w:rsidR="00481FB1" w:rsidRDefault="00481FB1" w:rsidP="001E748E">
      <w:r>
        <w:t>The largest employing industries in descending order are Health Care and Social Assistance, Retail Trade, Construction, Agriculture, Forestry and Fishing, Education and Training, Manufacturing, Accommodation and Food Services, Public Administration and Safety, Other Services and Professional, Scientific and Technical Services.</w:t>
      </w:r>
    </w:p>
    <w:p w14:paraId="7D7056C6" w14:textId="77777777" w:rsidR="00481FB1" w:rsidRDefault="00481FB1" w:rsidP="001E748E">
      <w:r>
        <w:t>The following industries have grown in employment since 2001 Health Care and Social Assistance, Retail Trade, Construction, Education and Training, Manufacturing, Accommodation and Food Services, Public Administration and Safety, Other Services and Professional, Scientific and Technical Services.</w:t>
      </w:r>
    </w:p>
    <w:p w14:paraId="59BDE39D" w14:textId="77777777" w:rsidR="00481FB1" w:rsidRDefault="00481FB1" w:rsidP="001E748E">
      <w:r>
        <w:t>The following industry has declined in employment since 2001; Agriculture, Forestry and Fishing.</w:t>
      </w:r>
    </w:p>
    <w:p w14:paraId="21BDE9BE" w14:textId="77777777" w:rsidR="00DC06C4" w:rsidRDefault="00DC06C4" w:rsidP="00481FB1">
      <w:pPr>
        <w:pStyle w:val="CommentText"/>
        <w:sectPr w:rsidR="00DC06C4" w:rsidSect="00F5289F">
          <w:pgSz w:w="11906" w:h="16838"/>
          <w:pgMar w:top="1440" w:right="1440" w:bottom="1440" w:left="1440" w:header="720" w:footer="720" w:gutter="0"/>
          <w:cols w:space="720"/>
          <w:noEndnote/>
        </w:sectPr>
      </w:pPr>
    </w:p>
    <w:p w14:paraId="64D1D746" w14:textId="77777777" w:rsidR="00481FB1" w:rsidRDefault="00481FB1" w:rsidP="001E748E">
      <w:r>
        <w:lastRenderedPageBreak/>
        <w:t>Simplified Table of data for Figure 3.</w:t>
      </w:r>
    </w:p>
    <w:tbl>
      <w:tblPr>
        <w:tblStyle w:val="TableGrid"/>
        <w:tblW w:w="14596" w:type="dxa"/>
        <w:tblCellMar>
          <w:top w:w="0" w:type="dxa"/>
          <w:bottom w:w="0" w:type="dxa"/>
        </w:tblCellMar>
        <w:tblLook w:val="04A0" w:firstRow="1" w:lastRow="0" w:firstColumn="1" w:lastColumn="0" w:noHBand="0" w:noVBand="1"/>
      </w:tblPr>
      <w:tblGrid>
        <w:gridCol w:w="1160"/>
        <w:gridCol w:w="1171"/>
        <w:gridCol w:w="1164"/>
        <w:gridCol w:w="1366"/>
        <w:gridCol w:w="1264"/>
        <w:gridCol w:w="1109"/>
        <w:gridCol w:w="1542"/>
        <w:gridCol w:w="1690"/>
        <w:gridCol w:w="1549"/>
        <w:gridCol w:w="1053"/>
        <w:gridCol w:w="1528"/>
      </w:tblGrid>
      <w:tr w:rsidR="000F1779" w:rsidRPr="00DC06C4" w14:paraId="3C8B1786" w14:textId="77777777" w:rsidTr="00C865B6">
        <w:tc>
          <w:tcPr>
            <w:tcW w:w="1160" w:type="dxa"/>
            <w:noWrap/>
            <w:hideMark/>
          </w:tcPr>
          <w:p w14:paraId="613C7F14" w14:textId="77777777" w:rsidR="00481FB1" w:rsidRPr="00DC06C4" w:rsidRDefault="00481FB1" w:rsidP="00DC06C4">
            <w:pPr>
              <w:pStyle w:val="TableHeading"/>
              <w:rPr>
                <w:rFonts w:eastAsia="Times New Roman"/>
                <w:sz w:val="20"/>
                <w:szCs w:val="20"/>
              </w:rPr>
            </w:pPr>
          </w:p>
        </w:tc>
        <w:tc>
          <w:tcPr>
            <w:tcW w:w="1171" w:type="dxa"/>
            <w:noWrap/>
            <w:hideMark/>
          </w:tcPr>
          <w:p w14:paraId="68E41C9F" w14:textId="77777777" w:rsidR="00481FB1" w:rsidRPr="00DC06C4" w:rsidRDefault="00481FB1" w:rsidP="00DC06C4">
            <w:pPr>
              <w:pStyle w:val="TableHeading"/>
              <w:rPr>
                <w:rFonts w:eastAsia="Times New Roman"/>
                <w:sz w:val="20"/>
                <w:szCs w:val="20"/>
              </w:rPr>
            </w:pPr>
            <w:r w:rsidRPr="00DC06C4">
              <w:rPr>
                <w:rFonts w:eastAsia="Times New Roman"/>
                <w:sz w:val="20"/>
                <w:szCs w:val="20"/>
              </w:rPr>
              <w:t>Health Care and Social Assistance</w:t>
            </w:r>
          </w:p>
        </w:tc>
        <w:tc>
          <w:tcPr>
            <w:tcW w:w="1164" w:type="dxa"/>
            <w:noWrap/>
            <w:hideMark/>
          </w:tcPr>
          <w:p w14:paraId="122AF15B" w14:textId="77777777" w:rsidR="00481FB1" w:rsidRPr="00DC06C4" w:rsidRDefault="00481FB1" w:rsidP="00DC06C4">
            <w:pPr>
              <w:pStyle w:val="TableHeading"/>
              <w:rPr>
                <w:rFonts w:eastAsia="Times New Roman"/>
                <w:sz w:val="20"/>
                <w:szCs w:val="20"/>
              </w:rPr>
            </w:pPr>
            <w:r w:rsidRPr="00DC06C4">
              <w:rPr>
                <w:rFonts w:eastAsia="Times New Roman"/>
                <w:sz w:val="20"/>
                <w:szCs w:val="20"/>
              </w:rPr>
              <w:t>Retail Trade</w:t>
            </w:r>
          </w:p>
        </w:tc>
        <w:tc>
          <w:tcPr>
            <w:tcW w:w="1366" w:type="dxa"/>
            <w:noWrap/>
            <w:hideMark/>
          </w:tcPr>
          <w:p w14:paraId="1479F1A0" w14:textId="77777777" w:rsidR="00481FB1" w:rsidRPr="00DC06C4" w:rsidRDefault="00481FB1" w:rsidP="00DC06C4">
            <w:pPr>
              <w:pStyle w:val="TableHeading"/>
              <w:rPr>
                <w:rFonts w:eastAsia="Times New Roman"/>
                <w:sz w:val="20"/>
                <w:szCs w:val="20"/>
              </w:rPr>
            </w:pPr>
            <w:r w:rsidRPr="00DC06C4">
              <w:rPr>
                <w:rFonts w:eastAsia="Times New Roman"/>
                <w:sz w:val="20"/>
                <w:szCs w:val="20"/>
              </w:rPr>
              <w:t>Construction</w:t>
            </w:r>
          </w:p>
        </w:tc>
        <w:tc>
          <w:tcPr>
            <w:tcW w:w="1264" w:type="dxa"/>
            <w:noWrap/>
            <w:hideMark/>
          </w:tcPr>
          <w:p w14:paraId="25373821" w14:textId="77777777" w:rsidR="00481FB1" w:rsidRPr="00DC06C4" w:rsidRDefault="00481FB1" w:rsidP="00DC06C4">
            <w:pPr>
              <w:pStyle w:val="TableHeading"/>
              <w:rPr>
                <w:rFonts w:eastAsia="Times New Roman"/>
                <w:sz w:val="20"/>
                <w:szCs w:val="20"/>
              </w:rPr>
            </w:pPr>
            <w:r w:rsidRPr="00DC06C4">
              <w:rPr>
                <w:rFonts w:eastAsia="Times New Roman"/>
                <w:sz w:val="20"/>
                <w:szCs w:val="20"/>
              </w:rPr>
              <w:t>Agriculture, Forestry and Fishing</w:t>
            </w:r>
          </w:p>
        </w:tc>
        <w:tc>
          <w:tcPr>
            <w:tcW w:w="1109" w:type="dxa"/>
            <w:noWrap/>
            <w:hideMark/>
          </w:tcPr>
          <w:p w14:paraId="52711BE2" w14:textId="77777777" w:rsidR="00481FB1" w:rsidRPr="00DC06C4" w:rsidRDefault="00481FB1" w:rsidP="00DC06C4">
            <w:pPr>
              <w:pStyle w:val="TableHeading"/>
              <w:rPr>
                <w:rFonts w:eastAsia="Times New Roman"/>
                <w:sz w:val="20"/>
                <w:szCs w:val="20"/>
              </w:rPr>
            </w:pPr>
            <w:r w:rsidRPr="00DC06C4">
              <w:rPr>
                <w:rFonts w:eastAsia="Times New Roman"/>
                <w:sz w:val="20"/>
                <w:szCs w:val="20"/>
              </w:rPr>
              <w:t>Education and Training</w:t>
            </w:r>
          </w:p>
        </w:tc>
        <w:tc>
          <w:tcPr>
            <w:tcW w:w="1542" w:type="dxa"/>
            <w:noWrap/>
            <w:hideMark/>
          </w:tcPr>
          <w:p w14:paraId="58479B65" w14:textId="77777777" w:rsidR="00481FB1" w:rsidRPr="00DC06C4" w:rsidRDefault="00481FB1" w:rsidP="00DC06C4">
            <w:pPr>
              <w:pStyle w:val="TableHeading"/>
              <w:rPr>
                <w:rFonts w:eastAsia="Times New Roman"/>
                <w:sz w:val="20"/>
                <w:szCs w:val="20"/>
              </w:rPr>
            </w:pPr>
            <w:r w:rsidRPr="00DC06C4">
              <w:rPr>
                <w:rFonts w:eastAsia="Times New Roman"/>
                <w:sz w:val="20"/>
                <w:szCs w:val="20"/>
              </w:rPr>
              <w:t>Manufacturing</w:t>
            </w:r>
          </w:p>
        </w:tc>
        <w:tc>
          <w:tcPr>
            <w:tcW w:w="1690" w:type="dxa"/>
            <w:noWrap/>
            <w:hideMark/>
          </w:tcPr>
          <w:p w14:paraId="4E2159EB" w14:textId="77777777" w:rsidR="00481FB1" w:rsidRPr="00DC06C4" w:rsidRDefault="00481FB1" w:rsidP="00DC06C4">
            <w:pPr>
              <w:pStyle w:val="TableHeading"/>
              <w:rPr>
                <w:rFonts w:eastAsia="Times New Roman"/>
                <w:sz w:val="20"/>
                <w:szCs w:val="20"/>
              </w:rPr>
            </w:pPr>
            <w:r w:rsidRPr="00DC06C4">
              <w:rPr>
                <w:rFonts w:eastAsia="Times New Roman"/>
                <w:sz w:val="20"/>
                <w:szCs w:val="20"/>
              </w:rPr>
              <w:t>Accommodation and Food Services</w:t>
            </w:r>
          </w:p>
        </w:tc>
        <w:tc>
          <w:tcPr>
            <w:tcW w:w="1549" w:type="dxa"/>
            <w:noWrap/>
            <w:hideMark/>
          </w:tcPr>
          <w:p w14:paraId="7083593F" w14:textId="77777777" w:rsidR="00481FB1" w:rsidRPr="00DC06C4" w:rsidRDefault="00481FB1" w:rsidP="00DC06C4">
            <w:pPr>
              <w:pStyle w:val="TableHeading"/>
              <w:rPr>
                <w:rFonts w:eastAsia="Times New Roman"/>
                <w:sz w:val="20"/>
                <w:szCs w:val="20"/>
              </w:rPr>
            </w:pPr>
            <w:r w:rsidRPr="00DC06C4">
              <w:rPr>
                <w:rFonts w:eastAsia="Times New Roman"/>
                <w:sz w:val="20"/>
                <w:szCs w:val="20"/>
              </w:rPr>
              <w:t>Public Administration and Safety</w:t>
            </w:r>
          </w:p>
        </w:tc>
        <w:tc>
          <w:tcPr>
            <w:tcW w:w="1053" w:type="dxa"/>
            <w:noWrap/>
            <w:hideMark/>
          </w:tcPr>
          <w:p w14:paraId="7A03ADA9" w14:textId="77777777" w:rsidR="00481FB1" w:rsidRPr="00DC06C4" w:rsidRDefault="00481FB1" w:rsidP="00DC06C4">
            <w:pPr>
              <w:pStyle w:val="TableHeading"/>
              <w:rPr>
                <w:rFonts w:eastAsia="Times New Roman"/>
                <w:sz w:val="20"/>
                <w:szCs w:val="20"/>
              </w:rPr>
            </w:pPr>
            <w:r w:rsidRPr="00DC06C4">
              <w:rPr>
                <w:rFonts w:eastAsia="Times New Roman"/>
                <w:sz w:val="20"/>
                <w:szCs w:val="20"/>
              </w:rPr>
              <w:t>Other Services</w:t>
            </w:r>
          </w:p>
        </w:tc>
        <w:tc>
          <w:tcPr>
            <w:tcW w:w="1528" w:type="dxa"/>
            <w:noWrap/>
            <w:hideMark/>
          </w:tcPr>
          <w:p w14:paraId="7A2A1C42" w14:textId="77777777" w:rsidR="00481FB1" w:rsidRPr="00DC06C4" w:rsidRDefault="00481FB1" w:rsidP="00DC06C4">
            <w:pPr>
              <w:pStyle w:val="TableHeading"/>
              <w:rPr>
                <w:rFonts w:eastAsia="Times New Roman"/>
                <w:sz w:val="20"/>
                <w:szCs w:val="20"/>
              </w:rPr>
            </w:pPr>
            <w:r w:rsidRPr="00DC06C4">
              <w:rPr>
                <w:rFonts w:eastAsia="Times New Roman"/>
                <w:sz w:val="20"/>
                <w:szCs w:val="20"/>
              </w:rPr>
              <w:t>Professional, Scientific and Technical Services</w:t>
            </w:r>
          </w:p>
        </w:tc>
      </w:tr>
      <w:tr w:rsidR="00481FB1" w:rsidRPr="00DC06C4" w14:paraId="062FD103" w14:textId="77777777" w:rsidTr="00C865B6">
        <w:tc>
          <w:tcPr>
            <w:tcW w:w="1160" w:type="dxa"/>
            <w:noWrap/>
            <w:hideMark/>
          </w:tcPr>
          <w:p w14:paraId="3F1239C9" w14:textId="77777777" w:rsidR="00481FB1" w:rsidRPr="00DC06C4" w:rsidRDefault="00481FB1" w:rsidP="00DC06C4">
            <w:pPr>
              <w:pStyle w:val="TableCopy"/>
              <w:rPr>
                <w:rFonts w:eastAsia="Times New Roman"/>
                <w:sz w:val="20"/>
                <w:szCs w:val="20"/>
              </w:rPr>
            </w:pPr>
            <w:r w:rsidRPr="00DC06C4">
              <w:rPr>
                <w:rFonts w:eastAsia="Times New Roman"/>
                <w:sz w:val="20"/>
                <w:szCs w:val="20"/>
              </w:rPr>
              <w:t>2001</w:t>
            </w:r>
          </w:p>
        </w:tc>
        <w:tc>
          <w:tcPr>
            <w:tcW w:w="1171" w:type="dxa"/>
            <w:noWrap/>
            <w:hideMark/>
          </w:tcPr>
          <w:p w14:paraId="393FA026" w14:textId="77777777" w:rsidR="00481FB1" w:rsidRPr="00DC06C4" w:rsidRDefault="00481FB1" w:rsidP="00DC06C4">
            <w:pPr>
              <w:pStyle w:val="TableCopy"/>
              <w:rPr>
                <w:rFonts w:eastAsia="Times New Roman"/>
                <w:sz w:val="20"/>
                <w:szCs w:val="20"/>
              </w:rPr>
            </w:pPr>
            <w:r w:rsidRPr="00DC06C4">
              <w:rPr>
                <w:sz w:val="20"/>
                <w:szCs w:val="20"/>
              </w:rPr>
              <w:t>9619</w:t>
            </w:r>
          </w:p>
        </w:tc>
        <w:tc>
          <w:tcPr>
            <w:tcW w:w="1164" w:type="dxa"/>
            <w:noWrap/>
            <w:hideMark/>
          </w:tcPr>
          <w:p w14:paraId="58EF9A42" w14:textId="77777777" w:rsidR="00481FB1" w:rsidRPr="00DC06C4" w:rsidRDefault="00481FB1" w:rsidP="00DC06C4">
            <w:pPr>
              <w:pStyle w:val="TableCopy"/>
              <w:rPr>
                <w:rFonts w:eastAsia="Times New Roman"/>
                <w:sz w:val="20"/>
                <w:szCs w:val="20"/>
              </w:rPr>
            </w:pPr>
            <w:r w:rsidRPr="00DC06C4">
              <w:rPr>
                <w:sz w:val="20"/>
                <w:szCs w:val="20"/>
              </w:rPr>
              <w:t>11451</w:t>
            </w:r>
          </w:p>
        </w:tc>
        <w:tc>
          <w:tcPr>
            <w:tcW w:w="1366" w:type="dxa"/>
            <w:noWrap/>
            <w:hideMark/>
          </w:tcPr>
          <w:p w14:paraId="7AFDC89D" w14:textId="77777777" w:rsidR="00481FB1" w:rsidRPr="00DC06C4" w:rsidRDefault="00481FB1" w:rsidP="00DC06C4">
            <w:pPr>
              <w:pStyle w:val="TableCopy"/>
              <w:rPr>
                <w:rFonts w:eastAsia="Times New Roman"/>
                <w:sz w:val="20"/>
                <w:szCs w:val="20"/>
              </w:rPr>
            </w:pPr>
            <w:r w:rsidRPr="00DC06C4">
              <w:rPr>
                <w:sz w:val="20"/>
                <w:szCs w:val="20"/>
              </w:rPr>
              <w:t>5972</w:t>
            </w:r>
          </w:p>
        </w:tc>
        <w:tc>
          <w:tcPr>
            <w:tcW w:w="1264" w:type="dxa"/>
            <w:noWrap/>
            <w:hideMark/>
          </w:tcPr>
          <w:p w14:paraId="75062BCA" w14:textId="77777777" w:rsidR="00481FB1" w:rsidRPr="00DC06C4" w:rsidRDefault="00481FB1" w:rsidP="00DC06C4">
            <w:pPr>
              <w:pStyle w:val="TableCopy"/>
              <w:rPr>
                <w:rFonts w:eastAsia="Times New Roman"/>
                <w:sz w:val="20"/>
                <w:szCs w:val="20"/>
              </w:rPr>
            </w:pPr>
            <w:r w:rsidRPr="00DC06C4">
              <w:rPr>
                <w:sz w:val="20"/>
                <w:szCs w:val="20"/>
              </w:rPr>
              <w:t>11492</w:t>
            </w:r>
          </w:p>
        </w:tc>
        <w:tc>
          <w:tcPr>
            <w:tcW w:w="1109" w:type="dxa"/>
            <w:noWrap/>
            <w:hideMark/>
          </w:tcPr>
          <w:p w14:paraId="08CACEDC" w14:textId="77777777" w:rsidR="00481FB1" w:rsidRPr="00DC06C4" w:rsidRDefault="00481FB1" w:rsidP="00DC06C4">
            <w:pPr>
              <w:pStyle w:val="TableCopy"/>
              <w:rPr>
                <w:rFonts w:eastAsia="Times New Roman"/>
                <w:sz w:val="20"/>
                <w:szCs w:val="20"/>
              </w:rPr>
            </w:pPr>
            <w:r w:rsidRPr="00DC06C4">
              <w:rPr>
                <w:sz w:val="20"/>
                <w:szCs w:val="20"/>
              </w:rPr>
              <w:t>7140</w:t>
            </w:r>
          </w:p>
        </w:tc>
        <w:tc>
          <w:tcPr>
            <w:tcW w:w="1542" w:type="dxa"/>
            <w:noWrap/>
            <w:hideMark/>
          </w:tcPr>
          <w:p w14:paraId="676E85BE" w14:textId="77777777" w:rsidR="00481FB1" w:rsidRPr="00DC06C4" w:rsidRDefault="00481FB1" w:rsidP="00DC06C4">
            <w:pPr>
              <w:pStyle w:val="TableCopy"/>
              <w:rPr>
                <w:rFonts w:eastAsia="Times New Roman"/>
                <w:sz w:val="20"/>
                <w:szCs w:val="20"/>
              </w:rPr>
            </w:pPr>
            <w:r w:rsidRPr="00DC06C4">
              <w:rPr>
                <w:sz w:val="20"/>
                <w:szCs w:val="20"/>
              </w:rPr>
              <w:t>8061</w:t>
            </w:r>
          </w:p>
        </w:tc>
        <w:tc>
          <w:tcPr>
            <w:tcW w:w="1690" w:type="dxa"/>
            <w:noWrap/>
            <w:hideMark/>
          </w:tcPr>
          <w:p w14:paraId="160DB03A" w14:textId="77777777" w:rsidR="00481FB1" w:rsidRPr="00DC06C4" w:rsidRDefault="00481FB1" w:rsidP="00DC06C4">
            <w:pPr>
              <w:pStyle w:val="TableCopy"/>
              <w:rPr>
                <w:rFonts w:eastAsia="Times New Roman"/>
                <w:sz w:val="20"/>
                <w:szCs w:val="20"/>
              </w:rPr>
            </w:pPr>
            <w:r w:rsidRPr="00DC06C4">
              <w:rPr>
                <w:sz w:val="20"/>
                <w:szCs w:val="20"/>
              </w:rPr>
              <w:t>6044</w:t>
            </w:r>
          </w:p>
        </w:tc>
        <w:tc>
          <w:tcPr>
            <w:tcW w:w="1549" w:type="dxa"/>
            <w:noWrap/>
            <w:hideMark/>
          </w:tcPr>
          <w:p w14:paraId="262E719F" w14:textId="77777777" w:rsidR="00481FB1" w:rsidRPr="00DC06C4" w:rsidRDefault="00481FB1" w:rsidP="00DC06C4">
            <w:pPr>
              <w:pStyle w:val="TableCopy"/>
              <w:rPr>
                <w:rFonts w:eastAsia="Times New Roman"/>
                <w:sz w:val="20"/>
                <w:szCs w:val="20"/>
              </w:rPr>
            </w:pPr>
            <w:r w:rsidRPr="00DC06C4">
              <w:rPr>
                <w:sz w:val="20"/>
                <w:szCs w:val="20"/>
              </w:rPr>
              <w:t>4515</w:t>
            </w:r>
          </w:p>
        </w:tc>
        <w:tc>
          <w:tcPr>
            <w:tcW w:w="1053" w:type="dxa"/>
            <w:noWrap/>
            <w:hideMark/>
          </w:tcPr>
          <w:p w14:paraId="5EC99E5A" w14:textId="77777777" w:rsidR="00481FB1" w:rsidRPr="00DC06C4" w:rsidRDefault="00481FB1" w:rsidP="00DC06C4">
            <w:pPr>
              <w:pStyle w:val="TableCopy"/>
              <w:rPr>
                <w:rFonts w:eastAsia="Times New Roman"/>
                <w:sz w:val="20"/>
                <w:szCs w:val="20"/>
              </w:rPr>
            </w:pPr>
            <w:r w:rsidRPr="00DC06C4">
              <w:rPr>
                <w:sz w:val="20"/>
                <w:szCs w:val="20"/>
              </w:rPr>
              <w:t>3368</w:t>
            </w:r>
          </w:p>
        </w:tc>
        <w:tc>
          <w:tcPr>
            <w:tcW w:w="1528" w:type="dxa"/>
            <w:noWrap/>
            <w:hideMark/>
          </w:tcPr>
          <w:p w14:paraId="77CCC85F" w14:textId="77777777" w:rsidR="00481FB1" w:rsidRPr="00DC06C4" w:rsidRDefault="00481FB1" w:rsidP="00DC06C4">
            <w:pPr>
              <w:pStyle w:val="TableCopy"/>
              <w:rPr>
                <w:rFonts w:eastAsia="Times New Roman"/>
                <w:sz w:val="20"/>
                <w:szCs w:val="20"/>
              </w:rPr>
            </w:pPr>
            <w:r w:rsidRPr="00DC06C4">
              <w:rPr>
                <w:sz w:val="20"/>
                <w:szCs w:val="20"/>
              </w:rPr>
              <w:t>3064</w:t>
            </w:r>
          </w:p>
        </w:tc>
      </w:tr>
      <w:tr w:rsidR="00481FB1" w:rsidRPr="00DC06C4" w14:paraId="09923761" w14:textId="77777777" w:rsidTr="00C865B6">
        <w:tc>
          <w:tcPr>
            <w:tcW w:w="1160" w:type="dxa"/>
            <w:noWrap/>
            <w:hideMark/>
          </w:tcPr>
          <w:p w14:paraId="7372142A" w14:textId="77777777" w:rsidR="00481FB1" w:rsidRPr="00DC06C4" w:rsidRDefault="00481FB1" w:rsidP="00DC06C4">
            <w:pPr>
              <w:pStyle w:val="TableCopy"/>
              <w:rPr>
                <w:rFonts w:eastAsia="Times New Roman"/>
                <w:sz w:val="20"/>
                <w:szCs w:val="20"/>
              </w:rPr>
            </w:pPr>
            <w:r w:rsidRPr="00DC06C4">
              <w:rPr>
                <w:rFonts w:eastAsia="Times New Roman"/>
                <w:sz w:val="20"/>
                <w:szCs w:val="20"/>
              </w:rPr>
              <w:t>2002</w:t>
            </w:r>
          </w:p>
        </w:tc>
        <w:tc>
          <w:tcPr>
            <w:tcW w:w="1171" w:type="dxa"/>
            <w:noWrap/>
            <w:hideMark/>
          </w:tcPr>
          <w:p w14:paraId="7A7C724F" w14:textId="77777777" w:rsidR="00481FB1" w:rsidRPr="00DC06C4" w:rsidRDefault="00481FB1" w:rsidP="00DC06C4">
            <w:pPr>
              <w:pStyle w:val="TableCopy"/>
              <w:rPr>
                <w:rFonts w:eastAsia="Times New Roman"/>
                <w:sz w:val="20"/>
                <w:szCs w:val="20"/>
              </w:rPr>
            </w:pPr>
            <w:r w:rsidRPr="00DC06C4">
              <w:rPr>
                <w:sz w:val="20"/>
                <w:szCs w:val="20"/>
              </w:rPr>
              <w:t>9907</w:t>
            </w:r>
          </w:p>
        </w:tc>
        <w:tc>
          <w:tcPr>
            <w:tcW w:w="1164" w:type="dxa"/>
            <w:noWrap/>
            <w:hideMark/>
          </w:tcPr>
          <w:p w14:paraId="133A4600" w14:textId="77777777" w:rsidR="00481FB1" w:rsidRPr="00DC06C4" w:rsidRDefault="00481FB1" w:rsidP="00DC06C4">
            <w:pPr>
              <w:pStyle w:val="TableCopy"/>
              <w:rPr>
                <w:rFonts w:eastAsia="Times New Roman"/>
                <w:sz w:val="20"/>
                <w:szCs w:val="20"/>
              </w:rPr>
            </w:pPr>
            <w:r w:rsidRPr="00DC06C4">
              <w:rPr>
                <w:sz w:val="20"/>
                <w:szCs w:val="20"/>
              </w:rPr>
              <w:t>11186</w:t>
            </w:r>
          </w:p>
        </w:tc>
        <w:tc>
          <w:tcPr>
            <w:tcW w:w="1366" w:type="dxa"/>
            <w:noWrap/>
            <w:hideMark/>
          </w:tcPr>
          <w:p w14:paraId="3D9C26DF" w14:textId="77777777" w:rsidR="00481FB1" w:rsidRPr="00DC06C4" w:rsidRDefault="00481FB1" w:rsidP="00DC06C4">
            <w:pPr>
              <w:pStyle w:val="TableCopy"/>
              <w:rPr>
                <w:rFonts w:eastAsia="Times New Roman"/>
                <w:sz w:val="20"/>
                <w:szCs w:val="20"/>
              </w:rPr>
            </w:pPr>
            <w:r w:rsidRPr="00DC06C4">
              <w:rPr>
                <w:sz w:val="20"/>
                <w:szCs w:val="20"/>
              </w:rPr>
              <w:t>6678</w:t>
            </w:r>
          </w:p>
        </w:tc>
        <w:tc>
          <w:tcPr>
            <w:tcW w:w="1264" w:type="dxa"/>
            <w:noWrap/>
            <w:hideMark/>
          </w:tcPr>
          <w:p w14:paraId="2A8C0DAF" w14:textId="77777777" w:rsidR="00481FB1" w:rsidRPr="00DC06C4" w:rsidRDefault="00481FB1" w:rsidP="00DC06C4">
            <w:pPr>
              <w:pStyle w:val="TableCopy"/>
              <w:rPr>
                <w:rFonts w:eastAsia="Times New Roman"/>
                <w:sz w:val="20"/>
                <w:szCs w:val="20"/>
              </w:rPr>
            </w:pPr>
            <w:r w:rsidRPr="00DC06C4">
              <w:rPr>
                <w:sz w:val="20"/>
                <w:szCs w:val="20"/>
              </w:rPr>
              <w:t>11767</w:t>
            </w:r>
          </w:p>
        </w:tc>
        <w:tc>
          <w:tcPr>
            <w:tcW w:w="1109" w:type="dxa"/>
            <w:noWrap/>
            <w:hideMark/>
          </w:tcPr>
          <w:p w14:paraId="59F5AFCA" w14:textId="77777777" w:rsidR="00481FB1" w:rsidRPr="00DC06C4" w:rsidRDefault="00481FB1" w:rsidP="00DC06C4">
            <w:pPr>
              <w:pStyle w:val="TableCopy"/>
              <w:rPr>
                <w:rFonts w:eastAsia="Times New Roman"/>
                <w:sz w:val="20"/>
                <w:szCs w:val="20"/>
              </w:rPr>
            </w:pPr>
            <w:r w:rsidRPr="00DC06C4">
              <w:rPr>
                <w:sz w:val="20"/>
                <w:szCs w:val="20"/>
              </w:rPr>
              <w:t>7236</w:t>
            </w:r>
          </w:p>
        </w:tc>
        <w:tc>
          <w:tcPr>
            <w:tcW w:w="1542" w:type="dxa"/>
            <w:noWrap/>
            <w:hideMark/>
          </w:tcPr>
          <w:p w14:paraId="4165C195" w14:textId="77777777" w:rsidR="00481FB1" w:rsidRPr="00DC06C4" w:rsidRDefault="00481FB1" w:rsidP="00DC06C4">
            <w:pPr>
              <w:pStyle w:val="TableCopy"/>
              <w:rPr>
                <w:rFonts w:eastAsia="Times New Roman"/>
                <w:sz w:val="20"/>
                <w:szCs w:val="20"/>
              </w:rPr>
            </w:pPr>
            <w:r w:rsidRPr="00DC06C4">
              <w:rPr>
                <w:sz w:val="20"/>
                <w:szCs w:val="20"/>
              </w:rPr>
              <w:t>8186</w:t>
            </w:r>
          </w:p>
        </w:tc>
        <w:tc>
          <w:tcPr>
            <w:tcW w:w="1690" w:type="dxa"/>
            <w:noWrap/>
            <w:hideMark/>
          </w:tcPr>
          <w:p w14:paraId="77C04BDD" w14:textId="77777777" w:rsidR="00481FB1" w:rsidRPr="00DC06C4" w:rsidRDefault="00481FB1" w:rsidP="00DC06C4">
            <w:pPr>
              <w:pStyle w:val="TableCopy"/>
              <w:rPr>
                <w:rFonts w:eastAsia="Times New Roman"/>
                <w:sz w:val="20"/>
                <w:szCs w:val="20"/>
              </w:rPr>
            </w:pPr>
            <w:r w:rsidRPr="00DC06C4">
              <w:rPr>
                <w:sz w:val="20"/>
                <w:szCs w:val="20"/>
              </w:rPr>
              <w:t>6040</w:t>
            </w:r>
          </w:p>
        </w:tc>
        <w:tc>
          <w:tcPr>
            <w:tcW w:w="1549" w:type="dxa"/>
            <w:noWrap/>
            <w:hideMark/>
          </w:tcPr>
          <w:p w14:paraId="272B5C37" w14:textId="77777777" w:rsidR="00481FB1" w:rsidRPr="00DC06C4" w:rsidRDefault="00481FB1" w:rsidP="00DC06C4">
            <w:pPr>
              <w:pStyle w:val="TableCopy"/>
              <w:rPr>
                <w:rFonts w:eastAsia="Times New Roman"/>
                <w:sz w:val="20"/>
                <w:szCs w:val="20"/>
              </w:rPr>
            </w:pPr>
            <w:r w:rsidRPr="00DC06C4">
              <w:rPr>
                <w:sz w:val="20"/>
                <w:szCs w:val="20"/>
              </w:rPr>
              <w:t>4309</w:t>
            </w:r>
          </w:p>
        </w:tc>
        <w:tc>
          <w:tcPr>
            <w:tcW w:w="1053" w:type="dxa"/>
            <w:noWrap/>
            <w:hideMark/>
          </w:tcPr>
          <w:p w14:paraId="457D786E" w14:textId="77777777" w:rsidR="00481FB1" w:rsidRPr="00DC06C4" w:rsidRDefault="00481FB1" w:rsidP="00DC06C4">
            <w:pPr>
              <w:pStyle w:val="TableCopy"/>
              <w:rPr>
                <w:rFonts w:eastAsia="Times New Roman"/>
                <w:sz w:val="20"/>
                <w:szCs w:val="20"/>
              </w:rPr>
            </w:pPr>
            <w:r w:rsidRPr="00DC06C4">
              <w:rPr>
                <w:sz w:val="20"/>
                <w:szCs w:val="20"/>
              </w:rPr>
              <w:t>3652</w:t>
            </w:r>
          </w:p>
        </w:tc>
        <w:tc>
          <w:tcPr>
            <w:tcW w:w="1528" w:type="dxa"/>
            <w:noWrap/>
            <w:hideMark/>
          </w:tcPr>
          <w:p w14:paraId="7981F49E" w14:textId="77777777" w:rsidR="00481FB1" w:rsidRPr="00DC06C4" w:rsidRDefault="00481FB1" w:rsidP="00DC06C4">
            <w:pPr>
              <w:pStyle w:val="TableCopy"/>
              <w:rPr>
                <w:rFonts w:eastAsia="Times New Roman"/>
                <w:sz w:val="20"/>
                <w:szCs w:val="20"/>
              </w:rPr>
            </w:pPr>
            <w:r w:rsidRPr="00DC06C4">
              <w:rPr>
                <w:sz w:val="20"/>
                <w:szCs w:val="20"/>
              </w:rPr>
              <w:t>2978</w:t>
            </w:r>
          </w:p>
        </w:tc>
      </w:tr>
      <w:tr w:rsidR="00481FB1" w:rsidRPr="00DC06C4" w14:paraId="47D53047" w14:textId="77777777" w:rsidTr="00C865B6">
        <w:tc>
          <w:tcPr>
            <w:tcW w:w="1160" w:type="dxa"/>
            <w:noWrap/>
            <w:hideMark/>
          </w:tcPr>
          <w:p w14:paraId="49633FF5" w14:textId="77777777" w:rsidR="00481FB1" w:rsidRPr="00DC06C4" w:rsidRDefault="00481FB1" w:rsidP="00DC06C4">
            <w:pPr>
              <w:pStyle w:val="TableCopy"/>
              <w:rPr>
                <w:rFonts w:eastAsia="Times New Roman"/>
                <w:sz w:val="20"/>
                <w:szCs w:val="20"/>
              </w:rPr>
            </w:pPr>
            <w:r w:rsidRPr="00DC06C4">
              <w:rPr>
                <w:rFonts w:eastAsia="Times New Roman"/>
                <w:sz w:val="20"/>
                <w:szCs w:val="20"/>
              </w:rPr>
              <w:t>2003</w:t>
            </w:r>
          </w:p>
        </w:tc>
        <w:tc>
          <w:tcPr>
            <w:tcW w:w="1171" w:type="dxa"/>
            <w:noWrap/>
            <w:hideMark/>
          </w:tcPr>
          <w:p w14:paraId="7F996AEC" w14:textId="77777777" w:rsidR="00481FB1" w:rsidRPr="00DC06C4" w:rsidRDefault="00481FB1" w:rsidP="00DC06C4">
            <w:pPr>
              <w:pStyle w:val="TableCopy"/>
              <w:rPr>
                <w:rFonts w:eastAsia="Times New Roman"/>
                <w:sz w:val="20"/>
                <w:szCs w:val="20"/>
              </w:rPr>
            </w:pPr>
            <w:r w:rsidRPr="00DC06C4">
              <w:rPr>
                <w:sz w:val="20"/>
                <w:szCs w:val="20"/>
              </w:rPr>
              <w:t>10156</w:t>
            </w:r>
          </w:p>
        </w:tc>
        <w:tc>
          <w:tcPr>
            <w:tcW w:w="1164" w:type="dxa"/>
            <w:noWrap/>
            <w:hideMark/>
          </w:tcPr>
          <w:p w14:paraId="3BA7E688" w14:textId="77777777" w:rsidR="00481FB1" w:rsidRPr="00DC06C4" w:rsidRDefault="00481FB1" w:rsidP="00DC06C4">
            <w:pPr>
              <w:pStyle w:val="TableCopy"/>
              <w:rPr>
                <w:rFonts w:eastAsia="Times New Roman"/>
                <w:sz w:val="20"/>
                <w:szCs w:val="20"/>
              </w:rPr>
            </w:pPr>
            <w:r w:rsidRPr="00DC06C4">
              <w:rPr>
                <w:sz w:val="20"/>
                <w:szCs w:val="20"/>
              </w:rPr>
              <w:t>11248</w:t>
            </w:r>
          </w:p>
        </w:tc>
        <w:tc>
          <w:tcPr>
            <w:tcW w:w="1366" w:type="dxa"/>
            <w:noWrap/>
            <w:hideMark/>
          </w:tcPr>
          <w:p w14:paraId="3343C08E" w14:textId="77777777" w:rsidR="00481FB1" w:rsidRPr="00DC06C4" w:rsidRDefault="00481FB1" w:rsidP="00DC06C4">
            <w:pPr>
              <w:pStyle w:val="TableCopy"/>
              <w:rPr>
                <w:rFonts w:eastAsia="Times New Roman"/>
                <w:sz w:val="20"/>
                <w:szCs w:val="20"/>
              </w:rPr>
            </w:pPr>
            <w:r w:rsidRPr="00DC06C4">
              <w:rPr>
                <w:sz w:val="20"/>
                <w:szCs w:val="20"/>
              </w:rPr>
              <w:t>7507</w:t>
            </w:r>
          </w:p>
        </w:tc>
        <w:tc>
          <w:tcPr>
            <w:tcW w:w="1264" w:type="dxa"/>
            <w:noWrap/>
            <w:hideMark/>
          </w:tcPr>
          <w:p w14:paraId="493ED68F" w14:textId="77777777" w:rsidR="00481FB1" w:rsidRPr="00DC06C4" w:rsidRDefault="00481FB1" w:rsidP="00DC06C4">
            <w:pPr>
              <w:pStyle w:val="TableCopy"/>
              <w:rPr>
                <w:rFonts w:eastAsia="Times New Roman"/>
                <w:sz w:val="20"/>
                <w:szCs w:val="20"/>
              </w:rPr>
            </w:pPr>
            <w:r w:rsidRPr="00DC06C4">
              <w:rPr>
                <w:sz w:val="20"/>
                <w:szCs w:val="20"/>
              </w:rPr>
              <w:t>11418</w:t>
            </w:r>
          </w:p>
        </w:tc>
        <w:tc>
          <w:tcPr>
            <w:tcW w:w="1109" w:type="dxa"/>
            <w:noWrap/>
            <w:hideMark/>
          </w:tcPr>
          <w:p w14:paraId="0ABA1706" w14:textId="77777777" w:rsidR="00481FB1" w:rsidRPr="00DC06C4" w:rsidRDefault="00481FB1" w:rsidP="00DC06C4">
            <w:pPr>
              <w:pStyle w:val="TableCopy"/>
              <w:rPr>
                <w:rFonts w:eastAsia="Times New Roman"/>
                <w:sz w:val="20"/>
                <w:szCs w:val="20"/>
              </w:rPr>
            </w:pPr>
            <w:r w:rsidRPr="00DC06C4">
              <w:rPr>
                <w:sz w:val="20"/>
                <w:szCs w:val="20"/>
              </w:rPr>
              <w:t>7522</w:t>
            </w:r>
          </w:p>
        </w:tc>
        <w:tc>
          <w:tcPr>
            <w:tcW w:w="1542" w:type="dxa"/>
            <w:noWrap/>
            <w:hideMark/>
          </w:tcPr>
          <w:p w14:paraId="20120A50" w14:textId="77777777" w:rsidR="00481FB1" w:rsidRPr="00DC06C4" w:rsidRDefault="00481FB1" w:rsidP="00DC06C4">
            <w:pPr>
              <w:pStyle w:val="TableCopy"/>
              <w:rPr>
                <w:rFonts w:eastAsia="Times New Roman"/>
                <w:sz w:val="20"/>
                <w:szCs w:val="20"/>
              </w:rPr>
            </w:pPr>
            <w:r w:rsidRPr="00DC06C4">
              <w:rPr>
                <w:sz w:val="20"/>
                <w:szCs w:val="20"/>
              </w:rPr>
              <w:t>8131</w:t>
            </w:r>
          </w:p>
        </w:tc>
        <w:tc>
          <w:tcPr>
            <w:tcW w:w="1690" w:type="dxa"/>
            <w:noWrap/>
            <w:hideMark/>
          </w:tcPr>
          <w:p w14:paraId="6F225D53" w14:textId="77777777" w:rsidR="00481FB1" w:rsidRPr="00DC06C4" w:rsidRDefault="00481FB1" w:rsidP="00DC06C4">
            <w:pPr>
              <w:pStyle w:val="TableCopy"/>
              <w:rPr>
                <w:rFonts w:eastAsia="Times New Roman"/>
                <w:sz w:val="20"/>
                <w:szCs w:val="20"/>
              </w:rPr>
            </w:pPr>
            <w:r w:rsidRPr="00DC06C4">
              <w:rPr>
                <w:sz w:val="20"/>
                <w:szCs w:val="20"/>
              </w:rPr>
              <w:t>6125</w:t>
            </w:r>
          </w:p>
        </w:tc>
        <w:tc>
          <w:tcPr>
            <w:tcW w:w="1549" w:type="dxa"/>
            <w:noWrap/>
            <w:hideMark/>
          </w:tcPr>
          <w:p w14:paraId="1463372F" w14:textId="77777777" w:rsidR="00481FB1" w:rsidRPr="00DC06C4" w:rsidRDefault="00481FB1" w:rsidP="00DC06C4">
            <w:pPr>
              <w:pStyle w:val="TableCopy"/>
              <w:rPr>
                <w:rFonts w:eastAsia="Times New Roman"/>
                <w:sz w:val="20"/>
                <w:szCs w:val="20"/>
              </w:rPr>
            </w:pPr>
            <w:r w:rsidRPr="00DC06C4">
              <w:rPr>
                <w:sz w:val="20"/>
                <w:szCs w:val="20"/>
              </w:rPr>
              <w:t>4415</w:t>
            </w:r>
          </w:p>
        </w:tc>
        <w:tc>
          <w:tcPr>
            <w:tcW w:w="1053" w:type="dxa"/>
            <w:noWrap/>
            <w:hideMark/>
          </w:tcPr>
          <w:p w14:paraId="3D48CDA2" w14:textId="77777777" w:rsidR="00481FB1" w:rsidRPr="00DC06C4" w:rsidRDefault="00481FB1" w:rsidP="00DC06C4">
            <w:pPr>
              <w:pStyle w:val="TableCopy"/>
              <w:rPr>
                <w:rFonts w:eastAsia="Times New Roman"/>
                <w:sz w:val="20"/>
                <w:szCs w:val="20"/>
              </w:rPr>
            </w:pPr>
            <w:r w:rsidRPr="00DC06C4">
              <w:rPr>
                <w:sz w:val="20"/>
                <w:szCs w:val="20"/>
              </w:rPr>
              <w:t>4109</w:t>
            </w:r>
          </w:p>
        </w:tc>
        <w:tc>
          <w:tcPr>
            <w:tcW w:w="1528" w:type="dxa"/>
            <w:noWrap/>
            <w:hideMark/>
          </w:tcPr>
          <w:p w14:paraId="2D05853D" w14:textId="77777777" w:rsidR="00481FB1" w:rsidRPr="00DC06C4" w:rsidRDefault="00481FB1" w:rsidP="00DC06C4">
            <w:pPr>
              <w:pStyle w:val="TableCopy"/>
              <w:rPr>
                <w:rFonts w:eastAsia="Times New Roman"/>
                <w:sz w:val="20"/>
                <w:szCs w:val="20"/>
              </w:rPr>
            </w:pPr>
            <w:r w:rsidRPr="00DC06C4">
              <w:rPr>
                <w:sz w:val="20"/>
                <w:szCs w:val="20"/>
              </w:rPr>
              <w:t>2968</w:t>
            </w:r>
          </w:p>
        </w:tc>
      </w:tr>
      <w:tr w:rsidR="00481FB1" w:rsidRPr="00DC06C4" w14:paraId="09112496" w14:textId="77777777" w:rsidTr="00C865B6">
        <w:tc>
          <w:tcPr>
            <w:tcW w:w="1160" w:type="dxa"/>
            <w:noWrap/>
            <w:hideMark/>
          </w:tcPr>
          <w:p w14:paraId="58A9F9B2" w14:textId="77777777" w:rsidR="00481FB1" w:rsidRPr="00DC06C4" w:rsidRDefault="00481FB1" w:rsidP="00DC06C4">
            <w:pPr>
              <w:pStyle w:val="TableCopy"/>
              <w:rPr>
                <w:rFonts w:eastAsia="Times New Roman"/>
                <w:sz w:val="20"/>
                <w:szCs w:val="20"/>
              </w:rPr>
            </w:pPr>
            <w:r w:rsidRPr="00DC06C4">
              <w:rPr>
                <w:rFonts w:eastAsia="Times New Roman"/>
                <w:sz w:val="20"/>
                <w:szCs w:val="20"/>
              </w:rPr>
              <w:t>2004</w:t>
            </w:r>
          </w:p>
        </w:tc>
        <w:tc>
          <w:tcPr>
            <w:tcW w:w="1171" w:type="dxa"/>
            <w:noWrap/>
            <w:hideMark/>
          </w:tcPr>
          <w:p w14:paraId="0BDCFCB5" w14:textId="77777777" w:rsidR="00481FB1" w:rsidRPr="00DC06C4" w:rsidRDefault="00481FB1" w:rsidP="00DC06C4">
            <w:pPr>
              <w:pStyle w:val="TableCopy"/>
              <w:rPr>
                <w:rFonts w:eastAsia="Times New Roman"/>
                <w:sz w:val="20"/>
                <w:szCs w:val="20"/>
              </w:rPr>
            </w:pPr>
            <w:r w:rsidRPr="00DC06C4">
              <w:rPr>
                <w:sz w:val="20"/>
                <w:szCs w:val="20"/>
              </w:rPr>
              <w:t>10690</w:t>
            </w:r>
          </w:p>
        </w:tc>
        <w:tc>
          <w:tcPr>
            <w:tcW w:w="1164" w:type="dxa"/>
            <w:noWrap/>
            <w:hideMark/>
          </w:tcPr>
          <w:p w14:paraId="37D75377" w14:textId="77777777" w:rsidR="00481FB1" w:rsidRPr="00DC06C4" w:rsidRDefault="00481FB1" w:rsidP="00DC06C4">
            <w:pPr>
              <w:pStyle w:val="TableCopy"/>
              <w:rPr>
                <w:rFonts w:eastAsia="Times New Roman"/>
                <w:sz w:val="20"/>
                <w:szCs w:val="20"/>
              </w:rPr>
            </w:pPr>
            <w:r w:rsidRPr="00DC06C4">
              <w:rPr>
                <w:sz w:val="20"/>
                <w:szCs w:val="20"/>
              </w:rPr>
              <w:t>11927</w:t>
            </w:r>
          </w:p>
        </w:tc>
        <w:tc>
          <w:tcPr>
            <w:tcW w:w="1366" w:type="dxa"/>
            <w:noWrap/>
            <w:hideMark/>
          </w:tcPr>
          <w:p w14:paraId="5AA9E069" w14:textId="77777777" w:rsidR="00481FB1" w:rsidRPr="00DC06C4" w:rsidRDefault="00481FB1" w:rsidP="00DC06C4">
            <w:pPr>
              <w:pStyle w:val="TableCopy"/>
              <w:rPr>
                <w:rFonts w:eastAsia="Times New Roman"/>
                <w:sz w:val="20"/>
                <w:szCs w:val="20"/>
              </w:rPr>
            </w:pPr>
            <w:r w:rsidRPr="00DC06C4">
              <w:rPr>
                <w:sz w:val="20"/>
                <w:szCs w:val="20"/>
              </w:rPr>
              <w:t>8429</w:t>
            </w:r>
          </w:p>
        </w:tc>
        <w:tc>
          <w:tcPr>
            <w:tcW w:w="1264" w:type="dxa"/>
            <w:noWrap/>
            <w:hideMark/>
          </w:tcPr>
          <w:p w14:paraId="4212F05D" w14:textId="77777777" w:rsidR="00481FB1" w:rsidRPr="00DC06C4" w:rsidRDefault="00481FB1" w:rsidP="00DC06C4">
            <w:pPr>
              <w:pStyle w:val="TableCopy"/>
              <w:rPr>
                <w:rFonts w:eastAsia="Times New Roman"/>
                <w:sz w:val="20"/>
                <w:szCs w:val="20"/>
              </w:rPr>
            </w:pPr>
            <w:r w:rsidRPr="00DC06C4">
              <w:rPr>
                <w:sz w:val="20"/>
                <w:szCs w:val="20"/>
              </w:rPr>
              <w:t>11330</w:t>
            </w:r>
          </w:p>
        </w:tc>
        <w:tc>
          <w:tcPr>
            <w:tcW w:w="1109" w:type="dxa"/>
            <w:noWrap/>
            <w:hideMark/>
          </w:tcPr>
          <w:p w14:paraId="6B9BFFEA" w14:textId="77777777" w:rsidR="00481FB1" w:rsidRPr="00DC06C4" w:rsidRDefault="00481FB1" w:rsidP="00DC06C4">
            <w:pPr>
              <w:pStyle w:val="TableCopy"/>
              <w:rPr>
                <w:rFonts w:eastAsia="Times New Roman"/>
                <w:sz w:val="20"/>
                <w:szCs w:val="20"/>
              </w:rPr>
            </w:pPr>
            <w:r w:rsidRPr="00DC06C4">
              <w:rPr>
                <w:sz w:val="20"/>
                <w:szCs w:val="20"/>
              </w:rPr>
              <w:t>7877</w:t>
            </w:r>
          </w:p>
        </w:tc>
        <w:tc>
          <w:tcPr>
            <w:tcW w:w="1542" w:type="dxa"/>
            <w:noWrap/>
            <w:hideMark/>
          </w:tcPr>
          <w:p w14:paraId="5AB5B5EF" w14:textId="77777777" w:rsidR="00481FB1" w:rsidRPr="00DC06C4" w:rsidRDefault="00481FB1" w:rsidP="00DC06C4">
            <w:pPr>
              <w:pStyle w:val="TableCopy"/>
              <w:rPr>
                <w:rFonts w:eastAsia="Times New Roman"/>
                <w:sz w:val="20"/>
                <w:szCs w:val="20"/>
              </w:rPr>
            </w:pPr>
            <w:r w:rsidRPr="00DC06C4">
              <w:rPr>
                <w:sz w:val="20"/>
                <w:szCs w:val="20"/>
              </w:rPr>
              <w:t>8347</w:t>
            </w:r>
          </w:p>
        </w:tc>
        <w:tc>
          <w:tcPr>
            <w:tcW w:w="1690" w:type="dxa"/>
            <w:noWrap/>
            <w:hideMark/>
          </w:tcPr>
          <w:p w14:paraId="08116A78" w14:textId="77777777" w:rsidR="00481FB1" w:rsidRPr="00DC06C4" w:rsidRDefault="00481FB1" w:rsidP="00DC06C4">
            <w:pPr>
              <w:pStyle w:val="TableCopy"/>
              <w:rPr>
                <w:rFonts w:eastAsia="Times New Roman"/>
                <w:sz w:val="20"/>
                <w:szCs w:val="20"/>
              </w:rPr>
            </w:pPr>
            <w:r w:rsidRPr="00DC06C4">
              <w:rPr>
                <w:sz w:val="20"/>
                <w:szCs w:val="20"/>
              </w:rPr>
              <w:t>6522</w:t>
            </w:r>
          </w:p>
        </w:tc>
        <w:tc>
          <w:tcPr>
            <w:tcW w:w="1549" w:type="dxa"/>
            <w:noWrap/>
            <w:hideMark/>
          </w:tcPr>
          <w:p w14:paraId="1F2E2C80" w14:textId="77777777" w:rsidR="00481FB1" w:rsidRPr="00DC06C4" w:rsidRDefault="00481FB1" w:rsidP="00DC06C4">
            <w:pPr>
              <w:pStyle w:val="TableCopy"/>
              <w:rPr>
                <w:rFonts w:eastAsia="Times New Roman"/>
                <w:sz w:val="20"/>
                <w:szCs w:val="20"/>
              </w:rPr>
            </w:pPr>
            <w:r w:rsidRPr="00DC06C4">
              <w:rPr>
                <w:sz w:val="20"/>
                <w:szCs w:val="20"/>
              </w:rPr>
              <w:t>4829</w:t>
            </w:r>
          </w:p>
        </w:tc>
        <w:tc>
          <w:tcPr>
            <w:tcW w:w="1053" w:type="dxa"/>
            <w:noWrap/>
            <w:hideMark/>
          </w:tcPr>
          <w:p w14:paraId="496DF919" w14:textId="77777777" w:rsidR="00481FB1" w:rsidRPr="00DC06C4" w:rsidRDefault="00481FB1" w:rsidP="00DC06C4">
            <w:pPr>
              <w:pStyle w:val="TableCopy"/>
              <w:rPr>
                <w:rFonts w:eastAsia="Times New Roman"/>
                <w:sz w:val="20"/>
                <w:szCs w:val="20"/>
              </w:rPr>
            </w:pPr>
            <w:r w:rsidRPr="00DC06C4">
              <w:rPr>
                <w:sz w:val="20"/>
                <w:szCs w:val="20"/>
              </w:rPr>
              <w:t>4059</w:t>
            </w:r>
          </w:p>
        </w:tc>
        <w:tc>
          <w:tcPr>
            <w:tcW w:w="1528" w:type="dxa"/>
            <w:noWrap/>
            <w:hideMark/>
          </w:tcPr>
          <w:p w14:paraId="1AFA22AE" w14:textId="77777777" w:rsidR="00481FB1" w:rsidRPr="00DC06C4" w:rsidRDefault="00481FB1" w:rsidP="00DC06C4">
            <w:pPr>
              <w:pStyle w:val="TableCopy"/>
              <w:rPr>
                <w:rFonts w:eastAsia="Times New Roman"/>
                <w:sz w:val="20"/>
                <w:szCs w:val="20"/>
              </w:rPr>
            </w:pPr>
            <w:r w:rsidRPr="00DC06C4">
              <w:rPr>
                <w:sz w:val="20"/>
                <w:szCs w:val="20"/>
              </w:rPr>
              <w:t>3100</w:t>
            </w:r>
          </w:p>
        </w:tc>
      </w:tr>
      <w:tr w:rsidR="00481FB1" w:rsidRPr="00DC06C4" w14:paraId="7A040750" w14:textId="77777777" w:rsidTr="00C865B6">
        <w:tc>
          <w:tcPr>
            <w:tcW w:w="1160" w:type="dxa"/>
            <w:noWrap/>
            <w:hideMark/>
          </w:tcPr>
          <w:p w14:paraId="71B54AE2" w14:textId="77777777" w:rsidR="00481FB1" w:rsidRPr="00DC06C4" w:rsidRDefault="00481FB1" w:rsidP="00DC06C4">
            <w:pPr>
              <w:pStyle w:val="TableCopy"/>
              <w:rPr>
                <w:rFonts w:eastAsia="Times New Roman"/>
                <w:sz w:val="20"/>
                <w:szCs w:val="20"/>
              </w:rPr>
            </w:pPr>
            <w:r w:rsidRPr="00DC06C4">
              <w:rPr>
                <w:rFonts w:eastAsia="Times New Roman"/>
                <w:sz w:val="20"/>
                <w:szCs w:val="20"/>
              </w:rPr>
              <w:t>2005</w:t>
            </w:r>
          </w:p>
        </w:tc>
        <w:tc>
          <w:tcPr>
            <w:tcW w:w="1171" w:type="dxa"/>
            <w:noWrap/>
            <w:hideMark/>
          </w:tcPr>
          <w:p w14:paraId="5306A960" w14:textId="77777777" w:rsidR="00481FB1" w:rsidRPr="00DC06C4" w:rsidRDefault="00481FB1" w:rsidP="00DC06C4">
            <w:pPr>
              <w:pStyle w:val="TableCopy"/>
              <w:rPr>
                <w:rFonts w:eastAsia="Times New Roman"/>
                <w:sz w:val="20"/>
                <w:szCs w:val="20"/>
              </w:rPr>
            </w:pPr>
            <w:r w:rsidRPr="00DC06C4">
              <w:rPr>
                <w:sz w:val="20"/>
                <w:szCs w:val="20"/>
              </w:rPr>
              <w:t>11289</w:t>
            </w:r>
          </w:p>
        </w:tc>
        <w:tc>
          <w:tcPr>
            <w:tcW w:w="1164" w:type="dxa"/>
            <w:noWrap/>
            <w:hideMark/>
          </w:tcPr>
          <w:p w14:paraId="419CA9A8" w14:textId="77777777" w:rsidR="00481FB1" w:rsidRPr="00DC06C4" w:rsidRDefault="00481FB1" w:rsidP="00DC06C4">
            <w:pPr>
              <w:pStyle w:val="TableCopy"/>
              <w:rPr>
                <w:rFonts w:eastAsia="Times New Roman"/>
                <w:sz w:val="20"/>
                <w:szCs w:val="20"/>
              </w:rPr>
            </w:pPr>
            <w:r w:rsidRPr="00DC06C4">
              <w:rPr>
                <w:sz w:val="20"/>
                <w:szCs w:val="20"/>
              </w:rPr>
              <w:t>12615</w:t>
            </w:r>
          </w:p>
        </w:tc>
        <w:tc>
          <w:tcPr>
            <w:tcW w:w="1366" w:type="dxa"/>
            <w:noWrap/>
            <w:hideMark/>
          </w:tcPr>
          <w:p w14:paraId="32256D72" w14:textId="77777777" w:rsidR="00481FB1" w:rsidRPr="00DC06C4" w:rsidRDefault="00481FB1" w:rsidP="00DC06C4">
            <w:pPr>
              <w:pStyle w:val="TableCopy"/>
              <w:rPr>
                <w:rFonts w:eastAsia="Times New Roman"/>
                <w:sz w:val="20"/>
                <w:szCs w:val="20"/>
              </w:rPr>
            </w:pPr>
            <w:r w:rsidRPr="00DC06C4">
              <w:rPr>
                <w:sz w:val="20"/>
                <w:szCs w:val="20"/>
              </w:rPr>
              <w:t>9050</w:t>
            </w:r>
          </w:p>
        </w:tc>
        <w:tc>
          <w:tcPr>
            <w:tcW w:w="1264" w:type="dxa"/>
            <w:noWrap/>
            <w:hideMark/>
          </w:tcPr>
          <w:p w14:paraId="60E478F7" w14:textId="77777777" w:rsidR="00481FB1" w:rsidRPr="00DC06C4" w:rsidRDefault="00481FB1" w:rsidP="00DC06C4">
            <w:pPr>
              <w:pStyle w:val="TableCopy"/>
              <w:rPr>
                <w:rFonts w:eastAsia="Times New Roman"/>
                <w:sz w:val="20"/>
                <w:szCs w:val="20"/>
              </w:rPr>
            </w:pPr>
            <w:r w:rsidRPr="00DC06C4">
              <w:rPr>
                <w:sz w:val="20"/>
                <w:szCs w:val="20"/>
              </w:rPr>
              <w:t>11512</w:t>
            </w:r>
          </w:p>
        </w:tc>
        <w:tc>
          <w:tcPr>
            <w:tcW w:w="1109" w:type="dxa"/>
            <w:noWrap/>
            <w:hideMark/>
          </w:tcPr>
          <w:p w14:paraId="380191AB" w14:textId="77777777" w:rsidR="00481FB1" w:rsidRPr="00DC06C4" w:rsidRDefault="00481FB1" w:rsidP="00DC06C4">
            <w:pPr>
              <w:pStyle w:val="TableCopy"/>
              <w:rPr>
                <w:rFonts w:eastAsia="Times New Roman"/>
                <w:sz w:val="20"/>
                <w:szCs w:val="20"/>
              </w:rPr>
            </w:pPr>
            <w:r w:rsidRPr="00DC06C4">
              <w:rPr>
                <w:sz w:val="20"/>
                <w:szCs w:val="20"/>
              </w:rPr>
              <w:t>8217</w:t>
            </w:r>
          </w:p>
        </w:tc>
        <w:tc>
          <w:tcPr>
            <w:tcW w:w="1542" w:type="dxa"/>
            <w:noWrap/>
            <w:hideMark/>
          </w:tcPr>
          <w:p w14:paraId="2F3E2337" w14:textId="77777777" w:rsidR="00481FB1" w:rsidRPr="00DC06C4" w:rsidRDefault="00481FB1" w:rsidP="00DC06C4">
            <w:pPr>
              <w:pStyle w:val="TableCopy"/>
              <w:rPr>
                <w:rFonts w:eastAsia="Times New Roman"/>
                <w:sz w:val="20"/>
                <w:szCs w:val="20"/>
              </w:rPr>
            </w:pPr>
            <w:r w:rsidRPr="00DC06C4">
              <w:rPr>
                <w:sz w:val="20"/>
                <w:szCs w:val="20"/>
              </w:rPr>
              <w:t>8723</w:t>
            </w:r>
          </w:p>
        </w:tc>
        <w:tc>
          <w:tcPr>
            <w:tcW w:w="1690" w:type="dxa"/>
            <w:noWrap/>
            <w:hideMark/>
          </w:tcPr>
          <w:p w14:paraId="7DD9C380" w14:textId="77777777" w:rsidR="00481FB1" w:rsidRPr="00DC06C4" w:rsidRDefault="00481FB1" w:rsidP="00DC06C4">
            <w:pPr>
              <w:pStyle w:val="TableCopy"/>
              <w:rPr>
                <w:rFonts w:eastAsia="Times New Roman"/>
                <w:sz w:val="20"/>
                <w:szCs w:val="20"/>
              </w:rPr>
            </w:pPr>
            <w:r w:rsidRPr="00DC06C4">
              <w:rPr>
                <w:sz w:val="20"/>
                <w:szCs w:val="20"/>
              </w:rPr>
              <w:t>6735</w:t>
            </w:r>
          </w:p>
        </w:tc>
        <w:tc>
          <w:tcPr>
            <w:tcW w:w="1549" w:type="dxa"/>
            <w:noWrap/>
            <w:hideMark/>
          </w:tcPr>
          <w:p w14:paraId="262E137E" w14:textId="77777777" w:rsidR="00481FB1" w:rsidRPr="00DC06C4" w:rsidRDefault="00481FB1" w:rsidP="00DC06C4">
            <w:pPr>
              <w:pStyle w:val="TableCopy"/>
              <w:rPr>
                <w:rFonts w:eastAsia="Times New Roman"/>
                <w:sz w:val="20"/>
                <w:szCs w:val="20"/>
              </w:rPr>
            </w:pPr>
            <w:r w:rsidRPr="00DC06C4">
              <w:rPr>
                <w:sz w:val="20"/>
                <w:szCs w:val="20"/>
              </w:rPr>
              <w:t>5326</w:t>
            </w:r>
          </w:p>
        </w:tc>
        <w:tc>
          <w:tcPr>
            <w:tcW w:w="1053" w:type="dxa"/>
            <w:noWrap/>
            <w:hideMark/>
          </w:tcPr>
          <w:p w14:paraId="50AE8457" w14:textId="77777777" w:rsidR="00481FB1" w:rsidRPr="00DC06C4" w:rsidRDefault="00481FB1" w:rsidP="00DC06C4">
            <w:pPr>
              <w:pStyle w:val="TableCopy"/>
              <w:rPr>
                <w:rFonts w:eastAsia="Times New Roman"/>
                <w:sz w:val="20"/>
                <w:szCs w:val="20"/>
              </w:rPr>
            </w:pPr>
            <w:r w:rsidRPr="00DC06C4">
              <w:rPr>
                <w:sz w:val="20"/>
                <w:szCs w:val="20"/>
              </w:rPr>
              <w:t>3746</w:t>
            </w:r>
          </w:p>
        </w:tc>
        <w:tc>
          <w:tcPr>
            <w:tcW w:w="1528" w:type="dxa"/>
            <w:noWrap/>
            <w:hideMark/>
          </w:tcPr>
          <w:p w14:paraId="5217E6F4" w14:textId="77777777" w:rsidR="00481FB1" w:rsidRPr="00DC06C4" w:rsidRDefault="00481FB1" w:rsidP="00DC06C4">
            <w:pPr>
              <w:pStyle w:val="TableCopy"/>
              <w:rPr>
                <w:rFonts w:eastAsia="Times New Roman"/>
                <w:sz w:val="20"/>
                <w:szCs w:val="20"/>
              </w:rPr>
            </w:pPr>
            <w:r w:rsidRPr="00DC06C4">
              <w:rPr>
                <w:sz w:val="20"/>
                <w:szCs w:val="20"/>
              </w:rPr>
              <w:t>3261</w:t>
            </w:r>
          </w:p>
        </w:tc>
      </w:tr>
      <w:tr w:rsidR="00481FB1" w:rsidRPr="00DC06C4" w14:paraId="3421E33E" w14:textId="77777777" w:rsidTr="00C865B6">
        <w:tc>
          <w:tcPr>
            <w:tcW w:w="1160" w:type="dxa"/>
            <w:noWrap/>
            <w:hideMark/>
          </w:tcPr>
          <w:p w14:paraId="07997EC1" w14:textId="77777777" w:rsidR="00481FB1" w:rsidRPr="00DC06C4" w:rsidRDefault="00481FB1" w:rsidP="00DC06C4">
            <w:pPr>
              <w:pStyle w:val="TableCopy"/>
              <w:rPr>
                <w:rFonts w:eastAsia="Times New Roman"/>
                <w:sz w:val="20"/>
                <w:szCs w:val="20"/>
              </w:rPr>
            </w:pPr>
            <w:r w:rsidRPr="00DC06C4">
              <w:rPr>
                <w:rFonts w:eastAsia="Times New Roman"/>
                <w:sz w:val="20"/>
                <w:szCs w:val="20"/>
              </w:rPr>
              <w:t>2006</w:t>
            </w:r>
          </w:p>
        </w:tc>
        <w:tc>
          <w:tcPr>
            <w:tcW w:w="1171" w:type="dxa"/>
            <w:noWrap/>
            <w:hideMark/>
          </w:tcPr>
          <w:p w14:paraId="26A05ACD" w14:textId="77777777" w:rsidR="00481FB1" w:rsidRPr="00DC06C4" w:rsidRDefault="00481FB1" w:rsidP="00DC06C4">
            <w:pPr>
              <w:pStyle w:val="TableCopy"/>
              <w:rPr>
                <w:rFonts w:eastAsia="Times New Roman"/>
                <w:sz w:val="20"/>
                <w:szCs w:val="20"/>
              </w:rPr>
            </w:pPr>
            <w:r w:rsidRPr="00DC06C4">
              <w:rPr>
                <w:sz w:val="20"/>
                <w:szCs w:val="20"/>
              </w:rPr>
              <w:t>11569</w:t>
            </w:r>
          </w:p>
        </w:tc>
        <w:tc>
          <w:tcPr>
            <w:tcW w:w="1164" w:type="dxa"/>
            <w:noWrap/>
            <w:hideMark/>
          </w:tcPr>
          <w:p w14:paraId="70C83626" w14:textId="77777777" w:rsidR="00481FB1" w:rsidRPr="00DC06C4" w:rsidRDefault="00481FB1" w:rsidP="00DC06C4">
            <w:pPr>
              <w:pStyle w:val="TableCopy"/>
              <w:rPr>
                <w:rFonts w:eastAsia="Times New Roman"/>
                <w:sz w:val="20"/>
                <w:szCs w:val="20"/>
              </w:rPr>
            </w:pPr>
            <w:r w:rsidRPr="00DC06C4">
              <w:rPr>
                <w:sz w:val="20"/>
                <w:szCs w:val="20"/>
              </w:rPr>
              <w:t>12763</w:t>
            </w:r>
          </w:p>
        </w:tc>
        <w:tc>
          <w:tcPr>
            <w:tcW w:w="1366" w:type="dxa"/>
            <w:noWrap/>
            <w:hideMark/>
          </w:tcPr>
          <w:p w14:paraId="4BD23B2D" w14:textId="77777777" w:rsidR="00481FB1" w:rsidRPr="00DC06C4" w:rsidRDefault="00481FB1" w:rsidP="00DC06C4">
            <w:pPr>
              <w:pStyle w:val="TableCopy"/>
              <w:rPr>
                <w:rFonts w:eastAsia="Times New Roman"/>
                <w:sz w:val="20"/>
                <w:szCs w:val="20"/>
              </w:rPr>
            </w:pPr>
            <w:r w:rsidRPr="00DC06C4">
              <w:rPr>
                <w:sz w:val="20"/>
                <w:szCs w:val="20"/>
              </w:rPr>
              <w:t>9669</w:t>
            </w:r>
          </w:p>
        </w:tc>
        <w:tc>
          <w:tcPr>
            <w:tcW w:w="1264" w:type="dxa"/>
            <w:noWrap/>
            <w:hideMark/>
          </w:tcPr>
          <w:p w14:paraId="5B35126D" w14:textId="77777777" w:rsidR="00481FB1" w:rsidRPr="00DC06C4" w:rsidRDefault="00481FB1" w:rsidP="00DC06C4">
            <w:pPr>
              <w:pStyle w:val="TableCopy"/>
              <w:rPr>
                <w:rFonts w:eastAsia="Times New Roman"/>
                <w:sz w:val="20"/>
                <w:szCs w:val="20"/>
              </w:rPr>
            </w:pPr>
            <w:r w:rsidRPr="00DC06C4">
              <w:rPr>
                <w:sz w:val="20"/>
                <w:szCs w:val="20"/>
              </w:rPr>
              <w:t>10903</w:t>
            </w:r>
          </w:p>
        </w:tc>
        <w:tc>
          <w:tcPr>
            <w:tcW w:w="1109" w:type="dxa"/>
            <w:noWrap/>
            <w:hideMark/>
          </w:tcPr>
          <w:p w14:paraId="1E10BAB6" w14:textId="77777777" w:rsidR="00481FB1" w:rsidRPr="00DC06C4" w:rsidRDefault="00481FB1" w:rsidP="00DC06C4">
            <w:pPr>
              <w:pStyle w:val="TableCopy"/>
              <w:rPr>
                <w:rFonts w:eastAsia="Times New Roman"/>
                <w:sz w:val="20"/>
                <w:szCs w:val="20"/>
              </w:rPr>
            </w:pPr>
            <w:r w:rsidRPr="00DC06C4">
              <w:rPr>
                <w:sz w:val="20"/>
                <w:szCs w:val="20"/>
              </w:rPr>
              <w:t>8328</w:t>
            </w:r>
          </w:p>
        </w:tc>
        <w:tc>
          <w:tcPr>
            <w:tcW w:w="1542" w:type="dxa"/>
            <w:noWrap/>
            <w:hideMark/>
          </w:tcPr>
          <w:p w14:paraId="02D7AD2A" w14:textId="77777777" w:rsidR="00481FB1" w:rsidRPr="00DC06C4" w:rsidRDefault="00481FB1" w:rsidP="00DC06C4">
            <w:pPr>
              <w:pStyle w:val="TableCopy"/>
              <w:rPr>
                <w:rFonts w:eastAsia="Times New Roman"/>
                <w:sz w:val="20"/>
                <w:szCs w:val="20"/>
              </w:rPr>
            </w:pPr>
            <w:r w:rsidRPr="00DC06C4">
              <w:rPr>
                <w:sz w:val="20"/>
                <w:szCs w:val="20"/>
              </w:rPr>
              <w:t>9056</w:t>
            </w:r>
          </w:p>
        </w:tc>
        <w:tc>
          <w:tcPr>
            <w:tcW w:w="1690" w:type="dxa"/>
            <w:noWrap/>
            <w:hideMark/>
          </w:tcPr>
          <w:p w14:paraId="271ADDF4" w14:textId="77777777" w:rsidR="00481FB1" w:rsidRPr="00DC06C4" w:rsidRDefault="00481FB1" w:rsidP="00DC06C4">
            <w:pPr>
              <w:pStyle w:val="TableCopy"/>
              <w:rPr>
                <w:rFonts w:eastAsia="Times New Roman"/>
                <w:sz w:val="20"/>
                <w:szCs w:val="20"/>
              </w:rPr>
            </w:pPr>
            <w:r w:rsidRPr="00DC06C4">
              <w:rPr>
                <w:sz w:val="20"/>
                <w:szCs w:val="20"/>
              </w:rPr>
              <w:t>6606</w:t>
            </w:r>
          </w:p>
        </w:tc>
        <w:tc>
          <w:tcPr>
            <w:tcW w:w="1549" w:type="dxa"/>
            <w:noWrap/>
            <w:hideMark/>
          </w:tcPr>
          <w:p w14:paraId="4CC1AE3D" w14:textId="77777777" w:rsidR="00481FB1" w:rsidRPr="00DC06C4" w:rsidRDefault="00481FB1" w:rsidP="00DC06C4">
            <w:pPr>
              <w:pStyle w:val="TableCopy"/>
              <w:rPr>
                <w:rFonts w:eastAsia="Times New Roman"/>
                <w:sz w:val="20"/>
                <w:szCs w:val="20"/>
              </w:rPr>
            </w:pPr>
            <w:r w:rsidRPr="00DC06C4">
              <w:rPr>
                <w:sz w:val="20"/>
                <w:szCs w:val="20"/>
              </w:rPr>
              <w:t>5499</w:t>
            </w:r>
          </w:p>
        </w:tc>
        <w:tc>
          <w:tcPr>
            <w:tcW w:w="1053" w:type="dxa"/>
            <w:noWrap/>
            <w:hideMark/>
          </w:tcPr>
          <w:p w14:paraId="3D462769" w14:textId="77777777" w:rsidR="00481FB1" w:rsidRPr="00DC06C4" w:rsidRDefault="00481FB1" w:rsidP="00DC06C4">
            <w:pPr>
              <w:pStyle w:val="TableCopy"/>
              <w:rPr>
                <w:rFonts w:eastAsia="Times New Roman"/>
                <w:sz w:val="20"/>
                <w:szCs w:val="20"/>
              </w:rPr>
            </w:pPr>
            <w:r w:rsidRPr="00DC06C4">
              <w:rPr>
                <w:sz w:val="20"/>
                <w:szCs w:val="20"/>
              </w:rPr>
              <w:t>3681</w:t>
            </w:r>
          </w:p>
        </w:tc>
        <w:tc>
          <w:tcPr>
            <w:tcW w:w="1528" w:type="dxa"/>
            <w:noWrap/>
            <w:hideMark/>
          </w:tcPr>
          <w:p w14:paraId="4762CB66" w14:textId="77777777" w:rsidR="00481FB1" w:rsidRPr="00DC06C4" w:rsidRDefault="00481FB1" w:rsidP="00DC06C4">
            <w:pPr>
              <w:pStyle w:val="TableCopy"/>
              <w:rPr>
                <w:rFonts w:eastAsia="Times New Roman"/>
                <w:sz w:val="20"/>
                <w:szCs w:val="20"/>
              </w:rPr>
            </w:pPr>
            <w:r w:rsidRPr="00DC06C4">
              <w:rPr>
                <w:sz w:val="20"/>
                <w:szCs w:val="20"/>
              </w:rPr>
              <w:t>3298</w:t>
            </w:r>
          </w:p>
        </w:tc>
      </w:tr>
      <w:tr w:rsidR="00481FB1" w:rsidRPr="00DC06C4" w14:paraId="68A121F0" w14:textId="77777777" w:rsidTr="00C865B6">
        <w:tc>
          <w:tcPr>
            <w:tcW w:w="1160" w:type="dxa"/>
            <w:noWrap/>
            <w:hideMark/>
          </w:tcPr>
          <w:p w14:paraId="13179D8A" w14:textId="77777777" w:rsidR="00481FB1" w:rsidRPr="00DC06C4" w:rsidRDefault="00481FB1" w:rsidP="00DC06C4">
            <w:pPr>
              <w:pStyle w:val="TableCopy"/>
              <w:rPr>
                <w:rFonts w:eastAsia="Times New Roman"/>
                <w:sz w:val="20"/>
                <w:szCs w:val="20"/>
              </w:rPr>
            </w:pPr>
            <w:r w:rsidRPr="00DC06C4">
              <w:rPr>
                <w:rFonts w:eastAsia="Times New Roman"/>
                <w:sz w:val="20"/>
                <w:szCs w:val="20"/>
              </w:rPr>
              <w:t>2007</w:t>
            </w:r>
          </w:p>
        </w:tc>
        <w:tc>
          <w:tcPr>
            <w:tcW w:w="1171" w:type="dxa"/>
            <w:noWrap/>
            <w:hideMark/>
          </w:tcPr>
          <w:p w14:paraId="0C036CB6" w14:textId="77777777" w:rsidR="00481FB1" w:rsidRPr="00DC06C4" w:rsidRDefault="00481FB1" w:rsidP="00DC06C4">
            <w:pPr>
              <w:pStyle w:val="TableCopy"/>
              <w:rPr>
                <w:rFonts w:eastAsia="Times New Roman"/>
                <w:sz w:val="20"/>
                <w:szCs w:val="20"/>
              </w:rPr>
            </w:pPr>
            <w:r w:rsidRPr="00DC06C4">
              <w:rPr>
                <w:sz w:val="20"/>
                <w:szCs w:val="20"/>
              </w:rPr>
              <w:t>11911</w:t>
            </w:r>
          </w:p>
        </w:tc>
        <w:tc>
          <w:tcPr>
            <w:tcW w:w="1164" w:type="dxa"/>
            <w:noWrap/>
            <w:hideMark/>
          </w:tcPr>
          <w:p w14:paraId="7A6E30B8" w14:textId="77777777" w:rsidR="00481FB1" w:rsidRPr="00DC06C4" w:rsidRDefault="00481FB1" w:rsidP="00DC06C4">
            <w:pPr>
              <w:pStyle w:val="TableCopy"/>
              <w:rPr>
                <w:rFonts w:eastAsia="Times New Roman"/>
                <w:sz w:val="20"/>
                <w:szCs w:val="20"/>
              </w:rPr>
            </w:pPr>
            <w:r w:rsidRPr="00DC06C4">
              <w:rPr>
                <w:sz w:val="20"/>
                <w:szCs w:val="20"/>
              </w:rPr>
              <w:t>12808</w:t>
            </w:r>
          </w:p>
        </w:tc>
        <w:tc>
          <w:tcPr>
            <w:tcW w:w="1366" w:type="dxa"/>
            <w:noWrap/>
            <w:hideMark/>
          </w:tcPr>
          <w:p w14:paraId="7050024B" w14:textId="77777777" w:rsidR="00481FB1" w:rsidRPr="00DC06C4" w:rsidRDefault="00481FB1" w:rsidP="00DC06C4">
            <w:pPr>
              <w:pStyle w:val="TableCopy"/>
              <w:rPr>
                <w:rFonts w:eastAsia="Times New Roman"/>
                <w:sz w:val="20"/>
                <w:szCs w:val="20"/>
              </w:rPr>
            </w:pPr>
            <w:r w:rsidRPr="00DC06C4">
              <w:rPr>
                <w:sz w:val="20"/>
                <w:szCs w:val="20"/>
              </w:rPr>
              <w:t>10112</w:t>
            </w:r>
          </w:p>
        </w:tc>
        <w:tc>
          <w:tcPr>
            <w:tcW w:w="1264" w:type="dxa"/>
            <w:noWrap/>
            <w:hideMark/>
          </w:tcPr>
          <w:p w14:paraId="4874F666" w14:textId="77777777" w:rsidR="00481FB1" w:rsidRPr="00DC06C4" w:rsidRDefault="00481FB1" w:rsidP="00DC06C4">
            <w:pPr>
              <w:pStyle w:val="TableCopy"/>
              <w:rPr>
                <w:rFonts w:eastAsia="Times New Roman"/>
                <w:sz w:val="20"/>
                <w:szCs w:val="20"/>
              </w:rPr>
            </w:pPr>
            <w:r w:rsidRPr="00DC06C4">
              <w:rPr>
                <w:sz w:val="20"/>
                <w:szCs w:val="20"/>
              </w:rPr>
              <w:t>10532</w:t>
            </w:r>
          </w:p>
        </w:tc>
        <w:tc>
          <w:tcPr>
            <w:tcW w:w="1109" w:type="dxa"/>
            <w:noWrap/>
            <w:hideMark/>
          </w:tcPr>
          <w:p w14:paraId="4A1D8A56" w14:textId="77777777" w:rsidR="00481FB1" w:rsidRPr="00DC06C4" w:rsidRDefault="00481FB1" w:rsidP="00DC06C4">
            <w:pPr>
              <w:pStyle w:val="TableCopy"/>
              <w:rPr>
                <w:rFonts w:eastAsia="Times New Roman"/>
                <w:sz w:val="20"/>
                <w:szCs w:val="20"/>
              </w:rPr>
            </w:pPr>
            <w:r w:rsidRPr="00DC06C4">
              <w:rPr>
                <w:sz w:val="20"/>
                <w:szCs w:val="20"/>
              </w:rPr>
              <w:t>8525</w:t>
            </w:r>
          </w:p>
        </w:tc>
        <w:tc>
          <w:tcPr>
            <w:tcW w:w="1542" w:type="dxa"/>
            <w:noWrap/>
            <w:hideMark/>
          </w:tcPr>
          <w:p w14:paraId="6A50D291" w14:textId="77777777" w:rsidR="00481FB1" w:rsidRPr="00DC06C4" w:rsidRDefault="00481FB1" w:rsidP="00DC06C4">
            <w:pPr>
              <w:pStyle w:val="TableCopy"/>
              <w:rPr>
                <w:rFonts w:eastAsia="Times New Roman"/>
                <w:sz w:val="20"/>
                <w:szCs w:val="20"/>
              </w:rPr>
            </w:pPr>
            <w:r w:rsidRPr="00DC06C4">
              <w:rPr>
                <w:sz w:val="20"/>
                <w:szCs w:val="20"/>
              </w:rPr>
              <w:t>9010</w:t>
            </w:r>
          </w:p>
        </w:tc>
        <w:tc>
          <w:tcPr>
            <w:tcW w:w="1690" w:type="dxa"/>
            <w:noWrap/>
            <w:hideMark/>
          </w:tcPr>
          <w:p w14:paraId="39AAEFE6" w14:textId="77777777" w:rsidR="00481FB1" w:rsidRPr="00DC06C4" w:rsidRDefault="00481FB1" w:rsidP="00DC06C4">
            <w:pPr>
              <w:pStyle w:val="TableCopy"/>
              <w:rPr>
                <w:rFonts w:eastAsia="Times New Roman"/>
                <w:sz w:val="20"/>
                <w:szCs w:val="20"/>
              </w:rPr>
            </w:pPr>
            <w:r w:rsidRPr="00DC06C4">
              <w:rPr>
                <w:sz w:val="20"/>
                <w:szCs w:val="20"/>
              </w:rPr>
              <w:t>6700</w:t>
            </w:r>
          </w:p>
        </w:tc>
        <w:tc>
          <w:tcPr>
            <w:tcW w:w="1549" w:type="dxa"/>
            <w:noWrap/>
            <w:hideMark/>
          </w:tcPr>
          <w:p w14:paraId="6DC2219E" w14:textId="77777777" w:rsidR="00481FB1" w:rsidRPr="00DC06C4" w:rsidRDefault="00481FB1" w:rsidP="00DC06C4">
            <w:pPr>
              <w:pStyle w:val="TableCopy"/>
              <w:rPr>
                <w:rFonts w:eastAsia="Times New Roman"/>
                <w:sz w:val="20"/>
                <w:szCs w:val="20"/>
              </w:rPr>
            </w:pPr>
            <w:r w:rsidRPr="00DC06C4">
              <w:rPr>
                <w:sz w:val="20"/>
                <w:szCs w:val="20"/>
              </w:rPr>
              <w:t>5620</w:t>
            </w:r>
          </w:p>
        </w:tc>
        <w:tc>
          <w:tcPr>
            <w:tcW w:w="1053" w:type="dxa"/>
            <w:noWrap/>
            <w:hideMark/>
          </w:tcPr>
          <w:p w14:paraId="4B90AD26" w14:textId="77777777" w:rsidR="00481FB1" w:rsidRPr="00DC06C4" w:rsidRDefault="00481FB1" w:rsidP="00DC06C4">
            <w:pPr>
              <w:pStyle w:val="TableCopy"/>
              <w:rPr>
                <w:rFonts w:eastAsia="Times New Roman"/>
                <w:sz w:val="20"/>
                <w:szCs w:val="20"/>
              </w:rPr>
            </w:pPr>
            <w:r w:rsidRPr="00DC06C4">
              <w:rPr>
                <w:sz w:val="20"/>
                <w:szCs w:val="20"/>
              </w:rPr>
              <w:t>3867</w:t>
            </w:r>
          </w:p>
        </w:tc>
        <w:tc>
          <w:tcPr>
            <w:tcW w:w="1528" w:type="dxa"/>
            <w:noWrap/>
            <w:hideMark/>
          </w:tcPr>
          <w:p w14:paraId="084F634C" w14:textId="77777777" w:rsidR="00481FB1" w:rsidRPr="00DC06C4" w:rsidRDefault="00481FB1" w:rsidP="00DC06C4">
            <w:pPr>
              <w:pStyle w:val="TableCopy"/>
              <w:rPr>
                <w:rFonts w:eastAsia="Times New Roman"/>
                <w:sz w:val="20"/>
                <w:szCs w:val="20"/>
              </w:rPr>
            </w:pPr>
            <w:r w:rsidRPr="00DC06C4">
              <w:rPr>
                <w:sz w:val="20"/>
                <w:szCs w:val="20"/>
              </w:rPr>
              <w:t>3455</w:t>
            </w:r>
          </w:p>
        </w:tc>
      </w:tr>
      <w:tr w:rsidR="00481FB1" w:rsidRPr="00DC06C4" w14:paraId="638B056E" w14:textId="77777777" w:rsidTr="00C865B6">
        <w:tc>
          <w:tcPr>
            <w:tcW w:w="1160" w:type="dxa"/>
            <w:noWrap/>
            <w:hideMark/>
          </w:tcPr>
          <w:p w14:paraId="089FF165" w14:textId="77777777" w:rsidR="00481FB1" w:rsidRPr="00DC06C4" w:rsidRDefault="00481FB1" w:rsidP="00DC06C4">
            <w:pPr>
              <w:pStyle w:val="TableCopy"/>
              <w:rPr>
                <w:rFonts w:eastAsia="Times New Roman"/>
                <w:sz w:val="20"/>
                <w:szCs w:val="20"/>
              </w:rPr>
            </w:pPr>
            <w:r w:rsidRPr="00DC06C4">
              <w:rPr>
                <w:rFonts w:eastAsia="Times New Roman"/>
                <w:sz w:val="20"/>
                <w:szCs w:val="20"/>
              </w:rPr>
              <w:t>2008</w:t>
            </w:r>
          </w:p>
        </w:tc>
        <w:tc>
          <w:tcPr>
            <w:tcW w:w="1171" w:type="dxa"/>
            <w:noWrap/>
            <w:hideMark/>
          </w:tcPr>
          <w:p w14:paraId="7AFC772B" w14:textId="77777777" w:rsidR="00481FB1" w:rsidRPr="00DC06C4" w:rsidRDefault="00481FB1" w:rsidP="00DC06C4">
            <w:pPr>
              <w:pStyle w:val="TableCopy"/>
              <w:rPr>
                <w:rFonts w:eastAsia="Times New Roman"/>
                <w:sz w:val="20"/>
                <w:szCs w:val="20"/>
              </w:rPr>
            </w:pPr>
            <w:r w:rsidRPr="00DC06C4">
              <w:rPr>
                <w:sz w:val="20"/>
                <w:szCs w:val="20"/>
              </w:rPr>
              <w:t>12372</w:t>
            </w:r>
          </w:p>
        </w:tc>
        <w:tc>
          <w:tcPr>
            <w:tcW w:w="1164" w:type="dxa"/>
            <w:noWrap/>
            <w:hideMark/>
          </w:tcPr>
          <w:p w14:paraId="4274B7C3" w14:textId="77777777" w:rsidR="00481FB1" w:rsidRPr="00DC06C4" w:rsidRDefault="00481FB1" w:rsidP="00DC06C4">
            <w:pPr>
              <w:pStyle w:val="TableCopy"/>
              <w:rPr>
                <w:rFonts w:eastAsia="Times New Roman"/>
                <w:sz w:val="20"/>
                <w:szCs w:val="20"/>
              </w:rPr>
            </w:pPr>
            <w:r w:rsidRPr="00DC06C4">
              <w:rPr>
                <w:sz w:val="20"/>
                <w:szCs w:val="20"/>
              </w:rPr>
              <w:t>12893</w:t>
            </w:r>
          </w:p>
        </w:tc>
        <w:tc>
          <w:tcPr>
            <w:tcW w:w="1366" w:type="dxa"/>
            <w:noWrap/>
            <w:hideMark/>
          </w:tcPr>
          <w:p w14:paraId="12BA9985" w14:textId="77777777" w:rsidR="00481FB1" w:rsidRPr="00DC06C4" w:rsidRDefault="00481FB1" w:rsidP="00DC06C4">
            <w:pPr>
              <w:pStyle w:val="TableCopy"/>
              <w:rPr>
                <w:rFonts w:eastAsia="Times New Roman"/>
                <w:sz w:val="20"/>
                <w:szCs w:val="20"/>
              </w:rPr>
            </w:pPr>
            <w:r w:rsidRPr="00DC06C4">
              <w:rPr>
                <w:sz w:val="20"/>
                <w:szCs w:val="20"/>
              </w:rPr>
              <w:t>10614</w:t>
            </w:r>
          </w:p>
        </w:tc>
        <w:tc>
          <w:tcPr>
            <w:tcW w:w="1264" w:type="dxa"/>
            <w:noWrap/>
            <w:hideMark/>
          </w:tcPr>
          <w:p w14:paraId="1BA04974" w14:textId="77777777" w:rsidR="00481FB1" w:rsidRPr="00DC06C4" w:rsidRDefault="00481FB1" w:rsidP="00DC06C4">
            <w:pPr>
              <w:pStyle w:val="TableCopy"/>
              <w:rPr>
                <w:rFonts w:eastAsia="Times New Roman"/>
                <w:sz w:val="20"/>
                <w:szCs w:val="20"/>
              </w:rPr>
            </w:pPr>
            <w:r w:rsidRPr="00DC06C4">
              <w:rPr>
                <w:sz w:val="20"/>
                <w:szCs w:val="20"/>
              </w:rPr>
              <w:t>10960</w:t>
            </w:r>
          </w:p>
        </w:tc>
        <w:tc>
          <w:tcPr>
            <w:tcW w:w="1109" w:type="dxa"/>
            <w:noWrap/>
            <w:hideMark/>
          </w:tcPr>
          <w:p w14:paraId="6F2E9B37" w14:textId="77777777" w:rsidR="00481FB1" w:rsidRPr="00DC06C4" w:rsidRDefault="00481FB1" w:rsidP="00DC06C4">
            <w:pPr>
              <w:pStyle w:val="TableCopy"/>
              <w:rPr>
                <w:rFonts w:eastAsia="Times New Roman"/>
                <w:sz w:val="20"/>
                <w:szCs w:val="20"/>
              </w:rPr>
            </w:pPr>
            <w:r w:rsidRPr="00DC06C4">
              <w:rPr>
                <w:sz w:val="20"/>
                <w:szCs w:val="20"/>
              </w:rPr>
              <w:t>8486</w:t>
            </w:r>
          </w:p>
        </w:tc>
        <w:tc>
          <w:tcPr>
            <w:tcW w:w="1542" w:type="dxa"/>
            <w:noWrap/>
            <w:hideMark/>
          </w:tcPr>
          <w:p w14:paraId="6A057009" w14:textId="77777777" w:rsidR="00481FB1" w:rsidRPr="00DC06C4" w:rsidRDefault="00481FB1" w:rsidP="00DC06C4">
            <w:pPr>
              <w:pStyle w:val="TableCopy"/>
              <w:rPr>
                <w:rFonts w:eastAsia="Times New Roman"/>
                <w:sz w:val="20"/>
                <w:szCs w:val="20"/>
              </w:rPr>
            </w:pPr>
            <w:r w:rsidRPr="00DC06C4">
              <w:rPr>
                <w:sz w:val="20"/>
                <w:szCs w:val="20"/>
              </w:rPr>
              <w:t>8793</w:t>
            </w:r>
          </w:p>
        </w:tc>
        <w:tc>
          <w:tcPr>
            <w:tcW w:w="1690" w:type="dxa"/>
            <w:noWrap/>
            <w:hideMark/>
          </w:tcPr>
          <w:p w14:paraId="6DA7E834" w14:textId="77777777" w:rsidR="00481FB1" w:rsidRPr="00DC06C4" w:rsidRDefault="00481FB1" w:rsidP="00DC06C4">
            <w:pPr>
              <w:pStyle w:val="TableCopy"/>
              <w:rPr>
                <w:rFonts w:eastAsia="Times New Roman"/>
                <w:sz w:val="20"/>
                <w:szCs w:val="20"/>
              </w:rPr>
            </w:pPr>
            <w:r w:rsidRPr="00DC06C4">
              <w:rPr>
                <w:sz w:val="20"/>
                <w:szCs w:val="20"/>
              </w:rPr>
              <w:t>6984</w:t>
            </w:r>
          </w:p>
        </w:tc>
        <w:tc>
          <w:tcPr>
            <w:tcW w:w="1549" w:type="dxa"/>
            <w:noWrap/>
            <w:hideMark/>
          </w:tcPr>
          <w:p w14:paraId="5D83F20C" w14:textId="77777777" w:rsidR="00481FB1" w:rsidRPr="00DC06C4" w:rsidRDefault="00481FB1" w:rsidP="00DC06C4">
            <w:pPr>
              <w:pStyle w:val="TableCopy"/>
              <w:rPr>
                <w:rFonts w:eastAsia="Times New Roman"/>
                <w:sz w:val="20"/>
                <w:szCs w:val="20"/>
              </w:rPr>
            </w:pPr>
            <w:r w:rsidRPr="00DC06C4">
              <w:rPr>
                <w:sz w:val="20"/>
                <w:szCs w:val="20"/>
              </w:rPr>
              <w:t>5766</w:t>
            </w:r>
          </w:p>
        </w:tc>
        <w:tc>
          <w:tcPr>
            <w:tcW w:w="1053" w:type="dxa"/>
            <w:noWrap/>
            <w:hideMark/>
          </w:tcPr>
          <w:p w14:paraId="29E9AA93" w14:textId="77777777" w:rsidR="00481FB1" w:rsidRPr="00DC06C4" w:rsidRDefault="00481FB1" w:rsidP="00DC06C4">
            <w:pPr>
              <w:pStyle w:val="TableCopy"/>
              <w:rPr>
                <w:rFonts w:eastAsia="Times New Roman"/>
                <w:sz w:val="20"/>
                <w:szCs w:val="20"/>
              </w:rPr>
            </w:pPr>
            <w:r w:rsidRPr="00DC06C4">
              <w:rPr>
                <w:sz w:val="20"/>
                <w:szCs w:val="20"/>
              </w:rPr>
              <w:t>4140</w:t>
            </w:r>
          </w:p>
        </w:tc>
        <w:tc>
          <w:tcPr>
            <w:tcW w:w="1528" w:type="dxa"/>
            <w:noWrap/>
            <w:hideMark/>
          </w:tcPr>
          <w:p w14:paraId="044198AE" w14:textId="77777777" w:rsidR="00481FB1" w:rsidRPr="00DC06C4" w:rsidRDefault="00481FB1" w:rsidP="00DC06C4">
            <w:pPr>
              <w:pStyle w:val="TableCopy"/>
              <w:rPr>
                <w:rFonts w:eastAsia="Times New Roman"/>
                <w:sz w:val="20"/>
                <w:szCs w:val="20"/>
              </w:rPr>
            </w:pPr>
            <w:r w:rsidRPr="00DC06C4">
              <w:rPr>
                <w:sz w:val="20"/>
                <w:szCs w:val="20"/>
              </w:rPr>
              <w:t>3309</w:t>
            </w:r>
          </w:p>
        </w:tc>
      </w:tr>
      <w:tr w:rsidR="00481FB1" w:rsidRPr="00DC06C4" w14:paraId="34830106" w14:textId="77777777" w:rsidTr="00C865B6">
        <w:tc>
          <w:tcPr>
            <w:tcW w:w="1160" w:type="dxa"/>
            <w:noWrap/>
            <w:hideMark/>
          </w:tcPr>
          <w:p w14:paraId="675C2BF8" w14:textId="77777777" w:rsidR="00481FB1" w:rsidRPr="00DC06C4" w:rsidRDefault="00481FB1" w:rsidP="00DC06C4">
            <w:pPr>
              <w:pStyle w:val="TableCopy"/>
              <w:rPr>
                <w:rFonts w:eastAsia="Times New Roman"/>
                <w:sz w:val="20"/>
                <w:szCs w:val="20"/>
              </w:rPr>
            </w:pPr>
            <w:r w:rsidRPr="00DC06C4">
              <w:rPr>
                <w:rFonts w:eastAsia="Times New Roman"/>
                <w:sz w:val="20"/>
                <w:szCs w:val="20"/>
              </w:rPr>
              <w:t>2009</w:t>
            </w:r>
          </w:p>
        </w:tc>
        <w:tc>
          <w:tcPr>
            <w:tcW w:w="1171" w:type="dxa"/>
            <w:noWrap/>
            <w:hideMark/>
          </w:tcPr>
          <w:p w14:paraId="560FAF38" w14:textId="77777777" w:rsidR="00481FB1" w:rsidRPr="00DC06C4" w:rsidRDefault="00481FB1" w:rsidP="00DC06C4">
            <w:pPr>
              <w:pStyle w:val="TableCopy"/>
              <w:rPr>
                <w:rFonts w:eastAsia="Times New Roman"/>
                <w:sz w:val="20"/>
                <w:szCs w:val="20"/>
              </w:rPr>
            </w:pPr>
            <w:r w:rsidRPr="00DC06C4">
              <w:rPr>
                <w:sz w:val="20"/>
                <w:szCs w:val="20"/>
              </w:rPr>
              <w:t>12424</w:t>
            </w:r>
          </w:p>
        </w:tc>
        <w:tc>
          <w:tcPr>
            <w:tcW w:w="1164" w:type="dxa"/>
            <w:noWrap/>
            <w:hideMark/>
          </w:tcPr>
          <w:p w14:paraId="32C1E74A" w14:textId="77777777" w:rsidR="00481FB1" w:rsidRPr="00DC06C4" w:rsidRDefault="00481FB1" w:rsidP="00DC06C4">
            <w:pPr>
              <w:pStyle w:val="TableCopy"/>
              <w:rPr>
                <w:rFonts w:eastAsia="Times New Roman"/>
                <w:sz w:val="20"/>
                <w:szCs w:val="20"/>
              </w:rPr>
            </w:pPr>
            <w:r w:rsidRPr="00DC06C4">
              <w:rPr>
                <w:sz w:val="20"/>
                <w:szCs w:val="20"/>
              </w:rPr>
              <w:t>12181</w:t>
            </w:r>
          </w:p>
        </w:tc>
        <w:tc>
          <w:tcPr>
            <w:tcW w:w="1366" w:type="dxa"/>
            <w:noWrap/>
            <w:hideMark/>
          </w:tcPr>
          <w:p w14:paraId="53D2C398" w14:textId="77777777" w:rsidR="00481FB1" w:rsidRPr="00DC06C4" w:rsidRDefault="00481FB1" w:rsidP="00DC06C4">
            <w:pPr>
              <w:pStyle w:val="TableCopy"/>
              <w:rPr>
                <w:rFonts w:eastAsia="Times New Roman"/>
                <w:sz w:val="20"/>
                <w:szCs w:val="20"/>
              </w:rPr>
            </w:pPr>
            <w:r w:rsidRPr="00DC06C4">
              <w:rPr>
                <w:sz w:val="20"/>
                <w:szCs w:val="20"/>
              </w:rPr>
              <w:t>10830</w:t>
            </w:r>
          </w:p>
        </w:tc>
        <w:tc>
          <w:tcPr>
            <w:tcW w:w="1264" w:type="dxa"/>
            <w:noWrap/>
            <w:hideMark/>
          </w:tcPr>
          <w:p w14:paraId="57A68385" w14:textId="77777777" w:rsidR="00481FB1" w:rsidRPr="00DC06C4" w:rsidRDefault="00481FB1" w:rsidP="00DC06C4">
            <w:pPr>
              <w:pStyle w:val="TableCopy"/>
              <w:rPr>
                <w:rFonts w:eastAsia="Times New Roman"/>
                <w:sz w:val="20"/>
                <w:szCs w:val="20"/>
              </w:rPr>
            </w:pPr>
            <w:r w:rsidRPr="00DC06C4">
              <w:rPr>
                <w:sz w:val="20"/>
                <w:szCs w:val="20"/>
              </w:rPr>
              <w:t>11572</w:t>
            </w:r>
          </w:p>
        </w:tc>
        <w:tc>
          <w:tcPr>
            <w:tcW w:w="1109" w:type="dxa"/>
            <w:noWrap/>
            <w:hideMark/>
          </w:tcPr>
          <w:p w14:paraId="2A107556" w14:textId="77777777" w:rsidR="00481FB1" w:rsidRPr="00DC06C4" w:rsidRDefault="00481FB1" w:rsidP="00DC06C4">
            <w:pPr>
              <w:pStyle w:val="TableCopy"/>
              <w:rPr>
                <w:rFonts w:eastAsia="Times New Roman"/>
                <w:sz w:val="20"/>
                <w:szCs w:val="20"/>
              </w:rPr>
            </w:pPr>
            <w:r w:rsidRPr="00DC06C4">
              <w:rPr>
                <w:sz w:val="20"/>
                <w:szCs w:val="20"/>
              </w:rPr>
              <w:t>8339</w:t>
            </w:r>
          </w:p>
        </w:tc>
        <w:tc>
          <w:tcPr>
            <w:tcW w:w="1542" w:type="dxa"/>
            <w:noWrap/>
            <w:hideMark/>
          </w:tcPr>
          <w:p w14:paraId="54722CEC" w14:textId="77777777" w:rsidR="00481FB1" w:rsidRPr="00DC06C4" w:rsidRDefault="00481FB1" w:rsidP="00DC06C4">
            <w:pPr>
              <w:pStyle w:val="TableCopy"/>
              <w:rPr>
                <w:rFonts w:eastAsia="Times New Roman"/>
                <w:sz w:val="20"/>
                <w:szCs w:val="20"/>
              </w:rPr>
            </w:pPr>
            <w:r w:rsidRPr="00DC06C4">
              <w:rPr>
                <w:sz w:val="20"/>
                <w:szCs w:val="20"/>
              </w:rPr>
              <w:t>8414</w:t>
            </w:r>
          </w:p>
        </w:tc>
        <w:tc>
          <w:tcPr>
            <w:tcW w:w="1690" w:type="dxa"/>
            <w:noWrap/>
            <w:hideMark/>
          </w:tcPr>
          <w:p w14:paraId="3B323AEB" w14:textId="77777777" w:rsidR="00481FB1" w:rsidRPr="00DC06C4" w:rsidRDefault="00481FB1" w:rsidP="00DC06C4">
            <w:pPr>
              <w:pStyle w:val="TableCopy"/>
              <w:rPr>
                <w:rFonts w:eastAsia="Times New Roman"/>
                <w:sz w:val="20"/>
                <w:szCs w:val="20"/>
              </w:rPr>
            </w:pPr>
            <w:r w:rsidRPr="00DC06C4">
              <w:rPr>
                <w:sz w:val="20"/>
                <w:szCs w:val="20"/>
              </w:rPr>
              <w:t>7014</w:t>
            </w:r>
          </w:p>
        </w:tc>
        <w:tc>
          <w:tcPr>
            <w:tcW w:w="1549" w:type="dxa"/>
            <w:noWrap/>
            <w:hideMark/>
          </w:tcPr>
          <w:p w14:paraId="110B1367" w14:textId="77777777" w:rsidR="00481FB1" w:rsidRPr="00DC06C4" w:rsidRDefault="00481FB1" w:rsidP="00DC06C4">
            <w:pPr>
              <w:pStyle w:val="TableCopy"/>
              <w:rPr>
                <w:rFonts w:eastAsia="Times New Roman"/>
                <w:sz w:val="20"/>
                <w:szCs w:val="20"/>
              </w:rPr>
            </w:pPr>
            <w:r w:rsidRPr="00DC06C4">
              <w:rPr>
                <w:sz w:val="20"/>
                <w:szCs w:val="20"/>
              </w:rPr>
              <w:t>5718</w:t>
            </w:r>
          </w:p>
        </w:tc>
        <w:tc>
          <w:tcPr>
            <w:tcW w:w="1053" w:type="dxa"/>
            <w:noWrap/>
            <w:hideMark/>
          </w:tcPr>
          <w:p w14:paraId="70F41B93" w14:textId="77777777" w:rsidR="00481FB1" w:rsidRPr="00DC06C4" w:rsidRDefault="00481FB1" w:rsidP="00DC06C4">
            <w:pPr>
              <w:pStyle w:val="TableCopy"/>
              <w:rPr>
                <w:rFonts w:eastAsia="Times New Roman"/>
                <w:sz w:val="20"/>
                <w:szCs w:val="20"/>
              </w:rPr>
            </w:pPr>
            <w:r w:rsidRPr="00DC06C4">
              <w:rPr>
                <w:sz w:val="20"/>
                <w:szCs w:val="20"/>
              </w:rPr>
              <w:t>3873</w:t>
            </w:r>
          </w:p>
        </w:tc>
        <w:tc>
          <w:tcPr>
            <w:tcW w:w="1528" w:type="dxa"/>
            <w:noWrap/>
            <w:hideMark/>
          </w:tcPr>
          <w:p w14:paraId="5FD2C957" w14:textId="77777777" w:rsidR="00481FB1" w:rsidRPr="00DC06C4" w:rsidRDefault="00481FB1" w:rsidP="00DC06C4">
            <w:pPr>
              <w:pStyle w:val="TableCopy"/>
              <w:rPr>
                <w:rFonts w:eastAsia="Times New Roman"/>
                <w:sz w:val="20"/>
                <w:szCs w:val="20"/>
              </w:rPr>
            </w:pPr>
            <w:r w:rsidRPr="00DC06C4">
              <w:rPr>
                <w:sz w:val="20"/>
                <w:szCs w:val="20"/>
              </w:rPr>
              <w:t>3292</w:t>
            </w:r>
          </w:p>
        </w:tc>
      </w:tr>
      <w:tr w:rsidR="00481FB1" w:rsidRPr="00DC06C4" w14:paraId="645D97F6" w14:textId="77777777" w:rsidTr="00C865B6">
        <w:tc>
          <w:tcPr>
            <w:tcW w:w="1160" w:type="dxa"/>
            <w:noWrap/>
            <w:hideMark/>
          </w:tcPr>
          <w:p w14:paraId="20CB04AB" w14:textId="77777777" w:rsidR="00481FB1" w:rsidRPr="00DC06C4" w:rsidRDefault="00481FB1" w:rsidP="00DC06C4">
            <w:pPr>
              <w:pStyle w:val="TableCopy"/>
              <w:rPr>
                <w:rFonts w:eastAsia="Times New Roman"/>
                <w:sz w:val="20"/>
                <w:szCs w:val="20"/>
              </w:rPr>
            </w:pPr>
            <w:r w:rsidRPr="00DC06C4">
              <w:rPr>
                <w:rFonts w:eastAsia="Times New Roman"/>
                <w:sz w:val="20"/>
                <w:szCs w:val="20"/>
              </w:rPr>
              <w:t>2010</w:t>
            </w:r>
          </w:p>
        </w:tc>
        <w:tc>
          <w:tcPr>
            <w:tcW w:w="1171" w:type="dxa"/>
            <w:noWrap/>
            <w:hideMark/>
          </w:tcPr>
          <w:p w14:paraId="277EE485" w14:textId="77777777" w:rsidR="00481FB1" w:rsidRPr="00DC06C4" w:rsidRDefault="00481FB1" w:rsidP="00DC06C4">
            <w:pPr>
              <w:pStyle w:val="TableCopy"/>
              <w:rPr>
                <w:rFonts w:eastAsia="Times New Roman"/>
                <w:sz w:val="20"/>
                <w:szCs w:val="20"/>
              </w:rPr>
            </w:pPr>
            <w:r w:rsidRPr="00DC06C4">
              <w:rPr>
                <w:sz w:val="20"/>
                <w:szCs w:val="20"/>
              </w:rPr>
              <w:t>12434</w:t>
            </w:r>
          </w:p>
        </w:tc>
        <w:tc>
          <w:tcPr>
            <w:tcW w:w="1164" w:type="dxa"/>
            <w:noWrap/>
            <w:hideMark/>
          </w:tcPr>
          <w:p w14:paraId="4A119855" w14:textId="77777777" w:rsidR="00481FB1" w:rsidRPr="00DC06C4" w:rsidRDefault="00481FB1" w:rsidP="00DC06C4">
            <w:pPr>
              <w:pStyle w:val="TableCopy"/>
              <w:rPr>
                <w:rFonts w:eastAsia="Times New Roman"/>
                <w:sz w:val="20"/>
                <w:szCs w:val="20"/>
              </w:rPr>
            </w:pPr>
            <w:r w:rsidRPr="00DC06C4">
              <w:rPr>
                <w:sz w:val="20"/>
                <w:szCs w:val="20"/>
              </w:rPr>
              <w:t>12032</w:t>
            </w:r>
          </w:p>
        </w:tc>
        <w:tc>
          <w:tcPr>
            <w:tcW w:w="1366" w:type="dxa"/>
            <w:noWrap/>
            <w:hideMark/>
          </w:tcPr>
          <w:p w14:paraId="200DE2CD" w14:textId="77777777" w:rsidR="00481FB1" w:rsidRPr="00DC06C4" w:rsidRDefault="00481FB1" w:rsidP="00DC06C4">
            <w:pPr>
              <w:pStyle w:val="TableCopy"/>
              <w:rPr>
                <w:rFonts w:eastAsia="Times New Roman"/>
                <w:sz w:val="20"/>
                <w:szCs w:val="20"/>
              </w:rPr>
            </w:pPr>
            <w:r w:rsidRPr="00DC06C4">
              <w:rPr>
                <w:sz w:val="20"/>
                <w:szCs w:val="20"/>
              </w:rPr>
              <w:t>11986</w:t>
            </w:r>
          </w:p>
        </w:tc>
        <w:tc>
          <w:tcPr>
            <w:tcW w:w="1264" w:type="dxa"/>
            <w:noWrap/>
            <w:hideMark/>
          </w:tcPr>
          <w:p w14:paraId="4FC297DB" w14:textId="77777777" w:rsidR="00481FB1" w:rsidRPr="00DC06C4" w:rsidRDefault="00481FB1" w:rsidP="00DC06C4">
            <w:pPr>
              <w:pStyle w:val="TableCopy"/>
              <w:rPr>
                <w:rFonts w:eastAsia="Times New Roman"/>
                <w:sz w:val="20"/>
                <w:szCs w:val="20"/>
              </w:rPr>
            </w:pPr>
            <w:r w:rsidRPr="00DC06C4">
              <w:rPr>
                <w:sz w:val="20"/>
                <w:szCs w:val="20"/>
              </w:rPr>
              <w:t>12031</w:t>
            </w:r>
          </w:p>
        </w:tc>
        <w:tc>
          <w:tcPr>
            <w:tcW w:w="1109" w:type="dxa"/>
            <w:noWrap/>
            <w:hideMark/>
          </w:tcPr>
          <w:p w14:paraId="77488E0A" w14:textId="77777777" w:rsidR="00481FB1" w:rsidRPr="00DC06C4" w:rsidRDefault="00481FB1" w:rsidP="00DC06C4">
            <w:pPr>
              <w:pStyle w:val="TableCopy"/>
              <w:rPr>
                <w:rFonts w:eastAsia="Times New Roman"/>
                <w:sz w:val="20"/>
                <w:szCs w:val="20"/>
              </w:rPr>
            </w:pPr>
            <w:r w:rsidRPr="00DC06C4">
              <w:rPr>
                <w:sz w:val="20"/>
                <w:szCs w:val="20"/>
              </w:rPr>
              <w:t>8453</w:t>
            </w:r>
          </w:p>
        </w:tc>
        <w:tc>
          <w:tcPr>
            <w:tcW w:w="1542" w:type="dxa"/>
            <w:noWrap/>
            <w:hideMark/>
          </w:tcPr>
          <w:p w14:paraId="357DFB89" w14:textId="77777777" w:rsidR="00481FB1" w:rsidRPr="00DC06C4" w:rsidRDefault="00481FB1" w:rsidP="00DC06C4">
            <w:pPr>
              <w:pStyle w:val="TableCopy"/>
              <w:rPr>
                <w:rFonts w:eastAsia="Times New Roman"/>
                <w:sz w:val="20"/>
                <w:szCs w:val="20"/>
              </w:rPr>
            </w:pPr>
            <w:r w:rsidRPr="00DC06C4">
              <w:rPr>
                <w:sz w:val="20"/>
                <w:szCs w:val="20"/>
              </w:rPr>
              <w:t>8509</w:t>
            </w:r>
          </w:p>
        </w:tc>
        <w:tc>
          <w:tcPr>
            <w:tcW w:w="1690" w:type="dxa"/>
            <w:noWrap/>
            <w:hideMark/>
          </w:tcPr>
          <w:p w14:paraId="3D2791CF" w14:textId="77777777" w:rsidR="00481FB1" w:rsidRPr="00DC06C4" w:rsidRDefault="00481FB1" w:rsidP="00DC06C4">
            <w:pPr>
              <w:pStyle w:val="TableCopy"/>
              <w:rPr>
                <w:rFonts w:eastAsia="Times New Roman"/>
                <w:sz w:val="20"/>
                <w:szCs w:val="20"/>
              </w:rPr>
            </w:pPr>
            <w:r w:rsidRPr="00DC06C4">
              <w:rPr>
                <w:sz w:val="20"/>
                <w:szCs w:val="20"/>
              </w:rPr>
              <w:t>7473</w:t>
            </w:r>
          </w:p>
        </w:tc>
        <w:tc>
          <w:tcPr>
            <w:tcW w:w="1549" w:type="dxa"/>
            <w:noWrap/>
            <w:hideMark/>
          </w:tcPr>
          <w:p w14:paraId="32118047" w14:textId="77777777" w:rsidR="00481FB1" w:rsidRPr="00DC06C4" w:rsidRDefault="00481FB1" w:rsidP="00DC06C4">
            <w:pPr>
              <w:pStyle w:val="TableCopy"/>
              <w:rPr>
                <w:rFonts w:eastAsia="Times New Roman"/>
                <w:sz w:val="20"/>
                <w:szCs w:val="20"/>
              </w:rPr>
            </w:pPr>
            <w:r w:rsidRPr="00DC06C4">
              <w:rPr>
                <w:sz w:val="20"/>
                <w:szCs w:val="20"/>
              </w:rPr>
              <w:t>5822</w:t>
            </w:r>
          </w:p>
        </w:tc>
        <w:tc>
          <w:tcPr>
            <w:tcW w:w="1053" w:type="dxa"/>
            <w:noWrap/>
            <w:hideMark/>
          </w:tcPr>
          <w:p w14:paraId="6472E19B" w14:textId="77777777" w:rsidR="00481FB1" w:rsidRPr="00DC06C4" w:rsidRDefault="00481FB1" w:rsidP="00DC06C4">
            <w:pPr>
              <w:pStyle w:val="TableCopy"/>
              <w:rPr>
                <w:rFonts w:eastAsia="Times New Roman"/>
                <w:sz w:val="20"/>
                <w:szCs w:val="20"/>
              </w:rPr>
            </w:pPr>
            <w:r w:rsidRPr="00DC06C4">
              <w:rPr>
                <w:sz w:val="20"/>
                <w:szCs w:val="20"/>
              </w:rPr>
              <w:t>3747</w:t>
            </w:r>
          </w:p>
        </w:tc>
        <w:tc>
          <w:tcPr>
            <w:tcW w:w="1528" w:type="dxa"/>
            <w:noWrap/>
            <w:hideMark/>
          </w:tcPr>
          <w:p w14:paraId="2645F1E5" w14:textId="77777777" w:rsidR="00481FB1" w:rsidRPr="00DC06C4" w:rsidRDefault="00481FB1" w:rsidP="00DC06C4">
            <w:pPr>
              <w:pStyle w:val="TableCopy"/>
              <w:rPr>
                <w:rFonts w:eastAsia="Times New Roman"/>
                <w:sz w:val="20"/>
                <w:szCs w:val="20"/>
              </w:rPr>
            </w:pPr>
            <w:r w:rsidRPr="00DC06C4">
              <w:rPr>
                <w:sz w:val="20"/>
                <w:szCs w:val="20"/>
              </w:rPr>
              <w:t>3388</w:t>
            </w:r>
          </w:p>
        </w:tc>
      </w:tr>
      <w:tr w:rsidR="00481FB1" w:rsidRPr="00DC06C4" w14:paraId="2CA85495" w14:textId="77777777" w:rsidTr="00C865B6">
        <w:tc>
          <w:tcPr>
            <w:tcW w:w="1160" w:type="dxa"/>
            <w:noWrap/>
            <w:hideMark/>
          </w:tcPr>
          <w:p w14:paraId="759B93ED" w14:textId="77777777" w:rsidR="00481FB1" w:rsidRPr="00DC06C4" w:rsidRDefault="00481FB1" w:rsidP="00DC06C4">
            <w:pPr>
              <w:pStyle w:val="TableCopy"/>
              <w:rPr>
                <w:rFonts w:eastAsia="Times New Roman"/>
                <w:sz w:val="20"/>
                <w:szCs w:val="20"/>
              </w:rPr>
            </w:pPr>
            <w:r w:rsidRPr="00DC06C4">
              <w:rPr>
                <w:rFonts w:eastAsia="Times New Roman"/>
                <w:sz w:val="20"/>
                <w:szCs w:val="20"/>
              </w:rPr>
              <w:t>2011</w:t>
            </w:r>
          </w:p>
        </w:tc>
        <w:tc>
          <w:tcPr>
            <w:tcW w:w="1171" w:type="dxa"/>
            <w:noWrap/>
            <w:hideMark/>
          </w:tcPr>
          <w:p w14:paraId="6C86E9F3" w14:textId="77777777" w:rsidR="00481FB1" w:rsidRPr="00DC06C4" w:rsidRDefault="00481FB1" w:rsidP="00DC06C4">
            <w:pPr>
              <w:pStyle w:val="TableCopy"/>
              <w:rPr>
                <w:rFonts w:eastAsia="Times New Roman"/>
                <w:sz w:val="20"/>
                <w:szCs w:val="20"/>
              </w:rPr>
            </w:pPr>
            <w:r w:rsidRPr="00DC06C4">
              <w:rPr>
                <w:sz w:val="20"/>
                <w:szCs w:val="20"/>
              </w:rPr>
              <w:t>13524</w:t>
            </w:r>
          </w:p>
        </w:tc>
        <w:tc>
          <w:tcPr>
            <w:tcW w:w="1164" w:type="dxa"/>
            <w:noWrap/>
            <w:hideMark/>
          </w:tcPr>
          <w:p w14:paraId="0EC9FD0D" w14:textId="77777777" w:rsidR="00481FB1" w:rsidRPr="00DC06C4" w:rsidRDefault="00481FB1" w:rsidP="00DC06C4">
            <w:pPr>
              <w:pStyle w:val="TableCopy"/>
              <w:rPr>
                <w:rFonts w:eastAsia="Times New Roman"/>
                <w:sz w:val="20"/>
                <w:szCs w:val="20"/>
              </w:rPr>
            </w:pPr>
            <w:r w:rsidRPr="00DC06C4">
              <w:rPr>
                <w:sz w:val="20"/>
                <w:szCs w:val="20"/>
              </w:rPr>
              <w:t>12748</w:t>
            </w:r>
          </w:p>
        </w:tc>
        <w:tc>
          <w:tcPr>
            <w:tcW w:w="1366" w:type="dxa"/>
            <w:noWrap/>
            <w:hideMark/>
          </w:tcPr>
          <w:p w14:paraId="75FD933E" w14:textId="77777777" w:rsidR="00481FB1" w:rsidRPr="00DC06C4" w:rsidRDefault="00481FB1" w:rsidP="00DC06C4">
            <w:pPr>
              <w:pStyle w:val="TableCopy"/>
              <w:rPr>
                <w:rFonts w:eastAsia="Times New Roman"/>
                <w:sz w:val="20"/>
                <w:szCs w:val="20"/>
              </w:rPr>
            </w:pPr>
            <w:r w:rsidRPr="00DC06C4">
              <w:rPr>
                <w:sz w:val="20"/>
                <w:szCs w:val="20"/>
              </w:rPr>
              <w:t>12850</w:t>
            </w:r>
          </w:p>
        </w:tc>
        <w:tc>
          <w:tcPr>
            <w:tcW w:w="1264" w:type="dxa"/>
            <w:noWrap/>
            <w:hideMark/>
          </w:tcPr>
          <w:p w14:paraId="1C06A238" w14:textId="77777777" w:rsidR="00481FB1" w:rsidRPr="00DC06C4" w:rsidRDefault="00481FB1" w:rsidP="00DC06C4">
            <w:pPr>
              <w:pStyle w:val="TableCopy"/>
              <w:rPr>
                <w:rFonts w:eastAsia="Times New Roman"/>
                <w:sz w:val="20"/>
                <w:szCs w:val="20"/>
              </w:rPr>
            </w:pPr>
            <w:r w:rsidRPr="00DC06C4">
              <w:rPr>
                <w:sz w:val="20"/>
                <w:szCs w:val="20"/>
              </w:rPr>
              <w:t>11811</w:t>
            </w:r>
          </w:p>
        </w:tc>
        <w:tc>
          <w:tcPr>
            <w:tcW w:w="1109" w:type="dxa"/>
            <w:noWrap/>
            <w:hideMark/>
          </w:tcPr>
          <w:p w14:paraId="4589F903" w14:textId="77777777" w:rsidR="00481FB1" w:rsidRPr="00DC06C4" w:rsidRDefault="00481FB1" w:rsidP="00DC06C4">
            <w:pPr>
              <w:pStyle w:val="TableCopy"/>
              <w:rPr>
                <w:rFonts w:eastAsia="Times New Roman"/>
                <w:sz w:val="20"/>
                <w:szCs w:val="20"/>
              </w:rPr>
            </w:pPr>
            <w:r w:rsidRPr="00DC06C4">
              <w:rPr>
                <w:sz w:val="20"/>
                <w:szCs w:val="20"/>
              </w:rPr>
              <w:t>9098</w:t>
            </w:r>
          </w:p>
        </w:tc>
        <w:tc>
          <w:tcPr>
            <w:tcW w:w="1542" w:type="dxa"/>
            <w:noWrap/>
            <w:hideMark/>
          </w:tcPr>
          <w:p w14:paraId="5922CA8B" w14:textId="77777777" w:rsidR="00481FB1" w:rsidRPr="00DC06C4" w:rsidRDefault="00481FB1" w:rsidP="00DC06C4">
            <w:pPr>
              <w:pStyle w:val="TableCopy"/>
              <w:rPr>
                <w:rFonts w:eastAsia="Times New Roman"/>
                <w:sz w:val="20"/>
                <w:szCs w:val="20"/>
              </w:rPr>
            </w:pPr>
            <w:r w:rsidRPr="00DC06C4">
              <w:rPr>
                <w:sz w:val="20"/>
                <w:szCs w:val="20"/>
              </w:rPr>
              <w:t>8799</w:t>
            </w:r>
          </w:p>
        </w:tc>
        <w:tc>
          <w:tcPr>
            <w:tcW w:w="1690" w:type="dxa"/>
            <w:noWrap/>
            <w:hideMark/>
          </w:tcPr>
          <w:p w14:paraId="26C12A43" w14:textId="77777777" w:rsidR="00481FB1" w:rsidRPr="00DC06C4" w:rsidRDefault="00481FB1" w:rsidP="00DC06C4">
            <w:pPr>
              <w:pStyle w:val="TableCopy"/>
              <w:rPr>
                <w:rFonts w:eastAsia="Times New Roman"/>
                <w:sz w:val="20"/>
                <w:szCs w:val="20"/>
              </w:rPr>
            </w:pPr>
            <w:r w:rsidRPr="00DC06C4">
              <w:rPr>
                <w:sz w:val="20"/>
                <w:szCs w:val="20"/>
              </w:rPr>
              <w:t>7967</w:t>
            </w:r>
          </w:p>
        </w:tc>
        <w:tc>
          <w:tcPr>
            <w:tcW w:w="1549" w:type="dxa"/>
            <w:noWrap/>
            <w:hideMark/>
          </w:tcPr>
          <w:p w14:paraId="5B7F182A" w14:textId="77777777" w:rsidR="00481FB1" w:rsidRPr="00DC06C4" w:rsidRDefault="00481FB1" w:rsidP="00DC06C4">
            <w:pPr>
              <w:pStyle w:val="TableCopy"/>
              <w:rPr>
                <w:rFonts w:eastAsia="Times New Roman"/>
                <w:sz w:val="20"/>
                <w:szCs w:val="20"/>
              </w:rPr>
            </w:pPr>
            <w:r w:rsidRPr="00DC06C4">
              <w:rPr>
                <w:sz w:val="20"/>
                <w:szCs w:val="20"/>
              </w:rPr>
              <w:t>6305</w:t>
            </w:r>
          </w:p>
        </w:tc>
        <w:tc>
          <w:tcPr>
            <w:tcW w:w="1053" w:type="dxa"/>
            <w:noWrap/>
            <w:hideMark/>
          </w:tcPr>
          <w:p w14:paraId="35CEFC91" w14:textId="77777777" w:rsidR="00481FB1" w:rsidRPr="00DC06C4" w:rsidRDefault="00481FB1" w:rsidP="00DC06C4">
            <w:pPr>
              <w:pStyle w:val="TableCopy"/>
              <w:rPr>
                <w:rFonts w:eastAsia="Times New Roman"/>
                <w:sz w:val="20"/>
                <w:szCs w:val="20"/>
              </w:rPr>
            </w:pPr>
            <w:r w:rsidRPr="00DC06C4">
              <w:rPr>
                <w:sz w:val="20"/>
                <w:szCs w:val="20"/>
              </w:rPr>
              <w:t>4100</w:t>
            </w:r>
          </w:p>
        </w:tc>
        <w:tc>
          <w:tcPr>
            <w:tcW w:w="1528" w:type="dxa"/>
            <w:noWrap/>
            <w:hideMark/>
          </w:tcPr>
          <w:p w14:paraId="60BC236F" w14:textId="77777777" w:rsidR="00481FB1" w:rsidRPr="00DC06C4" w:rsidRDefault="00481FB1" w:rsidP="00DC06C4">
            <w:pPr>
              <w:pStyle w:val="TableCopy"/>
              <w:rPr>
                <w:rFonts w:eastAsia="Times New Roman"/>
                <w:sz w:val="20"/>
                <w:szCs w:val="20"/>
              </w:rPr>
            </w:pPr>
            <w:r w:rsidRPr="00DC06C4">
              <w:rPr>
                <w:sz w:val="20"/>
                <w:szCs w:val="20"/>
              </w:rPr>
              <w:t>3686</w:t>
            </w:r>
          </w:p>
        </w:tc>
      </w:tr>
      <w:tr w:rsidR="00481FB1" w:rsidRPr="00DC06C4" w14:paraId="505024C6" w14:textId="77777777" w:rsidTr="00C865B6">
        <w:tc>
          <w:tcPr>
            <w:tcW w:w="1160" w:type="dxa"/>
            <w:noWrap/>
            <w:hideMark/>
          </w:tcPr>
          <w:p w14:paraId="50C1AA40" w14:textId="77777777" w:rsidR="00481FB1" w:rsidRPr="00DC06C4" w:rsidRDefault="00481FB1" w:rsidP="00DC06C4">
            <w:pPr>
              <w:pStyle w:val="TableCopy"/>
              <w:rPr>
                <w:rFonts w:eastAsia="Times New Roman"/>
                <w:sz w:val="20"/>
                <w:szCs w:val="20"/>
              </w:rPr>
            </w:pPr>
            <w:r w:rsidRPr="00DC06C4">
              <w:rPr>
                <w:rFonts w:eastAsia="Times New Roman"/>
                <w:sz w:val="20"/>
                <w:szCs w:val="20"/>
              </w:rPr>
              <w:t>2012</w:t>
            </w:r>
          </w:p>
        </w:tc>
        <w:tc>
          <w:tcPr>
            <w:tcW w:w="1171" w:type="dxa"/>
            <w:noWrap/>
            <w:hideMark/>
          </w:tcPr>
          <w:p w14:paraId="30AD3616" w14:textId="77777777" w:rsidR="00481FB1" w:rsidRPr="00DC06C4" w:rsidRDefault="00481FB1" w:rsidP="00DC06C4">
            <w:pPr>
              <w:pStyle w:val="TableCopy"/>
              <w:rPr>
                <w:rFonts w:eastAsia="Times New Roman"/>
                <w:sz w:val="20"/>
                <w:szCs w:val="20"/>
              </w:rPr>
            </w:pPr>
            <w:r w:rsidRPr="00DC06C4">
              <w:rPr>
                <w:sz w:val="20"/>
                <w:szCs w:val="20"/>
              </w:rPr>
              <w:t>14062</w:t>
            </w:r>
          </w:p>
        </w:tc>
        <w:tc>
          <w:tcPr>
            <w:tcW w:w="1164" w:type="dxa"/>
            <w:noWrap/>
            <w:hideMark/>
          </w:tcPr>
          <w:p w14:paraId="0000C5DC" w14:textId="77777777" w:rsidR="00481FB1" w:rsidRPr="00DC06C4" w:rsidRDefault="00481FB1" w:rsidP="00DC06C4">
            <w:pPr>
              <w:pStyle w:val="TableCopy"/>
              <w:rPr>
                <w:rFonts w:eastAsia="Times New Roman"/>
                <w:sz w:val="20"/>
                <w:szCs w:val="20"/>
              </w:rPr>
            </w:pPr>
            <w:r w:rsidRPr="00DC06C4">
              <w:rPr>
                <w:sz w:val="20"/>
                <w:szCs w:val="20"/>
              </w:rPr>
              <w:t>12657</w:t>
            </w:r>
          </w:p>
        </w:tc>
        <w:tc>
          <w:tcPr>
            <w:tcW w:w="1366" w:type="dxa"/>
            <w:noWrap/>
            <w:hideMark/>
          </w:tcPr>
          <w:p w14:paraId="38B3308F" w14:textId="77777777" w:rsidR="00481FB1" w:rsidRPr="00DC06C4" w:rsidRDefault="00481FB1" w:rsidP="00DC06C4">
            <w:pPr>
              <w:pStyle w:val="TableCopy"/>
              <w:rPr>
                <w:rFonts w:eastAsia="Times New Roman"/>
                <w:sz w:val="20"/>
                <w:szCs w:val="20"/>
              </w:rPr>
            </w:pPr>
            <w:r w:rsidRPr="00DC06C4">
              <w:rPr>
                <w:sz w:val="20"/>
                <w:szCs w:val="20"/>
              </w:rPr>
              <w:t>12025</w:t>
            </w:r>
          </w:p>
        </w:tc>
        <w:tc>
          <w:tcPr>
            <w:tcW w:w="1264" w:type="dxa"/>
            <w:noWrap/>
            <w:hideMark/>
          </w:tcPr>
          <w:p w14:paraId="4D5ABB29" w14:textId="77777777" w:rsidR="00481FB1" w:rsidRPr="00DC06C4" w:rsidRDefault="00481FB1" w:rsidP="00DC06C4">
            <w:pPr>
              <w:pStyle w:val="TableCopy"/>
              <w:rPr>
                <w:rFonts w:eastAsia="Times New Roman"/>
                <w:sz w:val="20"/>
                <w:szCs w:val="20"/>
              </w:rPr>
            </w:pPr>
            <w:r w:rsidRPr="00DC06C4">
              <w:rPr>
                <w:sz w:val="20"/>
                <w:szCs w:val="20"/>
              </w:rPr>
              <w:t>10667</w:t>
            </w:r>
          </w:p>
        </w:tc>
        <w:tc>
          <w:tcPr>
            <w:tcW w:w="1109" w:type="dxa"/>
            <w:noWrap/>
            <w:hideMark/>
          </w:tcPr>
          <w:p w14:paraId="2CCAFA06" w14:textId="77777777" w:rsidR="00481FB1" w:rsidRPr="00DC06C4" w:rsidRDefault="00481FB1" w:rsidP="00DC06C4">
            <w:pPr>
              <w:pStyle w:val="TableCopy"/>
              <w:rPr>
                <w:rFonts w:eastAsia="Times New Roman"/>
                <w:sz w:val="20"/>
                <w:szCs w:val="20"/>
              </w:rPr>
            </w:pPr>
            <w:r w:rsidRPr="00DC06C4">
              <w:rPr>
                <w:sz w:val="20"/>
                <w:szCs w:val="20"/>
              </w:rPr>
              <w:t>9280</w:t>
            </w:r>
          </w:p>
        </w:tc>
        <w:tc>
          <w:tcPr>
            <w:tcW w:w="1542" w:type="dxa"/>
            <w:noWrap/>
            <w:hideMark/>
          </w:tcPr>
          <w:p w14:paraId="01E681C3" w14:textId="77777777" w:rsidR="00481FB1" w:rsidRPr="00DC06C4" w:rsidRDefault="00481FB1" w:rsidP="00DC06C4">
            <w:pPr>
              <w:pStyle w:val="TableCopy"/>
              <w:rPr>
                <w:rFonts w:eastAsia="Times New Roman"/>
                <w:sz w:val="20"/>
                <w:szCs w:val="20"/>
              </w:rPr>
            </w:pPr>
            <w:r w:rsidRPr="00DC06C4">
              <w:rPr>
                <w:sz w:val="20"/>
                <w:szCs w:val="20"/>
              </w:rPr>
              <w:t>8347</w:t>
            </w:r>
          </w:p>
        </w:tc>
        <w:tc>
          <w:tcPr>
            <w:tcW w:w="1690" w:type="dxa"/>
            <w:noWrap/>
            <w:hideMark/>
          </w:tcPr>
          <w:p w14:paraId="030CD78E" w14:textId="77777777" w:rsidR="00481FB1" w:rsidRPr="00DC06C4" w:rsidRDefault="00481FB1" w:rsidP="00DC06C4">
            <w:pPr>
              <w:pStyle w:val="TableCopy"/>
              <w:rPr>
                <w:rFonts w:eastAsia="Times New Roman"/>
                <w:sz w:val="20"/>
                <w:szCs w:val="20"/>
              </w:rPr>
            </w:pPr>
            <w:r w:rsidRPr="00DC06C4">
              <w:rPr>
                <w:sz w:val="20"/>
                <w:szCs w:val="20"/>
              </w:rPr>
              <w:t>8055</w:t>
            </w:r>
          </w:p>
        </w:tc>
        <w:tc>
          <w:tcPr>
            <w:tcW w:w="1549" w:type="dxa"/>
            <w:noWrap/>
            <w:hideMark/>
          </w:tcPr>
          <w:p w14:paraId="1EB62188" w14:textId="77777777" w:rsidR="00481FB1" w:rsidRPr="00DC06C4" w:rsidRDefault="00481FB1" w:rsidP="00DC06C4">
            <w:pPr>
              <w:pStyle w:val="TableCopy"/>
              <w:rPr>
                <w:rFonts w:eastAsia="Times New Roman"/>
                <w:sz w:val="20"/>
                <w:szCs w:val="20"/>
              </w:rPr>
            </w:pPr>
            <w:r w:rsidRPr="00DC06C4">
              <w:rPr>
                <w:sz w:val="20"/>
                <w:szCs w:val="20"/>
              </w:rPr>
              <w:t>6429</w:t>
            </w:r>
          </w:p>
        </w:tc>
        <w:tc>
          <w:tcPr>
            <w:tcW w:w="1053" w:type="dxa"/>
            <w:noWrap/>
            <w:hideMark/>
          </w:tcPr>
          <w:p w14:paraId="4C3118B2" w14:textId="77777777" w:rsidR="00481FB1" w:rsidRPr="00DC06C4" w:rsidRDefault="00481FB1" w:rsidP="00DC06C4">
            <w:pPr>
              <w:pStyle w:val="TableCopy"/>
              <w:rPr>
                <w:rFonts w:eastAsia="Times New Roman"/>
                <w:sz w:val="20"/>
                <w:szCs w:val="20"/>
              </w:rPr>
            </w:pPr>
            <w:r w:rsidRPr="00DC06C4">
              <w:rPr>
                <w:sz w:val="20"/>
                <w:szCs w:val="20"/>
              </w:rPr>
              <w:t>4126</w:t>
            </w:r>
          </w:p>
        </w:tc>
        <w:tc>
          <w:tcPr>
            <w:tcW w:w="1528" w:type="dxa"/>
            <w:noWrap/>
            <w:hideMark/>
          </w:tcPr>
          <w:p w14:paraId="128D4300" w14:textId="77777777" w:rsidR="00481FB1" w:rsidRPr="00DC06C4" w:rsidRDefault="00481FB1" w:rsidP="00DC06C4">
            <w:pPr>
              <w:pStyle w:val="TableCopy"/>
              <w:rPr>
                <w:rFonts w:eastAsia="Times New Roman"/>
                <w:sz w:val="20"/>
                <w:szCs w:val="20"/>
              </w:rPr>
            </w:pPr>
            <w:r w:rsidRPr="00DC06C4">
              <w:rPr>
                <w:sz w:val="20"/>
                <w:szCs w:val="20"/>
              </w:rPr>
              <w:t>3977</w:t>
            </w:r>
          </w:p>
        </w:tc>
      </w:tr>
      <w:tr w:rsidR="00481FB1" w:rsidRPr="00DC06C4" w14:paraId="3303EA2E" w14:textId="77777777" w:rsidTr="00C865B6">
        <w:tc>
          <w:tcPr>
            <w:tcW w:w="1160" w:type="dxa"/>
            <w:noWrap/>
            <w:hideMark/>
          </w:tcPr>
          <w:p w14:paraId="2D9FAE9A" w14:textId="77777777" w:rsidR="00481FB1" w:rsidRPr="00DC06C4" w:rsidRDefault="00481FB1" w:rsidP="00DC06C4">
            <w:pPr>
              <w:pStyle w:val="TableCopy"/>
              <w:rPr>
                <w:rFonts w:eastAsia="Times New Roman"/>
                <w:sz w:val="20"/>
                <w:szCs w:val="20"/>
              </w:rPr>
            </w:pPr>
            <w:r w:rsidRPr="00DC06C4">
              <w:rPr>
                <w:rFonts w:eastAsia="Times New Roman"/>
                <w:sz w:val="20"/>
                <w:szCs w:val="20"/>
              </w:rPr>
              <w:t>2013</w:t>
            </w:r>
          </w:p>
        </w:tc>
        <w:tc>
          <w:tcPr>
            <w:tcW w:w="1171" w:type="dxa"/>
            <w:noWrap/>
            <w:hideMark/>
          </w:tcPr>
          <w:p w14:paraId="61FA0849" w14:textId="77777777" w:rsidR="00481FB1" w:rsidRPr="00DC06C4" w:rsidRDefault="00481FB1" w:rsidP="00DC06C4">
            <w:pPr>
              <w:pStyle w:val="TableCopy"/>
              <w:rPr>
                <w:rFonts w:eastAsia="Times New Roman"/>
                <w:sz w:val="20"/>
                <w:szCs w:val="20"/>
              </w:rPr>
            </w:pPr>
            <w:r w:rsidRPr="00DC06C4">
              <w:rPr>
                <w:sz w:val="20"/>
                <w:szCs w:val="20"/>
              </w:rPr>
              <w:t>14258</w:t>
            </w:r>
          </w:p>
        </w:tc>
        <w:tc>
          <w:tcPr>
            <w:tcW w:w="1164" w:type="dxa"/>
            <w:noWrap/>
            <w:hideMark/>
          </w:tcPr>
          <w:p w14:paraId="501CB727" w14:textId="77777777" w:rsidR="00481FB1" w:rsidRPr="00DC06C4" w:rsidRDefault="00481FB1" w:rsidP="00DC06C4">
            <w:pPr>
              <w:pStyle w:val="TableCopy"/>
              <w:rPr>
                <w:rFonts w:eastAsia="Times New Roman"/>
                <w:sz w:val="20"/>
                <w:szCs w:val="20"/>
              </w:rPr>
            </w:pPr>
            <w:r w:rsidRPr="00DC06C4">
              <w:rPr>
                <w:sz w:val="20"/>
                <w:szCs w:val="20"/>
              </w:rPr>
              <w:t>12290</w:t>
            </w:r>
          </w:p>
        </w:tc>
        <w:tc>
          <w:tcPr>
            <w:tcW w:w="1366" w:type="dxa"/>
            <w:noWrap/>
            <w:hideMark/>
          </w:tcPr>
          <w:p w14:paraId="78AB3CD0" w14:textId="77777777" w:rsidR="00481FB1" w:rsidRPr="00DC06C4" w:rsidRDefault="00481FB1" w:rsidP="00DC06C4">
            <w:pPr>
              <w:pStyle w:val="TableCopy"/>
              <w:rPr>
                <w:rFonts w:eastAsia="Times New Roman"/>
                <w:sz w:val="20"/>
                <w:szCs w:val="20"/>
              </w:rPr>
            </w:pPr>
            <w:r w:rsidRPr="00DC06C4">
              <w:rPr>
                <w:sz w:val="20"/>
                <w:szCs w:val="20"/>
              </w:rPr>
              <w:t>10704</w:t>
            </w:r>
          </w:p>
        </w:tc>
        <w:tc>
          <w:tcPr>
            <w:tcW w:w="1264" w:type="dxa"/>
            <w:noWrap/>
            <w:hideMark/>
          </w:tcPr>
          <w:p w14:paraId="5C48FC1C" w14:textId="77777777" w:rsidR="00481FB1" w:rsidRPr="00DC06C4" w:rsidRDefault="00481FB1" w:rsidP="00DC06C4">
            <w:pPr>
              <w:pStyle w:val="TableCopy"/>
              <w:rPr>
                <w:rFonts w:eastAsia="Times New Roman"/>
                <w:sz w:val="20"/>
                <w:szCs w:val="20"/>
              </w:rPr>
            </w:pPr>
            <w:r w:rsidRPr="00DC06C4">
              <w:rPr>
                <w:sz w:val="20"/>
                <w:szCs w:val="20"/>
              </w:rPr>
              <w:t>10226</w:t>
            </w:r>
          </w:p>
        </w:tc>
        <w:tc>
          <w:tcPr>
            <w:tcW w:w="1109" w:type="dxa"/>
            <w:noWrap/>
            <w:hideMark/>
          </w:tcPr>
          <w:p w14:paraId="76FCA472" w14:textId="77777777" w:rsidR="00481FB1" w:rsidRPr="00DC06C4" w:rsidRDefault="00481FB1" w:rsidP="00DC06C4">
            <w:pPr>
              <w:pStyle w:val="TableCopy"/>
              <w:rPr>
                <w:rFonts w:eastAsia="Times New Roman"/>
                <w:sz w:val="20"/>
                <w:szCs w:val="20"/>
              </w:rPr>
            </w:pPr>
            <w:r w:rsidRPr="00DC06C4">
              <w:rPr>
                <w:sz w:val="20"/>
                <w:szCs w:val="20"/>
              </w:rPr>
              <w:t>9183</w:t>
            </w:r>
          </w:p>
        </w:tc>
        <w:tc>
          <w:tcPr>
            <w:tcW w:w="1542" w:type="dxa"/>
            <w:noWrap/>
            <w:hideMark/>
          </w:tcPr>
          <w:p w14:paraId="553DA74B" w14:textId="77777777" w:rsidR="00481FB1" w:rsidRPr="00DC06C4" w:rsidRDefault="00481FB1" w:rsidP="00DC06C4">
            <w:pPr>
              <w:pStyle w:val="TableCopy"/>
              <w:rPr>
                <w:rFonts w:eastAsia="Times New Roman"/>
                <w:sz w:val="20"/>
                <w:szCs w:val="20"/>
              </w:rPr>
            </w:pPr>
            <w:r w:rsidRPr="00DC06C4">
              <w:rPr>
                <w:sz w:val="20"/>
                <w:szCs w:val="20"/>
              </w:rPr>
              <w:t>7899</w:t>
            </w:r>
          </w:p>
        </w:tc>
        <w:tc>
          <w:tcPr>
            <w:tcW w:w="1690" w:type="dxa"/>
            <w:noWrap/>
            <w:hideMark/>
          </w:tcPr>
          <w:p w14:paraId="3947C815" w14:textId="77777777" w:rsidR="00481FB1" w:rsidRPr="00DC06C4" w:rsidRDefault="00481FB1" w:rsidP="00DC06C4">
            <w:pPr>
              <w:pStyle w:val="TableCopy"/>
              <w:rPr>
                <w:rFonts w:eastAsia="Times New Roman"/>
                <w:sz w:val="20"/>
                <w:szCs w:val="20"/>
              </w:rPr>
            </w:pPr>
            <w:r w:rsidRPr="00DC06C4">
              <w:rPr>
                <w:sz w:val="20"/>
                <w:szCs w:val="20"/>
              </w:rPr>
              <w:t>8001</w:t>
            </w:r>
          </w:p>
        </w:tc>
        <w:tc>
          <w:tcPr>
            <w:tcW w:w="1549" w:type="dxa"/>
            <w:noWrap/>
            <w:hideMark/>
          </w:tcPr>
          <w:p w14:paraId="11D38D52" w14:textId="77777777" w:rsidR="00481FB1" w:rsidRPr="00DC06C4" w:rsidRDefault="00481FB1" w:rsidP="00DC06C4">
            <w:pPr>
              <w:pStyle w:val="TableCopy"/>
              <w:rPr>
                <w:rFonts w:eastAsia="Times New Roman"/>
                <w:sz w:val="20"/>
                <w:szCs w:val="20"/>
              </w:rPr>
            </w:pPr>
            <w:r w:rsidRPr="00DC06C4">
              <w:rPr>
                <w:sz w:val="20"/>
                <w:szCs w:val="20"/>
              </w:rPr>
              <w:t>6378</w:t>
            </w:r>
          </w:p>
        </w:tc>
        <w:tc>
          <w:tcPr>
            <w:tcW w:w="1053" w:type="dxa"/>
            <w:noWrap/>
            <w:hideMark/>
          </w:tcPr>
          <w:p w14:paraId="7BE14566" w14:textId="77777777" w:rsidR="00481FB1" w:rsidRPr="00DC06C4" w:rsidRDefault="00481FB1" w:rsidP="00DC06C4">
            <w:pPr>
              <w:pStyle w:val="TableCopy"/>
              <w:rPr>
                <w:rFonts w:eastAsia="Times New Roman"/>
                <w:sz w:val="20"/>
                <w:szCs w:val="20"/>
              </w:rPr>
            </w:pPr>
            <w:r w:rsidRPr="00DC06C4">
              <w:rPr>
                <w:sz w:val="20"/>
                <w:szCs w:val="20"/>
              </w:rPr>
              <w:t>4118</w:t>
            </w:r>
          </w:p>
        </w:tc>
        <w:tc>
          <w:tcPr>
            <w:tcW w:w="1528" w:type="dxa"/>
            <w:noWrap/>
            <w:hideMark/>
          </w:tcPr>
          <w:p w14:paraId="0C304641" w14:textId="77777777" w:rsidR="00481FB1" w:rsidRPr="00DC06C4" w:rsidRDefault="00481FB1" w:rsidP="00DC06C4">
            <w:pPr>
              <w:pStyle w:val="TableCopy"/>
              <w:rPr>
                <w:rFonts w:eastAsia="Times New Roman"/>
                <w:sz w:val="20"/>
                <w:szCs w:val="20"/>
              </w:rPr>
            </w:pPr>
            <w:r w:rsidRPr="00DC06C4">
              <w:rPr>
                <w:sz w:val="20"/>
                <w:szCs w:val="20"/>
              </w:rPr>
              <w:t>4273</w:t>
            </w:r>
          </w:p>
        </w:tc>
      </w:tr>
      <w:tr w:rsidR="00481FB1" w:rsidRPr="00DC06C4" w14:paraId="1524601D" w14:textId="77777777" w:rsidTr="00C865B6">
        <w:tc>
          <w:tcPr>
            <w:tcW w:w="1160" w:type="dxa"/>
            <w:noWrap/>
            <w:hideMark/>
          </w:tcPr>
          <w:p w14:paraId="383BB3E3" w14:textId="77777777" w:rsidR="00481FB1" w:rsidRPr="00DC06C4" w:rsidRDefault="00481FB1" w:rsidP="00DC06C4">
            <w:pPr>
              <w:pStyle w:val="TableCopy"/>
              <w:rPr>
                <w:rFonts w:eastAsia="Times New Roman"/>
                <w:sz w:val="20"/>
                <w:szCs w:val="20"/>
              </w:rPr>
            </w:pPr>
            <w:r w:rsidRPr="00DC06C4">
              <w:rPr>
                <w:rFonts w:eastAsia="Times New Roman"/>
                <w:sz w:val="20"/>
                <w:szCs w:val="20"/>
              </w:rPr>
              <w:t>2014</w:t>
            </w:r>
          </w:p>
        </w:tc>
        <w:tc>
          <w:tcPr>
            <w:tcW w:w="1171" w:type="dxa"/>
            <w:noWrap/>
            <w:hideMark/>
          </w:tcPr>
          <w:p w14:paraId="6570E8C0" w14:textId="77777777" w:rsidR="00481FB1" w:rsidRPr="00DC06C4" w:rsidRDefault="00481FB1" w:rsidP="00DC06C4">
            <w:pPr>
              <w:pStyle w:val="TableCopy"/>
              <w:rPr>
                <w:rFonts w:eastAsia="Times New Roman"/>
                <w:sz w:val="20"/>
                <w:szCs w:val="20"/>
              </w:rPr>
            </w:pPr>
            <w:r w:rsidRPr="00DC06C4">
              <w:rPr>
                <w:sz w:val="20"/>
                <w:szCs w:val="20"/>
              </w:rPr>
              <w:t>14183</w:t>
            </w:r>
          </w:p>
        </w:tc>
        <w:tc>
          <w:tcPr>
            <w:tcW w:w="1164" w:type="dxa"/>
            <w:noWrap/>
            <w:hideMark/>
          </w:tcPr>
          <w:p w14:paraId="379DED0F" w14:textId="77777777" w:rsidR="00481FB1" w:rsidRPr="00DC06C4" w:rsidRDefault="00481FB1" w:rsidP="00DC06C4">
            <w:pPr>
              <w:pStyle w:val="TableCopy"/>
              <w:rPr>
                <w:rFonts w:eastAsia="Times New Roman"/>
                <w:sz w:val="20"/>
                <w:szCs w:val="20"/>
              </w:rPr>
            </w:pPr>
            <w:r w:rsidRPr="00DC06C4">
              <w:rPr>
                <w:sz w:val="20"/>
                <w:szCs w:val="20"/>
              </w:rPr>
              <w:t>11846</w:t>
            </w:r>
          </w:p>
        </w:tc>
        <w:tc>
          <w:tcPr>
            <w:tcW w:w="1366" w:type="dxa"/>
            <w:noWrap/>
            <w:hideMark/>
          </w:tcPr>
          <w:p w14:paraId="409C3416" w14:textId="77777777" w:rsidR="00481FB1" w:rsidRPr="00DC06C4" w:rsidRDefault="00481FB1" w:rsidP="00DC06C4">
            <w:pPr>
              <w:pStyle w:val="TableCopy"/>
              <w:rPr>
                <w:rFonts w:eastAsia="Times New Roman"/>
                <w:sz w:val="20"/>
                <w:szCs w:val="20"/>
              </w:rPr>
            </w:pPr>
            <w:r w:rsidRPr="00DC06C4">
              <w:rPr>
                <w:sz w:val="20"/>
                <w:szCs w:val="20"/>
              </w:rPr>
              <w:t>10143</w:t>
            </w:r>
          </w:p>
        </w:tc>
        <w:tc>
          <w:tcPr>
            <w:tcW w:w="1264" w:type="dxa"/>
            <w:noWrap/>
            <w:hideMark/>
          </w:tcPr>
          <w:p w14:paraId="43870F73" w14:textId="77777777" w:rsidR="00481FB1" w:rsidRPr="00DC06C4" w:rsidRDefault="00481FB1" w:rsidP="00DC06C4">
            <w:pPr>
              <w:pStyle w:val="TableCopy"/>
              <w:rPr>
                <w:rFonts w:eastAsia="Times New Roman"/>
                <w:sz w:val="20"/>
                <w:szCs w:val="20"/>
              </w:rPr>
            </w:pPr>
            <w:r w:rsidRPr="00DC06C4">
              <w:rPr>
                <w:sz w:val="20"/>
                <w:szCs w:val="20"/>
              </w:rPr>
              <w:t>12460</w:t>
            </w:r>
          </w:p>
        </w:tc>
        <w:tc>
          <w:tcPr>
            <w:tcW w:w="1109" w:type="dxa"/>
            <w:noWrap/>
            <w:hideMark/>
          </w:tcPr>
          <w:p w14:paraId="2F68985A" w14:textId="77777777" w:rsidR="00481FB1" w:rsidRPr="00DC06C4" w:rsidRDefault="00481FB1" w:rsidP="00DC06C4">
            <w:pPr>
              <w:pStyle w:val="TableCopy"/>
              <w:rPr>
                <w:rFonts w:eastAsia="Times New Roman"/>
                <w:sz w:val="20"/>
                <w:szCs w:val="20"/>
              </w:rPr>
            </w:pPr>
            <w:r w:rsidRPr="00DC06C4">
              <w:rPr>
                <w:sz w:val="20"/>
                <w:szCs w:val="20"/>
              </w:rPr>
              <w:t>9000</w:t>
            </w:r>
          </w:p>
        </w:tc>
        <w:tc>
          <w:tcPr>
            <w:tcW w:w="1542" w:type="dxa"/>
            <w:noWrap/>
            <w:hideMark/>
          </w:tcPr>
          <w:p w14:paraId="5AA98BE9" w14:textId="77777777" w:rsidR="00481FB1" w:rsidRPr="00DC06C4" w:rsidRDefault="00481FB1" w:rsidP="00DC06C4">
            <w:pPr>
              <w:pStyle w:val="TableCopy"/>
              <w:rPr>
                <w:rFonts w:eastAsia="Times New Roman"/>
                <w:sz w:val="20"/>
                <w:szCs w:val="20"/>
              </w:rPr>
            </w:pPr>
            <w:r w:rsidRPr="00DC06C4">
              <w:rPr>
                <w:sz w:val="20"/>
                <w:szCs w:val="20"/>
              </w:rPr>
              <w:t>7738</w:t>
            </w:r>
          </w:p>
        </w:tc>
        <w:tc>
          <w:tcPr>
            <w:tcW w:w="1690" w:type="dxa"/>
            <w:noWrap/>
            <w:hideMark/>
          </w:tcPr>
          <w:p w14:paraId="356953F8" w14:textId="77777777" w:rsidR="00481FB1" w:rsidRPr="00DC06C4" w:rsidRDefault="00481FB1" w:rsidP="00DC06C4">
            <w:pPr>
              <w:pStyle w:val="TableCopy"/>
              <w:rPr>
                <w:rFonts w:eastAsia="Times New Roman"/>
                <w:sz w:val="20"/>
                <w:szCs w:val="20"/>
              </w:rPr>
            </w:pPr>
            <w:r w:rsidRPr="00DC06C4">
              <w:rPr>
                <w:sz w:val="20"/>
                <w:szCs w:val="20"/>
              </w:rPr>
              <w:t>7885</w:t>
            </w:r>
          </w:p>
        </w:tc>
        <w:tc>
          <w:tcPr>
            <w:tcW w:w="1549" w:type="dxa"/>
            <w:noWrap/>
            <w:hideMark/>
          </w:tcPr>
          <w:p w14:paraId="24C72145" w14:textId="77777777" w:rsidR="00481FB1" w:rsidRPr="00DC06C4" w:rsidRDefault="00481FB1" w:rsidP="00DC06C4">
            <w:pPr>
              <w:pStyle w:val="TableCopy"/>
              <w:rPr>
                <w:rFonts w:eastAsia="Times New Roman"/>
                <w:sz w:val="20"/>
                <w:szCs w:val="20"/>
              </w:rPr>
            </w:pPr>
            <w:r w:rsidRPr="00DC06C4">
              <w:rPr>
                <w:sz w:val="20"/>
                <w:szCs w:val="20"/>
              </w:rPr>
              <w:t>6308</w:t>
            </w:r>
          </w:p>
        </w:tc>
        <w:tc>
          <w:tcPr>
            <w:tcW w:w="1053" w:type="dxa"/>
            <w:noWrap/>
            <w:hideMark/>
          </w:tcPr>
          <w:p w14:paraId="0654152F" w14:textId="77777777" w:rsidR="00481FB1" w:rsidRPr="00DC06C4" w:rsidRDefault="00481FB1" w:rsidP="00DC06C4">
            <w:pPr>
              <w:pStyle w:val="TableCopy"/>
              <w:rPr>
                <w:rFonts w:eastAsia="Times New Roman"/>
                <w:sz w:val="20"/>
                <w:szCs w:val="20"/>
              </w:rPr>
            </w:pPr>
            <w:r w:rsidRPr="00DC06C4">
              <w:rPr>
                <w:sz w:val="20"/>
                <w:szCs w:val="20"/>
              </w:rPr>
              <w:t>4054</w:t>
            </w:r>
          </w:p>
        </w:tc>
        <w:tc>
          <w:tcPr>
            <w:tcW w:w="1528" w:type="dxa"/>
            <w:noWrap/>
            <w:hideMark/>
          </w:tcPr>
          <w:p w14:paraId="62BD59A1" w14:textId="77777777" w:rsidR="00481FB1" w:rsidRPr="00DC06C4" w:rsidRDefault="00481FB1" w:rsidP="00DC06C4">
            <w:pPr>
              <w:pStyle w:val="TableCopy"/>
              <w:rPr>
                <w:rFonts w:eastAsia="Times New Roman"/>
                <w:sz w:val="20"/>
                <w:szCs w:val="20"/>
              </w:rPr>
            </w:pPr>
            <w:r w:rsidRPr="00DC06C4">
              <w:rPr>
                <w:sz w:val="20"/>
                <w:szCs w:val="20"/>
              </w:rPr>
              <w:t>3827</w:t>
            </w:r>
          </w:p>
        </w:tc>
      </w:tr>
      <w:tr w:rsidR="00481FB1" w:rsidRPr="00DC06C4" w14:paraId="44D7BCD0" w14:textId="77777777" w:rsidTr="00C865B6">
        <w:tc>
          <w:tcPr>
            <w:tcW w:w="1160" w:type="dxa"/>
            <w:noWrap/>
            <w:hideMark/>
          </w:tcPr>
          <w:p w14:paraId="2F87FE38" w14:textId="77777777" w:rsidR="00481FB1" w:rsidRPr="00DC06C4" w:rsidRDefault="00481FB1" w:rsidP="00DC06C4">
            <w:pPr>
              <w:pStyle w:val="TableCopy"/>
              <w:rPr>
                <w:rFonts w:eastAsia="Times New Roman"/>
                <w:sz w:val="20"/>
                <w:szCs w:val="20"/>
              </w:rPr>
            </w:pPr>
            <w:r w:rsidRPr="00DC06C4">
              <w:rPr>
                <w:rFonts w:eastAsia="Times New Roman"/>
                <w:sz w:val="20"/>
                <w:szCs w:val="20"/>
              </w:rPr>
              <w:t>2015</w:t>
            </w:r>
          </w:p>
        </w:tc>
        <w:tc>
          <w:tcPr>
            <w:tcW w:w="1171" w:type="dxa"/>
            <w:noWrap/>
            <w:hideMark/>
          </w:tcPr>
          <w:p w14:paraId="0F308157" w14:textId="77777777" w:rsidR="00481FB1" w:rsidRPr="00DC06C4" w:rsidRDefault="00481FB1" w:rsidP="00DC06C4">
            <w:pPr>
              <w:pStyle w:val="TableCopy"/>
              <w:rPr>
                <w:rFonts w:eastAsia="Times New Roman"/>
                <w:sz w:val="20"/>
                <w:szCs w:val="20"/>
              </w:rPr>
            </w:pPr>
            <w:r w:rsidRPr="00DC06C4">
              <w:rPr>
                <w:sz w:val="20"/>
                <w:szCs w:val="20"/>
              </w:rPr>
              <w:t>14798</w:t>
            </w:r>
          </w:p>
        </w:tc>
        <w:tc>
          <w:tcPr>
            <w:tcW w:w="1164" w:type="dxa"/>
            <w:noWrap/>
            <w:hideMark/>
          </w:tcPr>
          <w:p w14:paraId="52DE95A9" w14:textId="77777777" w:rsidR="00481FB1" w:rsidRPr="00DC06C4" w:rsidRDefault="00481FB1" w:rsidP="00DC06C4">
            <w:pPr>
              <w:pStyle w:val="TableCopy"/>
              <w:rPr>
                <w:rFonts w:eastAsia="Times New Roman"/>
                <w:sz w:val="20"/>
                <w:szCs w:val="20"/>
              </w:rPr>
            </w:pPr>
            <w:r w:rsidRPr="00DC06C4">
              <w:rPr>
                <w:sz w:val="20"/>
                <w:szCs w:val="20"/>
              </w:rPr>
              <w:t>12068</w:t>
            </w:r>
          </w:p>
        </w:tc>
        <w:tc>
          <w:tcPr>
            <w:tcW w:w="1366" w:type="dxa"/>
            <w:noWrap/>
            <w:hideMark/>
          </w:tcPr>
          <w:p w14:paraId="402050EE" w14:textId="77777777" w:rsidR="00481FB1" w:rsidRPr="00DC06C4" w:rsidRDefault="00481FB1" w:rsidP="00DC06C4">
            <w:pPr>
              <w:pStyle w:val="TableCopy"/>
              <w:rPr>
                <w:rFonts w:eastAsia="Times New Roman"/>
                <w:sz w:val="20"/>
                <w:szCs w:val="20"/>
              </w:rPr>
            </w:pPr>
            <w:r w:rsidRPr="00DC06C4">
              <w:rPr>
                <w:sz w:val="20"/>
                <w:szCs w:val="20"/>
              </w:rPr>
              <w:t>9514</w:t>
            </w:r>
          </w:p>
        </w:tc>
        <w:tc>
          <w:tcPr>
            <w:tcW w:w="1264" w:type="dxa"/>
            <w:noWrap/>
            <w:hideMark/>
          </w:tcPr>
          <w:p w14:paraId="32CDA0D0" w14:textId="77777777" w:rsidR="00481FB1" w:rsidRPr="00DC06C4" w:rsidRDefault="00481FB1" w:rsidP="00DC06C4">
            <w:pPr>
              <w:pStyle w:val="TableCopy"/>
              <w:rPr>
                <w:rFonts w:eastAsia="Times New Roman"/>
                <w:sz w:val="20"/>
                <w:szCs w:val="20"/>
              </w:rPr>
            </w:pPr>
            <w:r w:rsidRPr="00DC06C4">
              <w:rPr>
                <w:sz w:val="20"/>
                <w:szCs w:val="20"/>
              </w:rPr>
              <w:t>14535</w:t>
            </w:r>
          </w:p>
        </w:tc>
        <w:tc>
          <w:tcPr>
            <w:tcW w:w="1109" w:type="dxa"/>
            <w:noWrap/>
            <w:hideMark/>
          </w:tcPr>
          <w:p w14:paraId="159F2A0D" w14:textId="77777777" w:rsidR="00481FB1" w:rsidRPr="00DC06C4" w:rsidRDefault="00481FB1" w:rsidP="00DC06C4">
            <w:pPr>
              <w:pStyle w:val="TableCopy"/>
              <w:rPr>
                <w:rFonts w:eastAsia="Times New Roman"/>
                <w:sz w:val="20"/>
                <w:szCs w:val="20"/>
              </w:rPr>
            </w:pPr>
            <w:r w:rsidRPr="00DC06C4">
              <w:rPr>
                <w:sz w:val="20"/>
                <w:szCs w:val="20"/>
              </w:rPr>
              <w:t>9308</w:t>
            </w:r>
          </w:p>
        </w:tc>
        <w:tc>
          <w:tcPr>
            <w:tcW w:w="1542" w:type="dxa"/>
            <w:noWrap/>
            <w:hideMark/>
          </w:tcPr>
          <w:p w14:paraId="161CEA13" w14:textId="77777777" w:rsidR="00481FB1" w:rsidRPr="00DC06C4" w:rsidRDefault="00481FB1" w:rsidP="00DC06C4">
            <w:pPr>
              <w:pStyle w:val="TableCopy"/>
              <w:rPr>
                <w:rFonts w:eastAsia="Times New Roman"/>
                <w:sz w:val="20"/>
                <w:szCs w:val="20"/>
              </w:rPr>
            </w:pPr>
            <w:r w:rsidRPr="00DC06C4">
              <w:rPr>
                <w:sz w:val="20"/>
                <w:szCs w:val="20"/>
              </w:rPr>
              <w:t>7748</w:t>
            </w:r>
          </w:p>
        </w:tc>
        <w:tc>
          <w:tcPr>
            <w:tcW w:w="1690" w:type="dxa"/>
            <w:noWrap/>
            <w:hideMark/>
          </w:tcPr>
          <w:p w14:paraId="6E4C9AF7" w14:textId="77777777" w:rsidR="00481FB1" w:rsidRPr="00DC06C4" w:rsidRDefault="00481FB1" w:rsidP="00DC06C4">
            <w:pPr>
              <w:pStyle w:val="TableCopy"/>
              <w:rPr>
                <w:rFonts w:eastAsia="Times New Roman"/>
                <w:sz w:val="20"/>
                <w:szCs w:val="20"/>
              </w:rPr>
            </w:pPr>
            <w:r w:rsidRPr="00DC06C4">
              <w:rPr>
                <w:sz w:val="20"/>
                <w:szCs w:val="20"/>
              </w:rPr>
              <w:t>8154</w:t>
            </w:r>
          </w:p>
        </w:tc>
        <w:tc>
          <w:tcPr>
            <w:tcW w:w="1549" w:type="dxa"/>
            <w:noWrap/>
            <w:hideMark/>
          </w:tcPr>
          <w:p w14:paraId="0BE1DB30" w14:textId="77777777" w:rsidR="00481FB1" w:rsidRPr="00DC06C4" w:rsidRDefault="00481FB1" w:rsidP="00DC06C4">
            <w:pPr>
              <w:pStyle w:val="TableCopy"/>
              <w:rPr>
                <w:rFonts w:eastAsia="Times New Roman"/>
                <w:sz w:val="20"/>
                <w:szCs w:val="20"/>
              </w:rPr>
            </w:pPr>
            <w:r w:rsidRPr="00DC06C4">
              <w:rPr>
                <w:sz w:val="20"/>
                <w:szCs w:val="20"/>
              </w:rPr>
              <w:t>6513</w:t>
            </w:r>
          </w:p>
        </w:tc>
        <w:tc>
          <w:tcPr>
            <w:tcW w:w="1053" w:type="dxa"/>
            <w:noWrap/>
            <w:hideMark/>
          </w:tcPr>
          <w:p w14:paraId="72A271D0" w14:textId="77777777" w:rsidR="00481FB1" w:rsidRPr="00DC06C4" w:rsidRDefault="00481FB1" w:rsidP="00DC06C4">
            <w:pPr>
              <w:pStyle w:val="TableCopy"/>
              <w:rPr>
                <w:rFonts w:eastAsia="Times New Roman"/>
                <w:sz w:val="20"/>
                <w:szCs w:val="20"/>
              </w:rPr>
            </w:pPr>
            <w:r w:rsidRPr="00DC06C4">
              <w:rPr>
                <w:sz w:val="20"/>
                <w:szCs w:val="20"/>
              </w:rPr>
              <w:t>4196</w:t>
            </w:r>
          </w:p>
        </w:tc>
        <w:tc>
          <w:tcPr>
            <w:tcW w:w="1528" w:type="dxa"/>
            <w:noWrap/>
            <w:hideMark/>
          </w:tcPr>
          <w:p w14:paraId="5CF52D4D" w14:textId="77777777" w:rsidR="00481FB1" w:rsidRPr="00DC06C4" w:rsidRDefault="00481FB1" w:rsidP="00DC06C4">
            <w:pPr>
              <w:pStyle w:val="TableCopy"/>
              <w:rPr>
                <w:rFonts w:eastAsia="Times New Roman"/>
                <w:sz w:val="20"/>
                <w:szCs w:val="20"/>
              </w:rPr>
            </w:pPr>
            <w:r w:rsidRPr="00DC06C4">
              <w:rPr>
                <w:sz w:val="20"/>
                <w:szCs w:val="20"/>
              </w:rPr>
              <w:t>3868</w:t>
            </w:r>
          </w:p>
        </w:tc>
      </w:tr>
      <w:tr w:rsidR="00481FB1" w:rsidRPr="00DC06C4" w14:paraId="1263CC87" w14:textId="77777777" w:rsidTr="00C865B6">
        <w:tc>
          <w:tcPr>
            <w:tcW w:w="1160" w:type="dxa"/>
            <w:noWrap/>
            <w:hideMark/>
          </w:tcPr>
          <w:p w14:paraId="2373493D" w14:textId="77777777" w:rsidR="00481FB1" w:rsidRPr="00DC06C4" w:rsidRDefault="00481FB1" w:rsidP="00DC06C4">
            <w:pPr>
              <w:pStyle w:val="TableCopy"/>
              <w:rPr>
                <w:rFonts w:eastAsia="Times New Roman"/>
                <w:sz w:val="20"/>
                <w:szCs w:val="20"/>
              </w:rPr>
            </w:pPr>
            <w:r w:rsidRPr="00DC06C4">
              <w:rPr>
                <w:rFonts w:eastAsia="Times New Roman"/>
                <w:sz w:val="20"/>
                <w:szCs w:val="20"/>
              </w:rPr>
              <w:t>2016</w:t>
            </w:r>
          </w:p>
        </w:tc>
        <w:tc>
          <w:tcPr>
            <w:tcW w:w="1171" w:type="dxa"/>
            <w:noWrap/>
            <w:hideMark/>
          </w:tcPr>
          <w:p w14:paraId="18CD5C30" w14:textId="77777777" w:rsidR="00481FB1" w:rsidRPr="00DC06C4" w:rsidRDefault="00481FB1" w:rsidP="00DC06C4">
            <w:pPr>
              <w:pStyle w:val="TableCopy"/>
              <w:rPr>
                <w:rFonts w:eastAsia="Times New Roman"/>
                <w:sz w:val="20"/>
                <w:szCs w:val="20"/>
              </w:rPr>
            </w:pPr>
            <w:r w:rsidRPr="00DC06C4">
              <w:rPr>
                <w:sz w:val="20"/>
                <w:szCs w:val="20"/>
              </w:rPr>
              <w:t>15725</w:t>
            </w:r>
          </w:p>
        </w:tc>
        <w:tc>
          <w:tcPr>
            <w:tcW w:w="1164" w:type="dxa"/>
            <w:noWrap/>
            <w:hideMark/>
          </w:tcPr>
          <w:p w14:paraId="19566BAA" w14:textId="77777777" w:rsidR="00481FB1" w:rsidRPr="00DC06C4" w:rsidRDefault="00481FB1" w:rsidP="00DC06C4">
            <w:pPr>
              <w:pStyle w:val="TableCopy"/>
              <w:rPr>
                <w:rFonts w:eastAsia="Times New Roman"/>
                <w:sz w:val="20"/>
                <w:szCs w:val="20"/>
              </w:rPr>
            </w:pPr>
            <w:r w:rsidRPr="00DC06C4">
              <w:rPr>
                <w:sz w:val="20"/>
                <w:szCs w:val="20"/>
              </w:rPr>
              <w:t>12505</w:t>
            </w:r>
          </w:p>
        </w:tc>
        <w:tc>
          <w:tcPr>
            <w:tcW w:w="1366" w:type="dxa"/>
            <w:noWrap/>
            <w:hideMark/>
          </w:tcPr>
          <w:p w14:paraId="236D2483" w14:textId="77777777" w:rsidR="00481FB1" w:rsidRPr="00DC06C4" w:rsidRDefault="00481FB1" w:rsidP="00DC06C4">
            <w:pPr>
              <w:pStyle w:val="TableCopy"/>
              <w:rPr>
                <w:rFonts w:eastAsia="Times New Roman"/>
                <w:sz w:val="20"/>
                <w:szCs w:val="20"/>
              </w:rPr>
            </w:pPr>
            <w:r w:rsidRPr="00DC06C4">
              <w:rPr>
                <w:sz w:val="20"/>
                <w:szCs w:val="20"/>
              </w:rPr>
              <w:t>9404</w:t>
            </w:r>
          </w:p>
        </w:tc>
        <w:tc>
          <w:tcPr>
            <w:tcW w:w="1264" w:type="dxa"/>
            <w:noWrap/>
            <w:hideMark/>
          </w:tcPr>
          <w:p w14:paraId="2D1E8192" w14:textId="77777777" w:rsidR="00481FB1" w:rsidRPr="00DC06C4" w:rsidRDefault="00481FB1" w:rsidP="00DC06C4">
            <w:pPr>
              <w:pStyle w:val="TableCopy"/>
              <w:rPr>
                <w:rFonts w:eastAsia="Times New Roman"/>
                <w:sz w:val="20"/>
                <w:szCs w:val="20"/>
              </w:rPr>
            </w:pPr>
            <w:r w:rsidRPr="00DC06C4">
              <w:rPr>
                <w:sz w:val="20"/>
                <w:szCs w:val="20"/>
              </w:rPr>
              <w:t>13098</w:t>
            </w:r>
          </w:p>
        </w:tc>
        <w:tc>
          <w:tcPr>
            <w:tcW w:w="1109" w:type="dxa"/>
            <w:noWrap/>
            <w:hideMark/>
          </w:tcPr>
          <w:p w14:paraId="065D7890" w14:textId="77777777" w:rsidR="00481FB1" w:rsidRPr="00DC06C4" w:rsidRDefault="00481FB1" w:rsidP="00DC06C4">
            <w:pPr>
              <w:pStyle w:val="TableCopy"/>
              <w:rPr>
                <w:rFonts w:eastAsia="Times New Roman"/>
                <w:sz w:val="20"/>
                <w:szCs w:val="20"/>
              </w:rPr>
            </w:pPr>
            <w:r w:rsidRPr="00DC06C4">
              <w:rPr>
                <w:sz w:val="20"/>
                <w:szCs w:val="20"/>
              </w:rPr>
              <w:t>9775</w:t>
            </w:r>
          </w:p>
        </w:tc>
        <w:tc>
          <w:tcPr>
            <w:tcW w:w="1542" w:type="dxa"/>
            <w:noWrap/>
            <w:hideMark/>
          </w:tcPr>
          <w:p w14:paraId="4AE6DA78" w14:textId="77777777" w:rsidR="00481FB1" w:rsidRPr="00DC06C4" w:rsidRDefault="00481FB1" w:rsidP="00DC06C4">
            <w:pPr>
              <w:pStyle w:val="TableCopy"/>
              <w:rPr>
                <w:rFonts w:eastAsia="Times New Roman"/>
                <w:sz w:val="20"/>
                <w:szCs w:val="20"/>
              </w:rPr>
            </w:pPr>
            <w:r w:rsidRPr="00DC06C4">
              <w:rPr>
                <w:sz w:val="20"/>
                <w:szCs w:val="20"/>
              </w:rPr>
              <w:t>7621</w:t>
            </w:r>
          </w:p>
        </w:tc>
        <w:tc>
          <w:tcPr>
            <w:tcW w:w="1690" w:type="dxa"/>
            <w:noWrap/>
            <w:hideMark/>
          </w:tcPr>
          <w:p w14:paraId="1558033D" w14:textId="77777777" w:rsidR="00481FB1" w:rsidRPr="00DC06C4" w:rsidRDefault="00481FB1" w:rsidP="00DC06C4">
            <w:pPr>
              <w:pStyle w:val="TableCopy"/>
              <w:rPr>
                <w:rFonts w:eastAsia="Times New Roman"/>
                <w:sz w:val="20"/>
                <w:szCs w:val="20"/>
              </w:rPr>
            </w:pPr>
            <w:r w:rsidRPr="00DC06C4">
              <w:rPr>
                <w:sz w:val="20"/>
                <w:szCs w:val="20"/>
              </w:rPr>
              <w:t>8511</w:t>
            </w:r>
          </w:p>
        </w:tc>
        <w:tc>
          <w:tcPr>
            <w:tcW w:w="1549" w:type="dxa"/>
            <w:noWrap/>
            <w:hideMark/>
          </w:tcPr>
          <w:p w14:paraId="6C81063C" w14:textId="77777777" w:rsidR="00481FB1" w:rsidRPr="00DC06C4" w:rsidRDefault="00481FB1" w:rsidP="00DC06C4">
            <w:pPr>
              <w:pStyle w:val="TableCopy"/>
              <w:rPr>
                <w:rFonts w:eastAsia="Times New Roman"/>
                <w:sz w:val="20"/>
                <w:szCs w:val="20"/>
              </w:rPr>
            </w:pPr>
            <w:r w:rsidRPr="00DC06C4">
              <w:rPr>
                <w:sz w:val="20"/>
                <w:szCs w:val="20"/>
              </w:rPr>
              <w:t>6770</w:t>
            </w:r>
          </w:p>
        </w:tc>
        <w:tc>
          <w:tcPr>
            <w:tcW w:w="1053" w:type="dxa"/>
            <w:noWrap/>
            <w:hideMark/>
          </w:tcPr>
          <w:p w14:paraId="2CD92C27" w14:textId="77777777" w:rsidR="00481FB1" w:rsidRPr="00DC06C4" w:rsidRDefault="00481FB1" w:rsidP="00DC06C4">
            <w:pPr>
              <w:pStyle w:val="TableCopy"/>
              <w:rPr>
                <w:rFonts w:eastAsia="Times New Roman"/>
                <w:sz w:val="20"/>
                <w:szCs w:val="20"/>
              </w:rPr>
            </w:pPr>
            <w:r w:rsidRPr="00DC06C4">
              <w:rPr>
                <w:sz w:val="20"/>
                <w:szCs w:val="20"/>
              </w:rPr>
              <w:t>4386</w:t>
            </w:r>
          </w:p>
        </w:tc>
        <w:tc>
          <w:tcPr>
            <w:tcW w:w="1528" w:type="dxa"/>
            <w:noWrap/>
            <w:hideMark/>
          </w:tcPr>
          <w:p w14:paraId="227F8D7E" w14:textId="77777777" w:rsidR="00481FB1" w:rsidRPr="00DC06C4" w:rsidRDefault="00481FB1" w:rsidP="00DC06C4">
            <w:pPr>
              <w:pStyle w:val="TableCopy"/>
              <w:rPr>
                <w:rFonts w:eastAsia="Times New Roman"/>
                <w:sz w:val="20"/>
                <w:szCs w:val="20"/>
              </w:rPr>
            </w:pPr>
            <w:r w:rsidRPr="00DC06C4">
              <w:rPr>
                <w:sz w:val="20"/>
                <w:szCs w:val="20"/>
              </w:rPr>
              <w:t>4054</w:t>
            </w:r>
          </w:p>
        </w:tc>
      </w:tr>
      <w:tr w:rsidR="00481FB1" w:rsidRPr="00DC06C4" w14:paraId="1DFA4C53" w14:textId="77777777" w:rsidTr="00C865B6">
        <w:tc>
          <w:tcPr>
            <w:tcW w:w="1160" w:type="dxa"/>
            <w:noWrap/>
            <w:hideMark/>
          </w:tcPr>
          <w:p w14:paraId="19AA21E6" w14:textId="77777777" w:rsidR="00481FB1" w:rsidRPr="00DC06C4" w:rsidRDefault="00481FB1" w:rsidP="00DC06C4">
            <w:pPr>
              <w:pStyle w:val="TableCopy"/>
              <w:rPr>
                <w:rFonts w:eastAsia="Times New Roman"/>
                <w:sz w:val="20"/>
                <w:szCs w:val="20"/>
              </w:rPr>
            </w:pPr>
            <w:r w:rsidRPr="00DC06C4">
              <w:rPr>
                <w:rFonts w:eastAsia="Times New Roman"/>
                <w:sz w:val="20"/>
                <w:szCs w:val="20"/>
              </w:rPr>
              <w:t>2017</w:t>
            </w:r>
          </w:p>
        </w:tc>
        <w:tc>
          <w:tcPr>
            <w:tcW w:w="1171" w:type="dxa"/>
            <w:noWrap/>
            <w:hideMark/>
          </w:tcPr>
          <w:p w14:paraId="2EE339A4" w14:textId="77777777" w:rsidR="00481FB1" w:rsidRPr="00DC06C4" w:rsidRDefault="00481FB1" w:rsidP="00DC06C4">
            <w:pPr>
              <w:pStyle w:val="TableCopy"/>
              <w:rPr>
                <w:rFonts w:eastAsia="Times New Roman"/>
                <w:sz w:val="20"/>
                <w:szCs w:val="20"/>
              </w:rPr>
            </w:pPr>
            <w:r w:rsidRPr="00DC06C4">
              <w:rPr>
                <w:sz w:val="20"/>
                <w:szCs w:val="20"/>
              </w:rPr>
              <w:t>15222</w:t>
            </w:r>
          </w:p>
        </w:tc>
        <w:tc>
          <w:tcPr>
            <w:tcW w:w="1164" w:type="dxa"/>
            <w:noWrap/>
            <w:hideMark/>
          </w:tcPr>
          <w:p w14:paraId="5E270E2F" w14:textId="77777777" w:rsidR="00481FB1" w:rsidRPr="00DC06C4" w:rsidRDefault="00481FB1" w:rsidP="00DC06C4">
            <w:pPr>
              <w:pStyle w:val="TableCopy"/>
              <w:rPr>
                <w:rFonts w:eastAsia="Times New Roman"/>
                <w:sz w:val="20"/>
                <w:szCs w:val="20"/>
              </w:rPr>
            </w:pPr>
            <w:r w:rsidRPr="00DC06C4">
              <w:rPr>
                <w:sz w:val="20"/>
                <w:szCs w:val="20"/>
              </w:rPr>
              <w:t>13293</w:t>
            </w:r>
          </w:p>
        </w:tc>
        <w:tc>
          <w:tcPr>
            <w:tcW w:w="1366" w:type="dxa"/>
            <w:noWrap/>
            <w:hideMark/>
          </w:tcPr>
          <w:p w14:paraId="1B581777" w14:textId="77777777" w:rsidR="00481FB1" w:rsidRPr="00DC06C4" w:rsidRDefault="00481FB1" w:rsidP="00DC06C4">
            <w:pPr>
              <w:pStyle w:val="TableCopy"/>
              <w:rPr>
                <w:rFonts w:eastAsia="Times New Roman"/>
                <w:sz w:val="20"/>
                <w:szCs w:val="20"/>
              </w:rPr>
            </w:pPr>
            <w:r w:rsidRPr="00DC06C4">
              <w:rPr>
                <w:sz w:val="20"/>
                <w:szCs w:val="20"/>
              </w:rPr>
              <w:t>9436</w:t>
            </w:r>
          </w:p>
        </w:tc>
        <w:tc>
          <w:tcPr>
            <w:tcW w:w="1264" w:type="dxa"/>
            <w:noWrap/>
            <w:hideMark/>
          </w:tcPr>
          <w:p w14:paraId="1D88E369" w14:textId="77777777" w:rsidR="00481FB1" w:rsidRPr="00DC06C4" w:rsidRDefault="00481FB1" w:rsidP="00DC06C4">
            <w:pPr>
              <w:pStyle w:val="TableCopy"/>
              <w:rPr>
                <w:rFonts w:eastAsia="Times New Roman"/>
                <w:sz w:val="20"/>
                <w:szCs w:val="20"/>
              </w:rPr>
            </w:pPr>
            <w:r w:rsidRPr="00DC06C4">
              <w:rPr>
                <w:sz w:val="20"/>
                <w:szCs w:val="20"/>
              </w:rPr>
              <w:t>14213</w:t>
            </w:r>
          </w:p>
        </w:tc>
        <w:tc>
          <w:tcPr>
            <w:tcW w:w="1109" w:type="dxa"/>
            <w:noWrap/>
            <w:hideMark/>
          </w:tcPr>
          <w:p w14:paraId="2788E8F2" w14:textId="77777777" w:rsidR="00481FB1" w:rsidRPr="00DC06C4" w:rsidRDefault="00481FB1" w:rsidP="00DC06C4">
            <w:pPr>
              <w:pStyle w:val="TableCopy"/>
              <w:rPr>
                <w:rFonts w:eastAsia="Times New Roman"/>
                <w:sz w:val="20"/>
                <w:szCs w:val="20"/>
              </w:rPr>
            </w:pPr>
            <w:r w:rsidRPr="00DC06C4">
              <w:rPr>
                <w:sz w:val="20"/>
                <w:szCs w:val="20"/>
              </w:rPr>
              <w:t>9045</w:t>
            </w:r>
          </w:p>
        </w:tc>
        <w:tc>
          <w:tcPr>
            <w:tcW w:w="1542" w:type="dxa"/>
            <w:noWrap/>
            <w:hideMark/>
          </w:tcPr>
          <w:p w14:paraId="4A5D4F6D" w14:textId="77777777" w:rsidR="00481FB1" w:rsidRPr="00DC06C4" w:rsidRDefault="00481FB1" w:rsidP="00DC06C4">
            <w:pPr>
              <w:pStyle w:val="TableCopy"/>
              <w:rPr>
                <w:rFonts w:eastAsia="Times New Roman"/>
                <w:sz w:val="20"/>
                <w:szCs w:val="20"/>
              </w:rPr>
            </w:pPr>
            <w:r w:rsidRPr="00DC06C4">
              <w:rPr>
                <w:sz w:val="20"/>
                <w:szCs w:val="20"/>
              </w:rPr>
              <w:t>7976</w:t>
            </w:r>
          </w:p>
        </w:tc>
        <w:tc>
          <w:tcPr>
            <w:tcW w:w="1690" w:type="dxa"/>
            <w:noWrap/>
            <w:hideMark/>
          </w:tcPr>
          <w:p w14:paraId="78BCD552" w14:textId="77777777" w:rsidR="00481FB1" w:rsidRPr="00DC06C4" w:rsidRDefault="00481FB1" w:rsidP="00DC06C4">
            <w:pPr>
              <w:pStyle w:val="TableCopy"/>
              <w:rPr>
                <w:rFonts w:eastAsia="Times New Roman"/>
                <w:sz w:val="20"/>
                <w:szCs w:val="20"/>
              </w:rPr>
            </w:pPr>
            <w:r w:rsidRPr="00DC06C4">
              <w:rPr>
                <w:sz w:val="20"/>
                <w:szCs w:val="20"/>
              </w:rPr>
              <w:t>9684</w:t>
            </w:r>
          </w:p>
        </w:tc>
        <w:tc>
          <w:tcPr>
            <w:tcW w:w="1549" w:type="dxa"/>
            <w:noWrap/>
            <w:hideMark/>
          </w:tcPr>
          <w:p w14:paraId="7F50AAFD" w14:textId="77777777" w:rsidR="00481FB1" w:rsidRPr="00DC06C4" w:rsidRDefault="00481FB1" w:rsidP="00DC06C4">
            <w:pPr>
              <w:pStyle w:val="TableCopy"/>
              <w:rPr>
                <w:rFonts w:eastAsia="Times New Roman"/>
                <w:sz w:val="20"/>
                <w:szCs w:val="20"/>
              </w:rPr>
            </w:pPr>
            <w:r w:rsidRPr="00DC06C4">
              <w:rPr>
                <w:sz w:val="20"/>
                <w:szCs w:val="20"/>
              </w:rPr>
              <w:t>6849</w:t>
            </w:r>
          </w:p>
        </w:tc>
        <w:tc>
          <w:tcPr>
            <w:tcW w:w="1053" w:type="dxa"/>
            <w:noWrap/>
            <w:hideMark/>
          </w:tcPr>
          <w:p w14:paraId="54BCA405" w14:textId="77777777" w:rsidR="00481FB1" w:rsidRPr="00DC06C4" w:rsidRDefault="00481FB1" w:rsidP="00DC06C4">
            <w:pPr>
              <w:pStyle w:val="TableCopy"/>
              <w:rPr>
                <w:rFonts w:eastAsia="Times New Roman"/>
                <w:sz w:val="20"/>
                <w:szCs w:val="20"/>
              </w:rPr>
            </w:pPr>
            <w:r w:rsidRPr="00DC06C4">
              <w:rPr>
                <w:sz w:val="20"/>
                <w:szCs w:val="20"/>
              </w:rPr>
              <w:t>4357</w:t>
            </w:r>
          </w:p>
        </w:tc>
        <w:tc>
          <w:tcPr>
            <w:tcW w:w="1528" w:type="dxa"/>
            <w:noWrap/>
            <w:hideMark/>
          </w:tcPr>
          <w:p w14:paraId="63ED343F" w14:textId="77777777" w:rsidR="00481FB1" w:rsidRPr="00DC06C4" w:rsidRDefault="00481FB1" w:rsidP="00DC06C4">
            <w:pPr>
              <w:pStyle w:val="TableCopy"/>
              <w:rPr>
                <w:rFonts w:eastAsia="Times New Roman"/>
                <w:sz w:val="20"/>
                <w:szCs w:val="20"/>
              </w:rPr>
            </w:pPr>
            <w:r w:rsidRPr="00DC06C4">
              <w:rPr>
                <w:sz w:val="20"/>
                <w:szCs w:val="20"/>
              </w:rPr>
              <w:t>4113</w:t>
            </w:r>
          </w:p>
        </w:tc>
      </w:tr>
      <w:tr w:rsidR="00481FB1" w:rsidRPr="00DC06C4" w14:paraId="44CB91F5" w14:textId="77777777" w:rsidTr="00C865B6">
        <w:tc>
          <w:tcPr>
            <w:tcW w:w="1160" w:type="dxa"/>
            <w:noWrap/>
            <w:hideMark/>
          </w:tcPr>
          <w:p w14:paraId="264ED429" w14:textId="77777777" w:rsidR="00481FB1" w:rsidRPr="00DC06C4" w:rsidRDefault="00481FB1" w:rsidP="00DC06C4">
            <w:pPr>
              <w:pStyle w:val="TableCopy"/>
              <w:rPr>
                <w:rFonts w:eastAsia="Times New Roman"/>
                <w:sz w:val="20"/>
                <w:szCs w:val="20"/>
              </w:rPr>
            </w:pPr>
            <w:r w:rsidRPr="00DC06C4">
              <w:rPr>
                <w:rFonts w:eastAsia="Times New Roman"/>
                <w:sz w:val="20"/>
                <w:szCs w:val="20"/>
              </w:rPr>
              <w:t>2018</w:t>
            </w:r>
          </w:p>
        </w:tc>
        <w:tc>
          <w:tcPr>
            <w:tcW w:w="1171" w:type="dxa"/>
            <w:noWrap/>
            <w:hideMark/>
          </w:tcPr>
          <w:p w14:paraId="392DF1BA" w14:textId="77777777" w:rsidR="00481FB1" w:rsidRPr="00DC06C4" w:rsidRDefault="00481FB1" w:rsidP="00DC06C4">
            <w:pPr>
              <w:pStyle w:val="TableCopy"/>
              <w:rPr>
                <w:rFonts w:eastAsia="Times New Roman"/>
                <w:sz w:val="20"/>
                <w:szCs w:val="20"/>
              </w:rPr>
            </w:pPr>
            <w:r w:rsidRPr="00DC06C4">
              <w:rPr>
                <w:sz w:val="20"/>
                <w:szCs w:val="20"/>
              </w:rPr>
              <w:t>15592</w:t>
            </w:r>
          </w:p>
        </w:tc>
        <w:tc>
          <w:tcPr>
            <w:tcW w:w="1164" w:type="dxa"/>
            <w:noWrap/>
            <w:hideMark/>
          </w:tcPr>
          <w:p w14:paraId="329F3554" w14:textId="77777777" w:rsidR="00481FB1" w:rsidRPr="00DC06C4" w:rsidRDefault="00481FB1" w:rsidP="00DC06C4">
            <w:pPr>
              <w:pStyle w:val="TableCopy"/>
              <w:rPr>
                <w:rFonts w:eastAsia="Times New Roman"/>
                <w:sz w:val="20"/>
                <w:szCs w:val="20"/>
              </w:rPr>
            </w:pPr>
            <w:r w:rsidRPr="00DC06C4">
              <w:rPr>
                <w:sz w:val="20"/>
                <w:szCs w:val="20"/>
              </w:rPr>
              <w:t>12884</w:t>
            </w:r>
          </w:p>
        </w:tc>
        <w:tc>
          <w:tcPr>
            <w:tcW w:w="1366" w:type="dxa"/>
            <w:noWrap/>
            <w:hideMark/>
          </w:tcPr>
          <w:p w14:paraId="20CD994E" w14:textId="77777777" w:rsidR="00481FB1" w:rsidRPr="00DC06C4" w:rsidRDefault="00481FB1" w:rsidP="00DC06C4">
            <w:pPr>
              <w:pStyle w:val="TableCopy"/>
              <w:rPr>
                <w:rFonts w:eastAsia="Times New Roman"/>
                <w:sz w:val="20"/>
                <w:szCs w:val="20"/>
              </w:rPr>
            </w:pPr>
            <w:r w:rsidRPr="00DC06C4">
              <w:rPr>
                <w:sz w:val="20"/>
                <w:szCs w:val="20"/>
              </w:rPr>
              <w:t>9665</w:t>
            </w:r>
          </w:p>
        </w:tc>
        <w:tc>
          <w:tcPr>
            <w:tcW w:w="1264" w:type="dxa"/>
            <w:noWrap/>
            <w:hideMark/>
          </w:tcPr>
          <w:p w14:paraId="0A7F0B3F" w14:textId="77777777" w:rsidR="00481FB1" w:rsidRPr="00DC06C4" w:rsidRDefault="00481FB1" w:rsidP="00DC06C4">
            <w:pPr>
              <w:pStyle w:val="TableCopy"/>
              <w:rPr>
                <w:rFonts w:eastAsia="Times New Roman"/>
                <w:sz w:val="20"/>
                <w:szCs w:val="20"/>
              </w:rPr>
            </w:pPr>
            <w:r w:rsidRPr="00DC06C4">
              <w:rPr>
                <w:sz w:val="20"/>
                <w:szCs w:val="20"/>
              </w:rPr>
              <w:t>14507</w:t>
            </w:r>
          </w:p>
        </w:tc>
        <w:tc>
          <w:tcPr>
            <w:tcW w:w="1109" w:type="dxa"/>
            <w:noWrap/>
            <w:hideMark/>
          </w:tcPr>
          <w:p w14:paraId="46DF356C" w14:textId="77777777" w:rsidR="00481FB1" w:rsidRPr="00DC06C4" w:rsidRDefault="00481FB1" w:rsidP="00DC06C4">
            <w:pPr>
              <w:pStyle w:val="TableCopy"/>
              <w:rPr>
                <w:rFonts w:eastAsia="Times New Roman"/>
                <w:sz w:val="20"/>
                <w:szCs w:val="20"/>
              </w:rPr>
            </w:pPr>
            <w:r w:rsidRPr="00DC06C4">
              <w:rPr>
                <w:sz w:val="20"/>
                <w:szCs w:val="20"/>
              </w:rPr>
              <w:t>9349</w:t>
            </w:r>
          </w:p>
        </w:tc>
        <w:tc>
          <w:tcPr>
            <w:tcW w:w="1542" w:type="dxa"/>
            <w:noWrap/>
            <w:hideMark/>
          </w:tcPr>
          <w:p w14:paraId="7C113949" w14:textId="77777777" w:rsidR="00481FB1" w:rsidRPr="00DC06C4" w:rsidRDefault="00481FB1" w:rsidP="00DC06C4">
            <w:pPr>
              <w:pStyle w:val="TableCopy"/>
              <w:rPr>
                <w:rFonts w:eastAsia="Times New Roman"/>
                <w:sz w:val="20"/>
                <w:szCs w:val="20"/>
              </w:rPr>
            </w:pPr>
            <w:r w:rsidRPr="00DC06C4">
              <w:rPr>
                <w:sz w:val="20"/>
                <w:szCs w:val="20"/>
              </w:rPr>
              <w:t>8831</w:t>
            </w:r>
          </w:p>
        </w:tc>
        <w:tc>
          <w:tcPr>
            <w:tcW w:w="1690" w:type="dxa"/>
            <w:noWrap/>
            <w:hideMark/>
          </w:tcPr>
          <w:p w14:paraId="3BCFA98B" w14:textId="77777777" w:rsidR="00481FB1" w:rsidRPr="00DC06C4" w:rsidRDefault="00481FB1" w:rsidP="00DC06C4">
            <w:pPr>
              <w:pStyle w:val="TableCopy"/>
              <w:rPr>
                <w:rFonts w:eastAsia="Times New Roman"/>
                <w:sz w:val="20"/>
                <w:szCs w:val="20"/>
              </w:rPr>
            </w:pPr>
            <w:r w:rsidRPr="00DC06C4">
              <w:rPr>
                <w:sz w:val="20"/>
                <w:szCs w:val="20"/>
              </w:rPr>
              <w:t>9005</w:t>
            </w:r>
          </w:p>
        </w:tc>
        <w:tc>
          <w:tcPr>
            <w:tcW w:w="1549" w:type="dxa"/>
            <w:noWrap/>
            <w:hideMark/>
          </w:tcPr>
          <w:p w14:paraId="28A8156F" w14:textId="77777777" w:rsidR="00481FB1" w:rsidRPr="00DC06C4" w:rsidRDefault="00481FB1" w:rsidP="00DC06C4">
            <w:pPr>
              <w:pStyle w:val="TableCopy"/>
              <w:rPr>
                <w:rFonts w:eastAsia="Times New Roman"/>
                <w:sz w:val="20"/>
                <w:szCs w:val="20"/>
              </w:rPr>
            </w:pPr>
            <w:r w:rsidRPr="00DC06C4">
              <w:rPr>
                <w:sz w:val="20"/>
                <w:szCs w:val="20"/>
              </w:rPr>
              <w:t>6914</w:t>
            </w:r>
          </w:p>
        </w:tc>
        <w:tc>
          <w:tcPr>
            <w:tcW w:w="1053" w:type="dxa"/>
            <w:noWrap/>
            <w:hideMark/>
          </w:tcPr>
          <w:p w14:paraId="534B184B" w14:textId="77777777" w:rsidR="00481FB1" w:rsidRPr="00DC06C4" w:rsidRDefault="00481FB1" w:rsidP="00DC06C4">
            <w:pPr>
              <w:pStyle w:val="TableCopy"/>
              <w:rPr>
                <w:rFonts w:eastAsia="Times New Roman"/>
                <w:sz w:val="20"/>
                <w:szCs w:val="20"/>
              </w:rPr>
            </w:pPr>
            <w:r w:rsidRPr="00DC06C4">
              <w:rPr>
                <w:sz w:val="20"/>
                <w:szCs w:val="20"/>
              </w:rPr>
              <w:t>4317</w:t>
            </w:r>
          </w:p>
        </w:tc>
        <w:tc>
          <w:tcPr>
            <w:tcW w:w="1528" w:type="dxa"/>
            <w:noWrap/>
            <w:hideMark/>
          </w:tcPr>
          <w:p w14:paraId="02EFCE57" w14:textId="77777777" w:rsidR="00481FB1" w:rsidRPr="00DC06C4" w:rsidRDefault="00481FB1" w:rsidP="00DC06C4">
            <w:pPr>
              <w:pStyle w:val="TableCopy"/>
              <w:rPr>
                <w:rFonts w:eastAsia="Times New Roman"/>
                <w:sz w:val="20"/>
                <w:szCs w:val="20"/>
              </w:rPr>
            </w:pPr>
            <w:r w:rsidRPr="00DC06C4">
              <w:rPr>
                <w:sz w:val="20"/>
                <w:szCs w:val="20"/>
              </w:rPr>
              <w:t>4169</w:t>
            </w:r>
          </w:p>
        </w:tc>
      </w:tr>
      <w:tr w:rsidR="00481FB1" w:rsidRPr="00DC06C4" w14:paraId="4E93B2EA" w14:textId="77777777" w:rsidTr="00C865B6">
        <w:tc>
          <w:tcPr>
            <w:tcW w:w="1160" w:type="dxa"/>
            <w:noWrap/>
            <w:hideMark/>
          </w:tcPr>
          <w:p w14:paraId="50AB403E" w14:textId="77777777" w:rsidR="00481FB1" w:rsidRPr="00DC06C4" w:rsidRDefault="00481FB1" w:rsidP="00DC06C4">
            <w:pPr>
              <w:pStyle w:val="TableCopy"/>
              <w:rPr>
                <w:rFonts w:eastAsia="Times New Roman"/>
                <w:sz w:val="20"/>
                <w:szCs w:val="20"/>
              </w:rPr>
            </w:pPr>
            <w:r w:rsidRPr="00DC06C4">
              <w:rPr>
                <w:rFonts w:eastAsia="Times New Roman"/>
                <w:sz w:val="20"/>
                <w:szCs w:val="20"/>
              </w:rPr>
              <w:t>2019</w:t>
            </w:r>
          </w:p>
        </w:tc>
        <w:tc>
          <w:tcPr>
            <w:tcW w:w="1171" w:type="dxa"/>
            <w:noWrap/>
            <w:hideMark/>
          </w:tcPr>
          <w:p w14:paraId="54CC6C01" w14:textId="77777777" w:rsidR="00481FB1" w:rsidRPr="00DC06C4" w:rsidRDefault="00481FB1" w:rsidP="00DC06C4">
            <w:pPr>
              <w:pStyle w:val="TableCopy"/>
              <w:rPr>
                <w:rFonts w:eastAsia="Times New Roman"/>
                <w:sz w:val="20"/>
                <w:szCs w:val="20"/>
              </w:rPr>
            </w:pPr>
            <w:r w:rsidRPr="00DC06C4">
              <w:rPr>
                <w:sz w:val="20"/>
                <w:szCs w:val="20"/>
              </w:rPr>
              <w:t>16711</w:t>
            </w:r>
          </w:p>
        </w:tc>
        <w:tc>
          <w:tcPr>
            <w:tcW w:w="1164" w:type="dxa"/>
            <w:noWrap/>
            <w:hideMark/>
          </w:tcPr>
          <w:p w14:paraId="41584844" w14:textId="77777777" w:rsidR="00481FB1" w:rsidRPr="00DC06C4" w:rsidRDefault="00481FB1" w:rsidP="00DC06C4">
            <w:pPr>
              <w:pStyle w:val="TableCopy"/>
              <w:rPr>
                <w:rFonts w:eastAsia="Times New Roman"/>
                <w:sz w:val="20"/>
                <w:szCs w:val="20"/>
              </w:rPr>
            </w:pPr>
            <w:r w:rsidRPr="00DC06C4">
              <w:rPr>
                <w:sz w:val="20"/>
                <w:szCs w:val="20"/>
              </w:rPr>
              <w:t>12197</w:t>
            </w:r>
          </w:p>
        </w:tc>
        <w:tc>
          <w:tcPr>
            <w:tcW w:w="1366" w:type="dxa"/>
            <w:noWrap/>
            <w:hideMark/>
          </w:tcPr>
          <w:p w14:paraId="72D933BD" w14:textId="77777777" w:rsidR="00481FB1" w:rsidRPr="00DC06C4" w:rsidRDefault="00481FB1" w:rsidP="00DC06C4">
            <w:pPr>
              <w:pStyle w:val="TableCopy"/>
              <w:rPr>
                <w:rFonts w:eastAsia="Times New Roman"/>
                <w:sz w:val="20"/>
                <w:szCs w:val="20"/>
              </w:rPr>
            </w:pPr>
            <w:r w:rsidRPr="00DC06C4">
              <w:rPr>
                <w:sz w:val="20"/>
                <w:szCs w:val="20"/>
              </w:rPr>
              <w:t>10324</w:t>
            </w:r>
          </w:p>
        </w:tc>
        <w:tc>
          <w:tcPr>
            <w:tcW w:w="1264" w:type="dxa"/>
            <w:noWrap/>
            <w:hideMark/>
          </w:tcPr>
          <w:p w14:paraId="11A2CE1A" w14:textId="77777777" w:rsidR="00481FB1" w:rsidRPr="00DC06C4" w:rsidRDefault="00481FB1" w:rsidP="00DC06C4">
            <w:pPr>
              <w:pStyle w:val="TableCopy"/>
              <w:rPr>
                <w:rFonts w:eastAsia="Times New Roman"/>
                <w:sz w:val="20"/>
                <w:szCs w:val="20"/>
              </w:rPr>
            </w:pPr>
            <w:r w:rsidRPr="00DC06C4">
              <w:rPr>
                <w:sz w:val="20"/>
                <w:szCs w:val="20"/>
              </w:rPr>
              <w:t>11271</w:t>
            </w:r>
          </w:p>
        </w:tc>
        <w:tc>
          <w:tcPr>
            <w:tcW w:w="1109" w:type="dxa"/>
            <w:noWrap/>
            <w:hideMark/>
          </w:tcPr>
          <w:p w14:paraId="2DC9796A" w14:textId="77777777" w:rsidR="00481FB1" w:rsidRPr="00DC06C4" w:rsidRDefault="00481FB1" w:rsidP="00DC06C4">
            <w:pPr>
              <w:pStyle w:val="TableCopy"/>
              <w:rPr>
                <w:rFonts w:eastAsia="Times New Roman"/>
                <w:sz w:val="20"/>
                <w:szCs w:val="20"/>
              </w:rPr>
            </w:pPr>
            <w:r w:rsidRPr="00DC06C4">
              <w:rPr>
                <w:sz w:val="20"/>
                <w:szCs w:val="20"/>
              </w:rPr>
              <w:t>9779</w:t>
            </w:r>
          </w:p>
        </w:tc>
        <w:tc>
          <w:tcPr>
            <w:tcW w:w="1542" w:type="dxa"/>
            <w:noWrap/>
            <w:hideMark/>
          </w:tcPr>
          <w:p w14:paraId="2543934D" w14:textId="77777777" w:rsidR="00481FB1" w:rsidRPr="00DC06C4" w:rsidRDefault="00481FB1" w:rsidP="00DC06C4">
            <w:pPr>
              <w:pStyle w:val="TableCopy"/>
              <w:rPr>
                <w:rFonts w:eastAsia="Times New Roman"/>
                <w:sz w:val="20"/>
                <w:szCs w:val="20"/>
              </w:rPr>
            </w:pPr>
            <w:r w:rsidRPr="00DC06C4">
              <w:rPr>
                <w:sz w:val="20"/>
                <w:szCs w:val="20"/>
              </w:rPr>
              <w:t>8962</w:t>
            </w:r>
          </w:p>
        </w:tc>
        <w:tc>
          <w:tcPr>
            <w:tcW w:w="1690" w:type="dxa"/>
            <w:noWrap/>
            <w:hideMark/>
          </w:tcPr>
          <w:p w14:paraId="2C76C8DD" w14:textId="77777777" w:rsidR="00481FB1" w:rsidRPr="00DC06C4" w:rsidRDefault="00481FB1" w:rsidP="00DC06C4">
            <w:pPr>
              <w:pStyle w:val="TableCopy"/>
              <w:rPr>
                <w:rFonts w:eastAsia="Times New Roman"/>
                <w:sz w:val="20"/>
                <w:szCs w:val="20"/>
              </w:rPr>
            </w:pPr>
            <w:r w:rsidRPr="00DC06C4">
              <w:rPr>
                <w:sz w:val="20"/>
                <w:szCs w:val="20"/>
              </w:rPr>
              <w:t>8354</w:t>
            </w:r>
          </w:p>
        </w:tc>
        <w:tc>
          <w:tcPr>
            <w:tcW w:w="1549" w:type="dxa"/>
            <w:noWrap/>
            <w:hideMark/>
          </w:tcPr>
          <w:p w14:paraId="6404A298" w14:textId="77777777" w:rsidR="00481FB1" w:rsidRPr="00DC06C4" w:rsidRDefault="00481FB1" w:rsidP="00DC06C4">
            <w:pPr>
              <w:pStyle w:val="TableCopy"/>
              <w:rPr>
                <w:rFonts w:eastAsia="Times New Roman"/>
                <w:sz w:val="20"/>
                <w:szCs w:val="20"/>
              </w:rPr>
            </w:pPr>
            <w:r w:rsidRPr="00DC06C4">
              <w:rPr>
                <w:sz w:val="20"/>
                <w:szCs w:val="20"/>
              </w:rPr>
              <w:t>7235</w:t>
            </w:r>
          </w:p>
        </w:tc>
        <w:tc>
          <w:tcPr>
            <w:tcW w:w="1053" w:type="dxa"/>
            <w:noWrap/>
            <w:hideMark/>
          </w:tcPr>
          <w:p w14:paraId="20DE9908" w14:textId="77777777" w:rsidR="00481FB1" w:rsidRPr="00DC06C4" w:rsidRDefault="00481FB1" w:rsidP="00DC06C4">
            <w:pPr>
              <w:pStyle w:val="TableCopy"/>
              <w:rPr>
                <w:rFonts w:eastAsia="Times New Roman"/>
                <w:sz w:val="20"/>
                <w:szCs w:val="20"/>
              </w:rPr>
            </w:pPr>
            <w:r w:rsidRPr="00DC06C4">
              <w:rPr>
                <w:sz w:val="20"/>
                <w:szCs w:val="20"/>
              </w:rPr>
              <w:t>4549</w:t>
            </w:r>
          </w:p>
        </w:tc>
        <w:tc>
          <w:tcPr>
            <w:tcW w:w="1528" w:type="dxa"/>
            <w:noWrap/>
            <w:hideMark/>
          </w:tcPr>
          <w:p w14:paraId="16A18C65" w14:textId="77777777" w:rsidR="00481FB1" w:rsidRPr="00DC06C4" w:rsidRDefault="00481FB1" w:rsidP="00DC06C4">
            <w:pPr>
              <w:pStyle w:val="TableCopy"/>
              <w:rPr>
                <w:rFonts w:eastAsia="Times New Roman"/>
                <w:sz w:val="20"/>
                <w:szCs w:val="20"/>
              </w:rPr>
            </w:pPr>
            <w:r w:rsidRPr="00DC06C4">
              <w:rPr>
                <w:sz w:val="20"/>
                <w:szCs w:val="20"/>
              </w:rPr>
              <w:t>4573</w:t>
            </w:r>
          </w:p>
        </w:tc>
      </w:tr>
      <w:tr w:rsidR="00481FB1" w:rsidRPr="00DC06C4" w14:paraId="6E5A42E5" w14:textId="77777777" w:rsidTr="00C865B6">
        <w:tc>
          <w:tcPr>
            <w:tcW w:w="1160" w:type="dxa"/>
            <w:noWrap/>
            <w:hideMark/>
          </w:tcPr>
          <w:p w14:paraId="1343AC01" w14:textId="77777777" w:rsidR="00481FB1" w:rsidRPr="00DC06C4" w:rsidRDefault="00481FB1" w:rsidP="00DC06C4">
            <w:pPr>
              <w:pStyle w:val="TableCopy"/>
              <w:rPr>
                <w:rFonts w:eastAsia="Times New Roman"/>
                <w:sz w:val="20"/>
                <w:szCs w:val="20"/>
              </w:rPr>
            </w:pPr>
            <w:r w:rsidRPr="00DC06C4">
              <w:rPr>
                <w:rFonts w:eastAsia="Times New Roman"/>
                <w:sz w:val="20"/>
                <w:szCs w:val="20"/>
              </w:rPr>
              <w:t>2020</w:t>
            </w:r>
          </w:p>
        </w:tc>
        <w:tc>
          <w:tcPr>
            <w:tcW w:w="1171" w:type="dxa"/>
            <w:noWrap/>
            <w:hideMark/>
          </w:tcPr>
          <w:p w14:paraId="262A528B" w14:textId="77777777" w:rsidR="00481FB1" w:rsidRPr="00DC06C4" w:rsidRDefault="00481FB1" w:rsidP="00DC06C4">
            <w:pPr>
              <w:pStyle w:val="TableCopy"/>
              <w:rPr>
                <w:rFonts w:eastAsia="Times New Roman"/>
                <w:sz w:val="20"/>
                <w:szCs w:val="20"/>
              </w:rPr>
            </w:pPr>
            <w:r w:rsidRPr="00DC06C4">
              <w:rPr>
                <w:sz w:val="20"/>
                <w:szCs w:val="20"/>
              </w:rPr>
              <w:t>17052</w:t>
            </w:r>
          </w:p>
        </w:tc>
        <w:tc>
          <w:tcPr>
            <w:tcW w:w="1164" w:type="dxa"/>
            <w:noWrap/>
            <w:hideMark/>
          </w:tcPr>
          <w:p w14:paraId="40AD7078" w14:textId="77777777" w:rsidR="00481FB1" w:rsidRPr="00DC06C4" w:rsidRDefault="00481FB1" w:rsidP="00DC06C4">
            <w:pPr>
              <w:pStyle w:val="TableCopy"/>
              <w:rPr>
                <w:rFonts w:eastAsia="Times New Roman"/>
                <w:sz w:val="20"/>
                <w:szCs w:val="20"/>
              </w:rPr>
            </w:pPr>
            <w:r w:rsidRPr="00DC06C4">
              <w:rPr>
                <w:sz w:val="20"/>
                <w:szCs w:val="20"/>
              </w:rPr>
              <w:t>11791</w:t>
            </w:r>
          </w:p>
        </w:tc>
        <w:tc>
          <w:tcPr>
            <w:tcW w:w="1366" w:type="dxa"/>
            <w:noWrap/>
            <w:hideMark/>
          </w:tcPr>
          <w:p w14:paraId="58C07A7E" w14:textId="77777777" w:rsidR="00481FB1" w:rsidRPr="00DC06C4" w:rsidRDefault="00481FB1" w:rsidP="00DC06C4">
            <w:pPr>
              <w:pStyle w:val="TableCopy"/>
              <w:rPr>
                <w:rFonts w:eastAsia="Times New Roman"/>
                <w:sz w:val="20"/>
                <w:szCs w:val="20"/>
              </w:rPr>
            </w:pPr>
            <w:r w:rsidRPr="00DC06C4">
              <w:rPr>
                <w:sz w:val="20"/>
                <w:szCs w:val="20"/>
              </w:rPr>
              <w:t>11371</w:t>
            </w:r>
          </w:p>
        </w:tc>
        <w:tc>
          <w:tcPr>
            <w:tcW w:w="1264" w:type="dxa"/>
            <w:noWrap/>
            <w:hideMark/>
          </w:tcPr>
          <w:p w14:paraId="6B2817E0" w14:textId="77777777" w:rsidR="00481FB1" w:rsidRPr="00DC06C4" w:rsidRDefault="00481FB1" w:rsidP="00DC06C4">
            <w:pPr>
              <w:pStyle w:val="TableCopy"/>
              <w:rPr>
                <w:rFonts w:eastAsia="Times New Roman"/>
                <w:sz w:val="20"/>
                <w:szCs w:val="20"/>
              </w:rPr>
            </w:pPr>
            <w:r w:rsidRPr="00DC06C4">
              <w:rPr>
                <w:sz w:val="20"/>
                <w:szCs w:val="20"/>
              </w:rPr>
              <w:t>10323</w:t>
            </w:r>
          </w:p>
        </w:tc>
        <w:tc>
          <w:tcPr>
            <w:tcW w:w="1109" w:type="dxa"/>
            <w:noWrap/>
            <w:hideMark/>
          </w:tcPr>
          <w:p w14:paraId="7C28DFFC" w14:textId="77777777" w:rsidR="00481FB1" w:rsidRPr="00DC06C4" w:rsidRDefault="00481FB1" w:rsidP="00DC06C4">
            <w:pPr>
              <w:pStyle w:val="TableCopy"/>
              <w:rPr>
                <w:rFonts w:eastAsia="Times New Roman"/>
                <w:sz w:val="20"/>
                <w:szCs w:val="20"/>
              </w:rPr>
            </w:pPr>
            <w:r w:rsidRPr="00DC06C4">
              <w:rPr>
                <w:sz w:val="20"/>
                <w:szCs w:val="20"/>
              </w:rPr>
              <w:t>10227</w:t>
            </w:r>
          </w:p>
        </w:tc>
        <w:tc>
          <w:tcPr>
            <w:tcW w:w="1542" w:type="dxa"/>
            <w:noWrap/>
            <w:hideMark/>
          </w:tcPr>
          <w:p w14:paraId="4725D13D" w14:textId="77777777" w:rsidR="00481FB1" w:rsidRPr="00DC06C4" w:rsidRDefault="00481FB1" w:rsidP="00DC06C4">
            <w:pPr>
              <w:pStyle w:val="TableCopy"/>
              <w:rPr>
                <w:rFonts w:eastAsia="Times New Roman"/>
                <w:sz w:val="20"/>
                <w:szCs w:val="20"/>
              </w:rPr>
            </w:pPr>
            <w:r w:rsidRPr="00DC06C4">
              <w:rPr>
                <w:sz w:val="20"/>
                <w:szCs w:val="20"/>
              </w:rPr>
              <w:t>8914</w:t>
            </w:r>
          </w:p>
        </w:tc>
        <w:tc>
          <w:tcPr>
            <w:tcW w:w="1690" w:type="dxa"/>
            <w:noWrap/>
            <w:hideMark/>
          </w:tcPr>
          <w:p w14:paraId="10D8F365" w14:textId="77777777" w:rsidR="00481FB1" w:rsidRPr="00DC06C4" w:rsidRDefault="00481FB1" w:rsidP="00DC06C4">
            <w:pPr>
              <w:pStyle w:val="TableCopy"/>
              <w:rPr>
                <w:rFonts w:eastAsia="Times New Roman"/>
                <w:sz w:val="20"/>
                <w:szCs w:val="20"/>
              </w:rPr>
            </w:pPr>
            <w:r w:rsidRPr="00DC06C4">
              <w:rPr>
                <w:sz w:val="20"/>
                <w:szCs w:val="20"/>
              </w:rPr>
              <w:t>7934</w:t>
            </w:r>
          </w:p>
        </w:tc>
        <w:tc>
          <w:tcPr>
            <w:tcW w:w="1549" w:type="dxa"/>
            <w:noWrap/>
            <w:hideMark/>
          </w:tcPr>
          <w:p w14:paraId="6DFE222F" w14:textId="77777777" w:rsidR="00481FB1" w:rsidRPr="00DC06C4" w:rsidRDefault="00481FB1" w:rsidP="00DC06C4">
            <w:pPr>
              <w:pStyle w:val="TableCopy"/>
              <w:rPr>
                <w:rFonts w:eastAsia="Times New Roman"/>
                <w:sz w:val="20"/>
                <w:szCs w:val="20"/>
              </w:rPr>
            </w:pPr>
            <w:r w:rsidRPr="00DC06C4">
              <w:rPr>
                <w:sz w:val="20"/>
                <w:szCs w:val="20"/>
              </w:rPr>
              <w:t>7095</w:t>
            </w:r>
          </w:p>
        </w:tc>
        <w:tc>
          <w:tcPr>
            <w:tcW w:w="1053" w:type="dxa"/>
            <w:noWrap/>
            <w:hideMark/>
          </w:tcPr>
          <w:p w14:paraId="497263A1" w14:textId="77777777" w:rsidR="00481FB1" w:rsidRPr="00DC06C4" w:rsidRDefault="00481FB1" w:rsidP="00DC06C4">
            <w:pPr>
              <w:pStyle w:val="TableCopy"/>
              <w:rPr>
                <w:rFonts w:eastAsia="Times New Roman"/>
                <w:sz w:val="20"/>
                <w:szCs w:val="20"/>
              </w:rPr>
            </w:pPr>
            <w:r w:rsidRPr="00DC06C4">
              <w:rPr>
                <w:sz w:val="20"/>
                <w:szCs w:val="20"/>
              </w:rPr>
              <w:t>4705</w:t>
            </w:r>
          </w:p>
        </w:tc>
        <w:tc>
          <w:tcPr>
            <w:tcW w:w="1528" w:type="dxa"/>
            <w:noWrap/>
            <w:hideMark/>
          </w:tcPr>
          <w:p w14:paraId="4464E963" w14:textId="77777777" w:rsidR="00481FB1" w:rsidRPr="00DC06C4" w:rsidRDefault="00481FB1" w:rsidP="00DC06C4">
            <w:pPr>
              <w:pStyle w:val="TableCopy"/>
              <w:rPr>
                <w:rFonts w:eastAsia="Times New Roman"/>
                <w:sz w:val="20"/>
                <w:szCs w:val="20"/>
              </w:rPr>
            </w:pPr>
            <w:r w:rsidRPr="00DC06C4">
              <w:rPr>
                <w:sz w:val="20"/>
                <w:szCs w:val="20"/>
              </w:rPr>
              <w:t>4659</w:t>
            </w:r>
          </w:p>
        </w:tc>
      </w:tr>
    </w:tbl>
    <w:p w14:paraId="17C5336B" w14:textId="72F7078D" w:rsidR="00481FB1" w:rsidRDefault="00000000" w:rsidP="00481FB1">
      <w:pPr>
        <w:rPr>
          <w:sz w:val="20"/>
          <w:szCs w:val="20"/>
        </w:rPr>
      </w:pPr>
      <w:hyperlink w:anchor="Fig_3" w:history="1">
        <w:r w:rsidR="00C865B6" w:rsidRPr="00D36855">
          <w:rPr>
            <w:rStyle w:val="Hyperlink"/>
          </w:rPr>
          <w:t>Click here to return to document</w:t>
        </w:r>
      </w:hyperlink>
    </w:p>
    <w:p w14:paraId="0DBCEAE7" w14:textId="77777777" w:rsidR="00DC06C4" w:rsidRDefault="00DC06C4" w:rsidP="00481FB1">
      <w:pPr>
        <w:keepNext/>
        <w:keepLines/>
        <w:spacing w:before="200"/>
        <w:outlineLvl w:val="2"/>
        <w:rPr>
          <w:rFonts w:eastAsia="MS Gothic"/>
          <w:b/>
          <w:bCs/>
          <w:sz w:val="28"/>
        </w:rPr>
        <w:sectPr w:rsidR="00DC06C4" w:rsidSect="00DC06C4">
          <w:pgSz w:w="16838" w:h="11906" w:orient="landscape"/>
          <w:pgMar w:top="1440" w:right="1440" w:bottom="1440" w:left="1440" w:header="720" w:footer="720" w:gutter="0"/>
          <w:cols w:space="720"/>
          <w:noEndnote/>
          <w:docGrid w:linePitch="326"/>
        </w:sectPr>
      </w:pPr>
    </w:p>
    <w:p w14:paraId="03525CD4" w14:textId="77777777" w:rsidR="00481FB1" w:rsidRDefault="00481FB1" w:rsidP="00DC06C4">
      <w:pPr>
        <w:pStyle w:val="Heading2"/>
      </w:pPr>
      <w:bookmarkStart w:id="127" w:name="_Figure_4_Gippsland"/>
      <w:bookmarkStart w:id="128" w:name="_Toc118405149"/>
      <w:bookmarkEnd w:id="127"/>
      <w:r>
        <w:lastRenderedPageBreak/>
        <w:t>Figure 4 Gippsland industry output (gross value add) – Long Alternate Text</w:t>
      </w:r>
      <w:bookmarkEnd w:id="128"/>
    </w:p>
    <w:p w14:paraId="09BFD309" w14:textId="77777777" w:rsidR="00481FB1" w:rsidRDefault="00481FB1" w:rsidP="001E748E">
      <w:r>
        <w:t>The industries with the largest gross value add in 2020 in descending order are Mining, Construction, Health Care and Social Assistance, Agriculture, Forestry and Fishing, Electricity, Gas, Water and Waste Services, Manufacturing, Education and Training,</w:t>
      </w:r>
      <w:r w:rsidRPr="00C21E53">
        <w:t xml:space="preserve"> </w:t>
      </w:r>
      <w:r>
        <w:t>Public Administration and Safety, Financial and Insurance Services and Retail Trade.</w:t>
      </w:r>
    </w:p>
    <w:p w14:paraId="1F0FC595" w14:textId="77777777" w:rsidR="00481FB1" w:rsidRDefault="00481FB1" w:rsidP="001E748E">
      <w:r>
        <w:t>The following industries have grown in gross value add since 2001; Construction, Health Care and Social Assistance, Agriculture, Forestry and Fishing, Manufacturing, Education and Training,</w:t>
      </w:r>
      <w:r w:rsidRPr="00C21E53">
        <w:t xml:space="preserve"> </w:t>
      </w:r>
      <w:r>
        <w:t>Public Administration and Safety, Financial and Insurance Services and Retail Trade.</w:t>
      </w:r>
    </w:p>
    <w:p w14:paraId="3B1BB046" w14:textId="77777777" w:rsidR="00481FB1" w:rsidRDefault="00481FB1" w:rsidP="001E748E">
      <w:r>
        <w:t>The following industries have declined in gross value add since 2001; Mining and Electricity, Gas, Water and Waste Services.</w:t>
      </w:r>
    </w:p>
    <w:p w14:paraId="30463F24" w14:textId="77777777" w:rsidR="00481FB1" w:rsidRDefault="00481FB1" w:rsidP="001E748E">
      <w:r w:rsidRPr="003C43A5">
        <w:t>Simplified Table of data for Figure 4. Data in this table is in ($) millions.</w:t>
      </w:r>
      <w:r>
        <w:t xml:space="preserve"> </w:t>
      </w:r>
    </w:p>
    <w:p w14:paraId="5768493B" w14:textId="77777777" w:rsidR="00DC06C4" w:rsidRDefault="00DC06C4" w:rsidP="00481FB1">
      <w:pPr>
        <w:rPr>
          <w:rFonts w:eastAsia="MS Gothic"/>
        </w:rPr>
        <w:sectPr w:rsidR="00DC06C4" w:rsidSect="00F5289F">
          <w:pgSz w:w="11906" w:h="16838"/>
          <w:pgMar w:top="1440" w:right="1440" w:bottom="1440" w:left="1440" w:header="720" w:footer="720" w:gutter="0"/>
          <w:cols w:space="720"/>
          <w:noEndnote/>
        </w:sectPr>
      </w:pPr>
    </w:p>
    <w:tbl>
      <w:tblPr>
        <w:tblStyle w:val="TableGrid"/>
        <w:tblW w:w="13988" w:type="dxa"/>
        <w:tblCellMar>
          <w:top w:w="0" w:type="dxa"/>
          <w:bottom w:w="0" w:type="dxa"/>
        </w:tblCellMar>
        <w:tblLook w:val="04A0" w:firstRow="1" w:lastRow="0" w:firstColumn="1" w:lastColumn="0" w:noHBand="0" w:noVBand="1"/>
      </w:tblPr>
      <w:tblGrid>
        <w:gridCol w:w="562"/>
        <w:gridCol w:w="1762"/>
        <w:gridCol w:w="1359"/>
        <w:gridCol w:w="1171"/>
        <w:gridCol w:w="1260"/>
        <w:gridCol w:w="1536"/>
        <w:gridCol w:w="1555"/>
        <w:gridCol w:w="1105"/>
        <w:gridCol w:w="1543"/>
        <w:gridCol w:w="1082"/>
        <w:gridCol w:w="1053"/>
      </w:tblGrid>
      <w:tr w:rsidR="00DC06C4" w:rsidRPr="00DC06C4" w14:paraId="29537EB6" w14:textId="77777777" w:rsidTr="00C865B6">
        <w:tc>
          <w:tcPr>
            <w:tcW w:w="562" w:type="dxa"/>
            <w:noWrap/>
            <w:hideMark/>
          </w:tcPr>
          <w:p w14:paraId="684501D9" w14:textId="77777777" w:rsidR="00481FB1" w:rsidRPr="00DC06C4" w:rsidRDefault="00481FB1" w:rsidP="00DC06C4">
            <w:pPr>
              <w:pStyle w:val="TableHeading"/>
              <w:rPr>
                <w:rFonts w:eastAsia="Times New Roman"/>
                <w:sz w:val="20"/>
                <w:szCs w:val="20"/>
              </w:rPr>
            </w:pPr>
          </w:p>
        </w:tc>
        <w:tc>
          <w:tcPr>
            <w:tcW w:w="1762" w:type="dxa"/>
            <w:noWrap/>
            <w:hideMark/>
          </w:tcPr>
          <w:p w14:paraId="3A64BEE5" w14:textId="77777777" w:rsidR="00481FB1" w:rsidRPr="00DC06C4" w:rsidRDefault="00481FB1" w:rsidP="00DC06C4">
            <w:pPr>
              <w:pStyle w:val="TableHeading"/>
              <w:rPr>
                <w:rFonts w:eastAsia="Times New Roman"/>
                <w:sz w:val="20"/>
                <w:szCs w:val="20"/>
              </w:rPr>
            </w:pPr>
            <w:r w:rsidRPr="00DC06C4">
              <w:rPr>
                <w:rFonts w:eastAsia="Times New Roman"/>
                <w:sz w:val="20"/>
                <w:szCs w:val="20"/>
              </w:rPr>
              <w:t>Mining</w:t>
            </w:r>
          </w:p>
        </w:tc>
        <w:tc>
          <w:tcPr>
            <w:tcW w:w="1359" w:type="dxa"/>
            <w:noWrap/>
            <w:hideMark/>
          </w:tcPr>
          <w:p w14:paraId="45FC2198" w14:textId="77777777" w:rsidR="00481FB1" w:rsidRPr="00DC06C4" w:rsidRDefault="00481FB1" w:rsidP="00DC06C4">
            <w:pPr>
              <w:pStyle w:val="TableHeading"/>
              <w:rPr>
                <w:rFonts w:eastAsia="Times New Roman"/>
                <w:sz w:val="20"/>
                <w:szCs w:val="20"/>
              </w:rPr>
            </w:pPr>
            <w:r w:rsidRPr="00DC06C4">
              <w:rPr>
                <w:rFonts w:eastAsia="Times New Roman"/>
                <w:sz w:val="20"/>
                <w:szCs w:val="20"/>
              </w:rPr>
              <w:t>Construction</w:t>
            </w:r>
          </w:p>
        </w:tc>
        <w:tc>
          <w:tcPr>
            <w:tcW w:w="1171" w:type="dxa"/>
            <w:noWrap/>
            <w:hideMark/>
          </w:tcPr>
          <w:p w14:paraId="74A1AC37" w14:textId="77777777" w:rsidR="00481FB1" w:rsidRPr="00DC06C4" w:rsidRDefault="00481FB1" w:rsidP="00DC06C4">
            <w:pPr>
              <w:pStyle w:val="TableHeading"/>
              <w:rPr>
                <w:rFonts w:eastAsia="Times New Roman"/>
                <w:sz w:val="20"/>
                <w:szCs w:val="20"/>
              </w:rPr>
            </w:pPr>
            <w:r w:rsidRPr="00DC06C4">
              <w:rPr>
                <w:rFonts w:eastAsia="Times New Roman"/>
                <w:sz w:val="20"/>
                <w:szCs w:val="20"/>
              </w:rPr>
              <w:t>Health Care and Social Assistance</w:t>
            </w:r>
          </w:p>
        </w:tc>
        <w:tc>
          <w:tcPr>
            <w:tcW w:w="1260" w:type="dxa"/>
            <w:noWrap/>
            <w:hideMark/>
          </w:tcPr>
          <w:p w14:paraId="7958BEAD" w14:textId="77777777" w:rsidR="00481FB1" w:rsidRPr="00DC06C4" w:rsidRDefault="00481FB1" w:rsidP="00DC06C4">
            <w:pPr>
              <w:pStyle w:val="TableHeading"/>
              <w:rPr>
                <w:rFonts w:eastAsia="Times New Roman"/>
                <w:sz w:val="20"/>
                <w:szCs w:val="20"/>
              </w:rPr>
            </w:pPr>
            <w:r w:rsidRPr="00DC06C4">
              <w:rPr>
                <w:rFonts w:eastAsia="Times New Roman"/>
                <w:sz w:val="20"/>
                <w:szCs w:val="20"/>
              </w:rPr>
              <w:t>Agriculture, Forestry and Fishing</w:t>
            </w:r>
          </w:p>
        </w:tc>
        <w:tc>
          <w:tcPr>
            <w:tcW w:w="1536" w:type="dxa"/>
            <w:noWrap/>
            <w:hideMark/>
          </w:tcPr>
          <w:p w14:paraId="5C97E70F" w14:textId="77777777" w:rsidR="00481FB1" w:rsidRPr="00DC06C4" w:rsidRDefault="00481FB1" w:rsidP="00DC06C4">
            <w:pPr>
              <w:pStyle w:val="TableHeading"/>
              <w:rPr>
                <w:rFonts w:eastAsia="Times New Roman"/>
                <w:sz w:val="20"/>
                <w:szCs w:val="20"/>
              </w:rPr>
            </w:pPr>
            <w:r w:rsidRPr="00DC06C4">
              <w:rPr>
                <w:rFonts w:eastAsia="Times New Roman"/>
                <w:sz w:val="20"/>
                <w:szCs w:val="20"/>
              </w:rPr>
              <w:t>Electricity, Gas, Water and Waste Services</w:t>
            </w:r>
          </w:p>
        </w:tc>
        <w:tc>
          <w:tcPr>
            <w:tcW w:w="1555" w:type="dxa"/>
            <w:noWrap/>
            <w:hideMark/>
          </w:tcPr>
          <w:p w14:paraId="4A882029" w14:textId="77777777" w:rsidR="00481FB1" w:rsidRPr="00DC06C4" w:rsidRDefault="00481FB1" w:rsidP="00DC06C4">
            <w:pPr>
              <w:pStyle w:val="TableHeading"/>
              <w:rPr>
                <w:rFonts w:eastAsia="Times New Roman"/>
                <w:sz w:val="20"/>
                <w:szCs w:val="20"/>
              </w:rPr>
            </w:pPr>
            <w:r w:rsidRPr="00DC06C4">
              <w:rPr>
                <w:rFonts w:eastAsia="Times New Roman"/>
                <w:sz w:val="20"/>
                <w:szCs w:val="20"/>
              </w:rPr>
              <w:t>Manufacturing</w:t>
            </w:r>
          </w:p>
        </w:tc>
        <w:tc>
          <w:tcPr>
            <w:tcW w:w="1105" w:type="dxa"/>
            <w:noWrap/>
            <w:hideMark/>
          </w:tcPr>
          <w:p w14:paraId="6346AC72" w14:textId="77777777" w:rsidR="00481FB1" w:rsidRPr="00DC06C4" w:rsidRDefault="00481FB1" w:rsidP="00DC06C4">
            <w:pPr>
              <w:pStyle w:val="TableHeading"/>
              <w:rPr>
                <w:rFonts w:eastAsia="Times New Roman"/>
                <w:sz w:val="20"/>
                <w:szCs w:val="20"/>
              </w:rPr>
            </w:pPr>
            <w:r w:rsidRPr="00DC06C4">
              <w:rPr>
                <w:rFonts w:eastAsia="Times New Roman"/>
                <w:sz w:val="20"/>
                <w:szCs w:val="20"/>
              </w:rPr>
              <w:t>Education and Training</w:t>
            </w:r>
          </w:p>
        </w:tc>
        <w:tc>
          <w:tcPr>
            <w:tcW w:w="1543" w:type="dxa"/>
            <w:noWrap/>
            <w:hideMark/>
          </w:tcPr>
          <w:p w14:paraId="29526C4E" w14:textId="77777777" w:rsidR="00481FB1" w:rsidRPr="00DC06C4" w:rsidRDefault="00481FB1" w:rsidP="00DC06C4">
            <w:pPr>
              <w:pStyle w:val="TableHeading"/>
              <w:rPr>
                <w:rFonts w:eastAsia="Times New Roman"/>
                <w:sz w:val="20"/>
                <w:szCs w:val="20"/>
              </w:rPr>
            </w:pPr>
            <w:r w:rsidRPr="00DC06C4">
              <w:rPr>
                <w:rFonts w:eastAsia="Times New Roman"/>
                <w:sz w:val="20"/>
                <w:szCs w:val="20"/>
              </w:rPr>
              <w:t>Public Administration and Safety</w:t>
            </w:r>
          </w:p>
        </w:tc>
        <w:tc>
          <w:tcPr>
            <w:tcW w:w="1082" w:type="dxa"/>
            <w:noWrap/>
            <w:hideMark/>
          </w:tcPr>
          <w:p w14:paraId="5A11AC79" w14:textId="77777777" w:rsidR="00481FB1" w:rsidRPr="00DC06C4" w:rsidRDefault="00481FB1" w:rsidP="00DC06C4">
            <w:pPr>
              <w:pStyle w:val="TableHeading"/>
              <w:rPr>
                <w:rFonts w:eastAsia="Times New Roman"/>
                <w:sz w:val="20"/>
                <w:szCs w:val="20"/>
              </w:rPr>
            </w:pPr>
            <w:r w:rsidRPr="00DC06C4">
              <w:rPr>
                <w:rFonts w:eastAsia="Times New Roman"/>
                <w:sz w:val="20"/>
                <w:szCs w:val="20"/>
              </w:rPr>
              <w:t>Financial and Insurance Services</w:t>
            </w:r>
          </w:p>
        </w:tc>
        <w:tc>
          <w:tcPr>
            <w:tcW w:w="1053" w:type="dxa"/>
            <w:noWrap/>
            <w:hideMark/>
          </w:tcPr>
          <w:p w14:paraId="73128A60" w14:textId="77777777" w:rsidR="00481FB1" w:rsidRPr="00DC06C4" w:rsidRDefault="00481FB1" w:rsidP="00DC06C4">
            <w:pPr>
              <w:pStyle w:val="TableHeading"/>
              <w:rPr>
                <w:rFonts w:eastAsia="Times New Roman"/>
                <w:sz w:val="20"/>
                <w:szCs w:val="20"/>
              </w:rPr>
            </w:pPr>
            <w:r w:rsidRPr="00DC06C4">
              <w:rPr>
                <w:rFonts w:eastAsia="Times New Roman"/>
                <w:sz w:val="20"/>
                <w:szCs w:val="20"/>
              </w:rPr>
              <w:t>Retail Trade</w:t>
            </w:r>
          </w:p>
        </w:tc>
      </w:tr>
      <w:tr w:rsidR="00DC06C4" w:rsidRPr="00DC06C4" w14:paraId="4B0E4E93" w14:textId="77777777" w:rsidTr="00C865B6">
        <w:tc>
          <w:tcPr>
            <w:tcW w:w="562" w:type="dxa"/>
            <w:noWrap/>
            <w:hideMark/>
          </w:tcPr>
          <w:p w14:paraId="0330CD16" w14:textId="77777777" w:rsidR="00481FB1" w:rsidRPr="00DC06C4" w:rsidRDefault="00481FB1" w:rsidP="00DC06C4">
            <w:pPr>
              <w:pStyle w:val="TableCopy"/>
              <w:rPr>
                <w:rFonts w:eastAsia="Times New Roman"/>
                <w:sz w:val="20"/>
                <w:szCs w:val="20"/>
              </w:rPr>
            </w:pPr>
            <w:r w:rsidRPr="00DC06C4">
              <w:rPr>
                <w:rFonts w:eastAsia="Times New Roman"/>
                <w:sz w:val="20"/>
                <w:szCs w:val="20"/>
              </w:rPr>
              <w:t>2001</w:t>
            </w:r>
          </w:p>
        </w:tc>
        <w:tc>
          <w:tcPr>
            <w:tcW w:w="1762" w:type="dxa"/>
            <w:noWrap/>
            <w:hideMark/>
          </w:tcPr>
          <w:p w14:paraId="0238649E" w14:textId="77777777" w:rsidR="00481FB1" w:rsidRPr="00DC06C4" w:rsidRDefault="00481FB1" w:rsidP="00DC06C4">
            <w:pPr>
              <w:pStyle w:val="TableCopy"/>
              <w:rPr>
                <w:rFonts w:eastAsia="Times New Roman"/>
                <w:sz w:val="20"/>
                <w:szCs w:val="20"/>
              </w:rPr>
            </w:pPr>
            <w:r w:rsidRPr="00DC06C4">
              <w:rPr>
                <w:sz w:val="20"/>
                <w:szCs w:val="20"/>
              </w:rPr>
              <w:t>4500</w:t>
            </w:r>
          </w:p>
        </w:tc>
        <w:tc>
          <w:tcPr>
            <w:tcW w:w="1359" w:type="dxa"/>
            <w:noWrap/>
            <w:hideMark/>
          </w:tcPr>
          <w:p w14:paraId="4878A78A" w14:textId="77777777" w:rsidR="00481FB1" w:rsidRPr="00DC06C4" w:rsidRDefault="00481FB1" w:rsidP="00DC06C4">
            <w:pPr>
              <w:pStyle w:val="TableCopy"/>
              <w:rPr>
                <w:rFonts w:eastAsia="Times New Roman"/>
                <w:sz w:val="20"/>
                <w:szCs w:val="20"/>
              </w:rPr>
            </w:pPr>
            <w:r w:rsidRPr="00DC06C4">
              <w:rPr>
                <w:sz w:val="20"/>
                <w:szCs w:val="20"/>
              </w:rPr>
              <w:t>578</w:t>
            </w:r>
          </w:p>
        </w:tc>
        <w:tc>
          <w:tcPr>
            <w:tcW w:w="1171" w:type="dxa"/>
            <w:noWrap/>
            <w:hideMark/>
          </w:tcPr>
          <w:p w14:paraId="57C03510" w14:textId="77777777" w:rsidR="00481FB1" w:rsidRPr="00DC06C4" w:rsidRDefault="00481FB1" w:rsidP="00DC06C4">
            <w:pPr>
              <w:pStyle w:val="TableCopy"/>
              <w:rPr>
                <w:rFonts w:eastAsia="Times New Roman"/>
                <w:sz w:val="20"/>
                <w:szCs w:val="20"/>
              </w:rPr>
            </w:pPr>
            <w:r w:rsidRPr="00DC06C4">
              <w:rPr>
                <w:sz w:val="20"/>
                <w:szCs w:val="20"/>
              </w:rPr>
              <w:t>646</w:t>
            </w:r>
          </w:p>
        </w:tc>
        <w:tc>
          <w:tcPr>
            <w:tcW w:w="1260" w:type="dxa"/>
            <w:noWrap/>
            <w:hideMark/>
          </w:tcPr>
          <w:p w14:paraId="03C09A81" w14:textId="77777777" w:rsidR="00481FB1" w:rsidRPr="00DC06C4" w:rsidRDefault="00481FB1" w:rsidP="00DC06C4">
            <w:pPr>
              <w:pStyle w:val="TableCopy"/>
              <w:rPr>
                <w:rFonts w:eastAsia="Times New Roman"/>
                <w:sz w:val="20"/>
                <w:szCs w:val="20"/>
              </w:rPr>
            </w:pPr>
            <w:r w:rsidRPr="00DC06C4">
              <w:rPr>
                <w:sz w:val="20"/>
                <w:szCs w:val="20"/>
              </w:rPr>
              <w:t>920</w:t>
            </w:r>
          </w:p>
        </w:tc>
        <w:tc>
          <w:tcPr>
            <w:tcW w:w="1536" w:type="dxa"/>
            <w:noWrap/>
            <w:hideMark/>
          </w:tcPr>
          <w:p w14:paraId="0EF40BBA" w14:textId="77777777" w:rsidR="00481FB1" w:rsidRPr="00DC06C4" w:rsidRDefault="00481FB1" w:rsidP="00DC06C4">
            <w:pPr>
              <w:pStyle w:val="TableCopy"/>
              <w:rPr>
                <w:rFonts w:eastAsia="Times New Roman"/>
                <w:sz w:val="20"/>
                <w:szCs w:val="20"/>
              </w:rPr>
            </w:pPr>
            <w:r w:rsidRPr="00DC06C4">
              <w:rPr>
                <w:sz w:val="20"/>
                <w:szCs w:val="20"/>
              </w:rPr>
              <w:t>2066</w:t>
            </w:r>
          </w:p>
        </w:tc>
        <w:tc>
          <w:tcPr>
            <w:tcW w:w="1555" w:type="dxa"/>
            <w:noWrap/>
            <w:hideMark/>
          </w:tcPr>
          <w:p w14:paraId="43728F46" w14:textId="77777777" w:rsidR="00481FB1" w:rsidRPr="00DC06C4" w:rsidRDefault="00481FB1" w:rsidP="00DC06C4">
            <w:pPr>
              <w:pStyle w:val="TableCopy"/>
              <w:rPr>
                <w:rFonts w:eastAsia="Times New Roman"/>
                <w:sz w:val="20"/>
                <w:szCs w:val="20"/>
              </w:rPr>
            </w:pPr>
            <w:r w:rsidRPr="00DC06C4">
              <w:rPr>
                <w:sz w:val="20"/>
                <w:szCs w:val="20"/>
              </w:rPr>
              <w:t>950</w:t>
            </w:r>
          </w:p>
        </w:tc>
        <w:tc>
          <w:tcPr>
            <w:tcW w:w="1105" w:type="dxa"/>
            <w:noWrap/>
            <w:hideMark/>
          </w:tcPr>
          <w:p w14:paraId="1CEF4CD2" w14:textId="77777777" w:rsidR="00481FB1" w:rsidRPr="00DC06C4" w:rsidRDefault="00481FB1" w:rsidP="00DC06C4">
            <w:pPr>
              <w:pStyle w:val="TableCopy"/>
              <w:rPr>
                <w:rFonts w:eastAsia="Times New Roman"/>
                <w:sz w:val="20"/>
                <w:szCs w:val="20"/>
              </w:rPr>
            </w:pPr>
            <w:r w:rsidRPr="00DC06C4">
              <w:rPr>
                <w:sz w:val="20"/>
                <w:szCs w:val="20"/>
              </w:rPr>
              <w:t>632</w:t>
            </w:r>
          </w:p>
        </w:tc>
        <w:tc>
          <w:tcPr>
            <w:tcW w:w="1543" w:type="dxa"/>
            <w:noWrap/>
            <w:hideMark/>
          </w:tcPr>
          <w:p w14:paraId="2362C658" w14:textId="77777777" w:rsidR="00481FB1" w:rsidRPr="00DC06C4" w:rsidRDefault="00481FB1" w:rsidP="00DC06C4">
            <w:pPr>
              <w:pStyle w:val="TableCopy"/>
              <w:rPr>
                <w:rFonts w:eastAsia="Times New Roman"/>
                <w:sz w:val="20"/>
                <w:szCs w:val="20"/>
              </w:rPr>
            </w:pPr>
            <w:r w:rsidRPr="00DC06C4">
              <w:rPr>
                <w:sz w:val="20"/>
                <w:szCs w:val="20"/>
              </w:rPr>
              <w:t>597</w:t>
            </w:r>
          </w:p>
        </w:tc>
        <w:tc>
          <w:tcPr>
            <w:tcW w:w="1082" w:type="dxa"/>
            <w:noWrap/>
            <w:hideMark/>
          </w:tcPr>
          <w:p w14:paraId="1F5FDE56" w14:textId="77777777" w:rsidR="00481FB1" w:rsidRPr="00DC06C4" w:rsidRDefault="00481FB1" w:rsidP="00DC06C4">
            <w:pPr>
              <w:pStyle w:val="TableCopy"/>
              <w:rPr>
                <w:rFonts w:eastAsia="Times New Roman"/>
                <w:sz w:val="20"/>
                <w:szCs w:val="20"/>
              </w:rPr>
            </w:pPr>
            <w:r w:rsidRPr="00DC06C4">
              <w:rPr>
                <w:sz w:val="20"/>
                <w:szCs w:val="20"/>
              </w:rPr>
              <w:t>414</w:t>
            </w:r>
          </w:p>
        </w:tc>
        <w:tc>
          <w:tcPr>
            <w:tcW w:w="1053" w:type="dxa"/>
            <w:noWrap/>
            <w:hideMark/>
          </w:tcPr>
          <w:p w14:paraId="3BE13DD8" w14:textId="77777777" w:rsidR="00481FB1" w:rsidRPr="00DC06C4" w:rsidRDefault="00481FB1" w:rsidP="00DC06C4">
            <w:pPr>
              <w:pStyle w:val="TableCopy"/>
              <w:rPr>
                <w:rFonts w:eastAsia="Times New Roman"/>
                <w:sz w:val="20"/>
                <w:szCs w:val="20"/>
              </w:rPr>
            </w:pPr>
            <w:r w:rsidRPr="00DC06C4">
              <w:rPr>
                <w:sz w:val="20"/>
                <w:szCs w:val="20"/>
              </w:rPr>
              <w:t>472</w:t>
            </w:r>
          </w:p>
        </w:tc>
      </w:tr>
      <w:tr w:rsidR="00DC06C4" w:rsidRPr="00DC06C4" w14:paraId="4670D26C" w14:textId="77777777" w:rsidTr="00C865B6">
        <w:tc>
          <w:tcPr>
            <w:tcW w:w="562" w:type="dxa"/>
            <w:noWrap/>
            <w:hideMark/>
          </w:tcPr>
          <w:p w14:paraId="7EE945B3" w14:textId="77777777" w:rsidR="00481FB1" w:rsidRPr="00DC06C4" w:rsidRDefault="00481FB1" w:rsidP="00DC06C4">
            <w:pPr>
              <w:pStyle w:val="TableCopy"/>
              <w:rPr>
                <w:rFonts w:eastAsia="Times New Roman"/>
                <w:sz w:val="20"/>
                <w:szCs w:val="20"/>
              </w:rPr>
            </w:pPr>
            <w:r w:rsidRPr="00DC06C4">
              <w:rPr>
                <w:rFonts w:eastAsia="Times New Roman"/>
                <w:sz w:val="20"/>
                <w:szCs w:val="20"/>
              </w:rPr>
              <w:t>2002</w:t>
            </w:r>
          </w:p>
        </w:tc>
        <w:tc>
          <w:tcPr>
            <w:tcW w:w="1762" w:type="dxa"/>
            <w:noWrap/>
            <w:hideMark/>
          </w:tcPr>
          <w:p w14:paraId="5623DE3C" w14:textId="77777777" w:rsidR="00481FB1" w:rsidRPr="00DC06C4" w:rsidRDefault="00481FB1" w:rsidP="00DC06C4">
            <w:pPr>
              <w:pStyle w:val="TableCopy"/>
              <w:rPr>
                <w:rFonts w:eastAsia="Times New Roman"/>
                <w:sz w:val="20"/>
                <w:szCs w:val="20"/>
              </w:rPr>
            </w:pPr>
            <w:r w:rsidRPr="00DC06C4">
              <w:rPr>
                <w:sz w:val="20"/>
                <w:szCs w:val="20"/>
              </w:rPr>
              <w:t>4565</w:t>
            </w:r>
          </w:p>
        </w:tc>
        <w:tc>
          <w:tcPr>
            <w:tcW w:w="1359" w:type="dxa"/>
            <w:noWrap/>
            <w:hideMark/>
          </w:tcPr>
          <w:p w14:paraId="39118787" w14:textId="77777777" w:rsidR="00481FB1" w:rsidRPr="00DC06C4" w:rsidRDefault="00481FB1" w:rsidP="00DC06C4">
            <w:pPr>
              <w:pStyle w:val="TableCopy"/>
              <w:rPr>
                <w:rFonts w:eastAsia="Times New Roman"/>
                <w:sz w:val="20"/>
                <w:szCs w:val="20"/>
              </w:rPr>
            </w:pPr>
            <w:r w:rsidRPr="00DC06C4">
              <w:rPr>
                <w:sz w:val="20"/>
                <w:szCs w:val="20"/>
              </w:rPr>
              <w:t>683</w:t>
            </w:r>
          </w:p>
        </w:tc>
        <w:tc>
          <w:tcPr>
            <w:tcW w:w="1171" w:type="dxa"/>
            <w:noWrap/>
            <w:hideMark/>
          </w:tcPr>
          <w:p w14:paraId="708916D0" w14:textId="77777777" w:rsidR="00481FB1" w:rsidRPr="00DC06C4" w:rsidRDefault="00481FB1" w:rsidP="00DC06C4">
            <w:pPr>
              <w:pStyle w:val="TableCopy"/>
              <w:rPr>
                <w:rFonts w:eastAsia="Times New Roman"/>
                <w:sz w:val="20"/>
                <w:szCs w:val="20"/>
              </w:rPr>
            </w:pPr>
            <w:r w:rsidRPr="00DC06C4">
              <w:rPr>
                <w:sz w:val="20"/>
                <w:szCs w:val="20"/>
              </w:rPr>
              <w:t>689</w:t>
            </w:r>
          </w:p>
        </w:tc>
        <w:tc>
          <w:tcPr>
            <w:tcW w:w="1260" w:type="dxa"/>
            <w:noWrap/>
            <w:hideMark/>
          </w:tcPr>
          <w:p w14:paraId="563D226C" w14:textId="77777777" w:rsidR="00481FB1" w:rsidRPr="00DC06C4" w:rsidRDefault="00481FB1" w:rsidP="00DC06C4">
            <w:pPr>
              <w:pStyle w:val="TableCopy"/>
              <w:rPr>
                <w:rFonts w:eastAsia="Times New Roman"/>
                <w:sz w:val="20"/>
                <w:szCs w:val="20"/>
              </w:rPr>
            </w:pPr>
            <w:r w:rsidRPr="00DC06C4">
              <w:rPr>
                <w:sz w:val="20"/>
                <w:szCs w:val="20"/>
              </w:rPr>
              <w:t>980</w:t>
            </w:r>
          </w:p>
        </w:tc>
        <w:tc>
          <w:tcPr>
            <w:tcW w:w="1536" w:type="dxa"/>
            <w:noWrap/>
            <w:hideMark/>
          </w:tcPr>
          <w:p w14:paraId="025E62A1" w14:textId="77777777" w:rsidR="00481FB1" w:rsidRPr="00DC06C4" w:rsidRDefault="00481FB1" w:rsidP="00DC06C4">
            <w:pPr>
              <w:pStyle w:val="TableCopy"/>
              <w:rPr>
                <w:rFonts w:eastAsia="Times New Roman"/>
                <w:sz w:val="20"/>
                <w:szCs w:val="20"/>
              </w:rPr>
            </w:pPr>
            <w:r w:rsidRPr="00DC06C4">
              <w:rPr>
                <w:sz w:val="20"/>
                <w:szCs w:val="20"/>
              </w:rPr>
              <w:t>2190</w:t>
            </w:r>
          </w:p>
        </w:tc>
        <w:tc>
          <w:tcPr>
            <w:tcW w:w="1555" w:type="dxa"/>
            <w:noWrap/>
            <w:hideMark/>
          </w:tcPr>
          <w:p w14:paraId="79FA6259" w14:textId="77777777" w:rsidR="00481FB1" w:rsidRPr="00DC06C4" w:rsidRDefault="00481FB1" w:rsidP="00DC06C4">
            <w:pPr>
              <w:pStyle w:val="TableCopy"/>
              <w:rPr>
                <w:rFonts w:eastAsia="Times New Roman"/>
                <w:sz w:val="20"/>
                <w:szCs w:val="20"/>
              </w:rPr>
            </w:pPr>
            <w:r w:rsidRPr="00DC06C4">
              <w:rPr>
                <w:sz w:val="20"/>
                <w:szCs w:val="20"/>
              </w:rPr>
              <w:t>940</w:t>
            </w:r>
          </w:p>
        </w:tc>
        <w:tc>
          <w:tcPr>
            <w:tcW w:w="1105" w:type="dxa"/>
            <w:noWrap/>
            <w:hideMark/>
          </w:tcPr>
          <w:p w14:paraId="159BE274" w14:textId="77777777" w:rsidR="00481FB1" w:rsidRPr="00DC06C4" w:rsidRDefault="00481FB1" w:rsidP="00DC06C4">
            <w:pPr>
              <w:pStyle w:val="TableCopy"/>
              <w:rPr>
                <w:rFonts w:eastAsia="Times New Roman"/>
                <w:sz w:val="20"/>
                <w:szCs w:val="20"/>
              </w:rPr>
            </w:pPr>
            <w:r w:rsidRPr="00DC06C4">
              <w:rPr>
                <w:sz w:val="20"/>
                <w:szCs w:val="20"/>
              </w:rPr>
              <w:t>634</w:t>
            </w:r>
          </w:p>
        </w:tc>
        <w:tc>
          <w:tcPr>
            <w:tcW w:w="1543" w:type="dxa"/>
            <w:noWrap/>
            <w:hideMark/>
          </w:tcPr>
          <w:p w14:paraId="184B38C3" w14:textId="77777777" w:rsidR="00481FB1" w:rsidRPr="00DC06C4" w:rsidRDefault="00481FB1" w:rsidP="00DC06C4">
            <w:pPr>
              <w:pStyle w:val="TableCopy"/>
              <w:rPr>
                <w:rFonts w:eastAsia="Times New Roman"/>
                <w:sz w:val="20"/>
                <w:szCs w:val="20"/>
              </w:rPr>
            </w:pPr>
            <w:r w:rsidRPr="00DC06C4">
              <w:rPr>
                <w:sz w:val="20"/>
                <w:szCs w:val="20"/>
              </w:rPr>
              <w:t>642</w:t>
            </w:r>
          </w:p>
        </w:tc>
        <w:tc>
          <w:tcPr>
            <w:tcW w:w="1082" w:type="dxa"/>
            <w:noWrap/>
            <w:hideMark/>
          </w:tcPr>
          <w:p w14:paraId="18CD424C" w14:textId="77777777" w:rsidR="00481FB1" w:rsidRPr="00DC06C4" w:rsidRDefault="00481FB1" w:rsidP="00DC06C4">
            <w:pPr>
              <w:pStyle w:val="TableCopy"/>
              <w:rPr>
                <w:rFonts w:eastAsia="Times New Roman"/>
                <w:sz w:val="20"/>
                <w:szCs w:val="20"/>
              </w:rPr>
            </w:pPr>
            <w:r w:rsidRPr="00DC06C4">
              <w:rPr>
                <w:sz w:val="20"/>
                <w:szCs w:val="20"/>
              </w:rPr>
              <w:t>431</w:t>
            </w:r>
          </w:p>
        </w:tc>
        <w:tc>
          <w:tcPr>
            <w:tcW w:w="1053" w:type="dxa"/>
            <w:noWrap/>
            <w:hideMark/>
          </w:tcPr>
          <w:p w14:paraId="15750C98" w14:textId="77777777" w:rsidR="00481FB1" w:rsidRPr="00DC06C4" w:rsidRDefault="00481FB1" w:rsidP="00DC06C4">
            <w:pPr>
              <w:pStyle w:val="TableCopy"/>
              <w:rPr>
                <w:rFonts w:eastAsia="Times New Roman"/>
                <w:sz w:val="20"/>
                <w:szCs w:val="20"/>
              </w:rPr>
            </w:pPr>
            <w:r w:rsidRPr="00DC06C4">
              <w:rPr>
                <w:sz w:val="20"/>
                <w:szCs w:val="20"/>
              </w:rPr>
              <w:t>497</w:t>
            </w:r>
          </w:p>
        </w:tc>
      </w:tr>
      <w:tr w:rsidR="00DC06C4" w:rsidRPr="00DC06C4" w14:paraId="6C0BCFA8" w14:textId="77777777" w:rsidTr="00C865B6">
        <w:tc>
          <w:tcPr>
            <w:tcW w:w="562" w:type="dxa"/>
            <w:noWrap/>
            <w:hideMark/>
          </w:tcPr>
          <w:p w14:paraId="714563B4" w14:textId="77777777" w:rsidR="00481FB1" w:rsidRPr="00DC06C4" w:rsidRDefault="00481FB1" w:rsidP="00DC06C4">
            <w:pPr>
              <w:pStyle w:val="TableCopy"/>
              <w:rPr>
                <w:rFonts w:eastAsia="Times New Roman"/>
                <w:sz w:val="20"/>
                <w:szCs w:val="20"/>
              </w:rPr>
            </w:pPr>
            <w:r w:rsidRPr="00DC06C4">
              <w:rPr>
                <w:rFonts w:eastAsia="Times New Roman"/>
                <w:sz w:val="20"/>
                <w:szCs w:val="20"/>
              </w:rPr>
              <w:t>2003</w:t>
            </w:r>
          </w:p>
        </w:tc>
        <w:tc>
          <w:tcPr>
            <w:tcW w:w="1762" w:type="dxa"/>
            <w:noWrap/>
            <w:hideMark/>
          </w:tcPr>
          <w:p w14:paraId="0E0EF4DE" w14:textId="77777777" w:rsidR="00481FB1" w:rsidRPr="00DC06C4" w:rsidRDefault="00481FB1" w:rsidP="00DC06C4">
            <w:pPr>
              <w:pStyle w:val="TableCopy"/>
              <w:rPr>
                <w:rFonts w:eastAsia="Times New Roman"/>
                <w:sz w:val="20"/>
                <w:szCs w:val="20"/>
              </w:rPr>
            </w:pPr>
            <w:r w:rsidRPr="00DC06C4">
              <w:rPr>
                <w:sz w:val="20"/>
                <w:szCs w:val="20"/>
              </w:rPr>
              <w:t>4377</w:t>
            </w:r>
          </w:p>
        </w:tc>
        <w:tc>
          <w:tcPr>
            <w:tcW w:w="1359" w:type="dxa"/>
            <w:noWrap/>
            <w:hideMark/>
          </w:tcPr>
          <w:p w14:paraId="6ED4A184" w14:textId="77777777" w:rsidR="00481FB1" w:rsidRPr="00DC06C4" w:rsidRDefault="00481FB1" w:rsidP="00DC06C4">
            <w:pPr>
              <w:pStyle w:val="TableCopy"/>
              <w:rPr>
                <w:rFonts w:eastAsia="Times New Roman"/>
                <w:sz w:val="20"/>
                <w:szCs w:val="20"/>
              </w:rPr>
            </w:pPr>
            <w:r w:rsidRPr="00DC06C4">
              <w:rPr>
                <w:sz w:val="20"/>
                <w:szCs w:val="20"/>
              </w:rPr>
              <w:t>840</w:t>
            </w:r>
          </w:p>
        </w:tc>
        <w:tc>
          <w:tcPr>
            <w:tcW w:w="1171" w:type="dxa"/>
            <w:noWrap/>
            <w:hideMark/>
          </w:tcPr>
          <w:p w14:paraId="6E453FFC" w14:textId="77777777" w:rsidR="00481FB1" w:rsidRPr="00DC06C4" w:rsidRDefault="00481FB1" w:rsidP="00DC06C4">
            <w:pPr>
              <w:pStyle w:val="TableCopy"/>
              <w:rPr>
                <w:rFonts w:eastAsia="Times New Roman"/>
                <w:sz w:val="20"/>
                <w:szCs w:val="20"/>
              </w:rPr>
            </w:pPr>
            <w:r w:rsidRPr="00DC06C4">
              <w:rPr>
                <w:sz w:val="20"/>
                <w:szCs w:val="20"/>
              </w:rPr>
              <w:t>717</w:t>
            </w:r>
          </w:p>
        </w:tc>
        <w:tc>
          <w:tcPr>
            <w:tcW w:w="1260" w:type="dxa"/>
            <w:noWrap/>
            <w:hideMark/>
          </w:tcPr>
          <w:p w14:paraId="71B48A46" w14:textId="77777777" w:rsidR="00481FB1" w:rsidRPr="00DC06C4" w:rsidRDefault="00481FB1" w:rsidP="00DC06C4">
            <w:pPr>
              <w:pStyle w:val="TableCopy"/>
              <w:rPr>
                <w:rFonts w:eastAsia="Times New Roman"/>
                <w:sz w:val="20"/>
                <w:szCs w:val="20"/>
              </w:rPr>
            </w:pPr>
            <w:r w:rsidRPr="00DC06C4">
              <w:rPr>
                <w:sz w:val="20"/>
                <w:szCs w:val="20"/>
              </w:rPr>
              <w:t>833</w:t>
            </w:r>
          </w:p>
        </w:tc>
        <w:tc>
          <w:tcPr>
            <w:tcW w:w="1536" w:type="dxa"/>
            <w:noWrap/>
            <w:hideMark/>
          </w:tcPr>
          <w:p w14:paraId="362996A4" w14:textId="77777777" w:rsidR="00481FB1" w:rsidRPr="00DC06C4" w:rsidRDefault="00481FB1" w:rsidP="00DC06C4">
            <w:pPr>
              <w:pStyle w:val="TableCopy"/>
              <w:rPr>
                <w:rFonts w:eastAsia="Times New Roman"/>
                <w:sz w:val="20"/>
                <w:szCs w:val="20"/>
              </w:rPr>
            </w:pPr>
            <w:r w:rsidRPr="00DC06C4">
              <w:rPr>
                <w:sz w:val="20"/>
                <w:szCs w:val="20"/>
              </w:rPr>
              <w:t>1719</w:t>
            </w:r>
          </w:p>
        </w:tc>
        <w:tc>
          <w:tcPr>
            <w:tcW w:w="1555" w:type="dxa"/>
            <w:noWrap/>
            <w:hideMark/>
          </w:tcPr>
          <w:p w14:paraId="7484EB1D" w14:textId="77777777" w:rsidR="00481FB1" w:rsidRPr="00DC06C4" w:rsidRDefault="00481FB1" w:rsidP="00DC06C4">
            <w:pPr>
              <w:pStyle w:val="TableCopy"/>
              <w:rPr>
                <w:rFonts w:eastAsia="Times New Roman"/>
                <w:sz w:val="20"/>
                <w:szCs w:val="20"/>
              </w:rPr>
            </w:pPr>
            <w:r w:rsidRPr="00DC06C4">
              <w:rPr>
                <w:sz w:val="20"/>
                <w:szCs w:val="20"/>
              </w:rPr>
              <w:t>956</w:t>
            </w:r>
          </w:p>
        </w:tc>
        <w:tc>
          <w:tcPr>
            <w:tcW w:w="1105" w:type="dxa"/>
            <w:noWrap/>
            <w:hideMark/>
          </w:tcPr>
          <w:p w14:paraId="2A3CBA10" w14:textId="77777777" w:rsidR="00481FB1" w:rsidRPr="00DC06C4" w:rsidRDefault="00481FB1" w:rsidP="00DC06C4">
            <w:pPr>
              <w:pStyle w:val="TableCopy"/>
              <w:rPr>
                <w:rFonts w:eastAsia="Times New Roman"/>
                <w:sz w:val="20"/>
                <w:szCs w:val="20"/>
              </w:rPr>
            </w:pPr>
            <w:r w:rsidRPr="00DC06C4">
              <w:rPr>
                <w:sz w:val="20"/>
                <w:szCs w:val="20"/>
              </w:rPr>
              <w:t>664</w:t>
            </w:r>
          </w:p>
        </w:tc>
        <w:tc>
          <w:tcPr>
            <w:tcW w:w="1543" w:type="dxa"/>
            <w:noWrap/>
            <w:hideMark/>
          </w:tcPr>
          <w:p w14:paraId="76BABB78" w14:textId="77777777" w:rsidR="00481FB1" w:rsidRPr="00DC06C4" w:rsidRDefault="00481FB1" w:rsidP="00DC06C4">
            <w:pPr>
              <w:pStyle w:val="TableCopy"/>
              <w:rPr>
                <w:rFonts w:eastAsia="Times New Roman"/>
                <w:sz w:val="20"/>
                <w:szCs w:val="20"/>
              </w:rPr>
            </w:pPr>
            <w:r w:rsidRPr="00DC06C4">
              <w:rPr>
                <w:sz w:val="20"/>
                <w:szCs w:val="20"/>
              </w:rPr>
              <w:t>616</w:t>
            </w:r>
          </w:p>
        </w:tc>
        <w:tc>
          <w:tcPr>
            <w:tcW w:w="1082" w:type="dxa"/>
            <w:noWrap/>
            <w:hideMark/>
          </w:tcPr>
          <w:p w14:paraId="74B6EB9E" w14:textId="77777777" w:rsidR="00481FB1" w:rsidRPr="00DC06C4" w:rsidRDefault="00481FB1" w:rsidP="00DC06C4">
            <w:pPr>
              <w:pStyle w:val="TableCopy"/>
              <w:rPr>
                <w:rFonts w:eastAsia="Times New Roman"/>
                <w:sz w:val="20"/>
                <w:szCs w:val="20"/>
              </w:rPr>
            </w:pPr>
            <w:r w:rsidRPr="00DC06C4">
              <w:rPr>
                <w:sz w:val="20"/>
                <w:szCs w:val="20"/>
              </w:rPr>
              <w:t>454</w:t>
            </w:r>
          </w:p>
        </w:tc>
        <w:tc>
          <w:tcPr>
            <w:tcW w:w="1053" w:type="dxa"/>
            <w:noWrap/>
            <w:hideMark/>
          </w:tcPr>
          <w:p w14:paraId="287A0483" w14:textId="77777777" w:rsidR="00481FB1" w:rsidRPr="00DC06C4" w:rsidRDefault="00481FB1" w:rsidP="00DC06C4">
            <w:pPr>
              <w:pStyle w:val="TableCopy"/>
              <w:rPr>
                <w:rFonts w:eastAsia="Times New Roman"/>
                <w:sz w:val="20"/>
                <w:szCs w:val="20"/>
              </w:rPr>
            </w:pPr>
            <w:r w:rsidRPr="00DC06C4">
              <w:rPr>
                <w:sz w:val="20"/>
                <w:szCs w:val="20"/>
              </w:rPr>
              <w:t>500</w:t>
            </w:r>
          </w:p>
        </w:tc>
      </w:tr>
      <w:tr w:rsidR="00DC06C4" w:rsidRPr="00DC06C4" w14:paraId="0E95A6BB" w14:textId="77777777" w:rsidTr="00C865B6">
        <w:tc>
          <w:tcPr>
            <w:tcW w:w="562" w:type="dxa"/>
            <w:noWrap/>
            <w:hideMark/>
          </w:tcPr>
          <w:p w14:paraId="1C2A5778" w14:textId="77777777" w:rsidR="00481FB1" w:rsidRPr="00DC06C4" w:rsidRDefault="00481FB1" w:rsidP="00DC06C4">
            <w:pPr>
              <w:pStyle w:val="TableCopy"/>
              <w:rPr>
                <w:rFonts w:eastAsia="Times New Roman"/>
                <w:sz w:val="20"/>
                <w:szCs w:val="20"/>
              </w:rPr>
            </w:pPr>
            <w:r w:rsidRPr="00DC06C4">
              <w:rPr>
                <w:rFonts w:eastAsia="Times New Roman"/>
                <w:sz w:val="20"/>
                <w:szCs w:val="20"/>
              </w:rPr>
              <w:t>2004</w:t>
            </w:r>
          </w:p>
        </w:tc>
        <w:tc>
          <w:tcPr>
            <w:tcW w:w="1762" w:type="dxa"/>
            <w:noWrap/>
            <w:hideMark/>
          </w:tcPr>
          <w:p w14:paraId="1F6A5EC1" w14:textId="77777777" w:rsidR="00481FB1" w:rsidRPr="00DC06C4" w:rsidRDefault="00481FB1" w:rsidP="00DC06C4">
            <w:pPr>
              <w:pStyle w:val="TableCopy"/>
              <w:rPr>
                <w:rFonts w:eastAsia="Times New Roman"/>
                <w:sz w:val="20"/>
                <w:szCs w:val="20"/>
              </w:rPr>
            </w:pPr>
            <w:r w:rsidRPr="00DC06C4">
              <w:rPr>
                <w:sz w:val="20"/>
                <w:szCs w:val="20"/>
              </w:rPr>
              <w:t>4189</w:t>
            </w:r>
          </w:p>
        </w:tc>
        <w:tc>
          <w:tcPr>
            <w:tcW w:w="1359" w:type="dxa"/>
            <w:noWrap/>
            <w:hideMark/>
          </w:tcPr>
          <w:p w14:paraId="4EC1C284" w14:textId="77777777" w:rsidR="00481FB1" w:rsidRPr="00DC06C4" w:rsidRDefault="00481FB1" w:rsidP="00DC06C4">
            <w:pPr>
              <w:pStyle w:val="TableCopy"/>
              <w:rPr>
                <w:rFonts w:eastAsia="Times New Roman"/>
                <w:sz w:val="20"/>
                <w:szCs w:val="20"/>
              </w:rPr>
            </w:pPr>
            <w:r w:rsidRPr="00DC06C4">
              <w:rPr>
                <w:sz w:val="20"/>
                <w:szCs w:val="20"/>
              </w:rPr>
              <w:t>933</w:t>
            </w:r>
          </w:p>
        </w:tc>
        <w:tc>
          <w:tcPr>
            <w:tcW w:w="1171" w:type="dxa"/>
            <w:noWrap/>
            <w:hideMark/>
          </w:tcPr>
          <w:p w14:paraId="7A5028D4" w14:textId="77777777" w:rsidR="00481FB1" w:rsidRPr="00DC06C4" w:rsidRDefault="00481FB1" w:rsidP="00DC06C4">
            <w:pPr>
              <w:pStyle w:val="TableCopy"/>
              <w:rPr>
                <w:rFonts w:eastAsia="Times New Roman"/>
                <w:sz w:val="20"/>
                <w:szCs w:val="20"/>
              </w:rPr>
            </w:pPr>
            <w:r w:rsidRPr="00DC06C4">
              <w:rPr>
                <w:sz w:val="20"/>
                <w:szCs w:val="20"/>
              </w:rPr>
              <w:t>769</w:t>
            </w:r>
          </w:p>
        </w:tc>
        <w:tc>
          <w:tcPr>
            <w:tcW w:w="1260" w:type="dxa"/>
            <w:noWrap/>
            <w:hideMark/>
          </w:tcPr>
          <w:p w14:paraId="703B35EA" w14:textId="77777777" w:rsidR="00481FB1" w:rsidRPr="00DC06C4" w:rsidRDefault="00481FB1" w:rsidP="00DC06C4">
            <w:pPr>
              <w:pStyle w:val="TableCopy"/>
              <w:rPr>
                <w:rFonts w:eastAsia="Times New Roman"/>
                <w:sz w:val="20"/>
                <w:szCs w:val="20"/>
              </w:rPr>
            </w:pPr>
            <w:r w:rsidRPr="00DC06C4">
              <w:rPr>
                <w:sz w:val="20"/>
                <w:szCs w:val="20"/>
              </w:rPr>
              <w:t>1111</w:t>
            </w:r>
          </w:p>
        </w:tc>
        <w:tc>
          <w:tcPr>
            <w:tcW w:w="1536" w:type="dxa"/>
            <w:noWrap/>
            <w:hideMark/>
          </w:tcPr>
          <w:p w14:paraId="2A90373D" w14:textId="77777777" w:rsidR="00481FB1" w:rsidRPr="00DC06C4" w:rsidRDefault="00481FB1" w:rsidP="00DC06C4">
            <w:pPr>
              <w:pStyle w:val="TableCopy"/>
              <w:rPr>
                <w:rFonts w:eastAsia="Times New Roman"/>
                <w:sz w:val="20"/>
                <w:szCs w:val="20"/>
              </w:rPr>
            </w:pPr>
            <w:r w:rsidRPr="00DC06C4">
              <w:rPr>
                <w:sz w:val="20"/>
                <w:szCs w:val="20"/>
              </w:rPr>
              <w:t>1734</w:t>
            </w:r>
          </w:p>
        </w:tc>
        <w:tc>
          <w:tcPr>
            <w:tcW w:w="1555" w:type="dxa"/>
            <w:noWrap/>
            <w:hideMark/>
          </w:tcPr>
          <w:p w14:paraId="79A3E1EB" w14:textId="77777777" w:rsidR="00481FB1" w:rsidRPr="00DC06C4" w:rsidRDefault="00481FB1" w:rsidP="00DC06C4">
            <w:pPr>
              <w:pStyle w:val="TableCopy"/>
              <w:rPr>
                <w:rFonts w:eastAsia="Times New Roman"/>
                <w:sz w:val="20"/>
                <w:szCs w:val="20"/>
              </w:rPr>
            </w:pPr>
            <w:r w:rsidRPr="00DC06C4">
              <w:rPr>
                <w:sz w:val="20"/>
                <w:szCs w:val="20"/>
              </w:rPr>
              <w:t>963</w:t>
            </w:r>
          </w:p>
        </w:tc>
        <w:tc>
          <w:tcPr>
            <w:tcW w:w="1105" w:type="dxa"/>
            <w:noWrap/>
            <w:hideMark/>
          </w:tcPr>
          <w:p w14:paraId="1F1EEE82" w14:textId="77777777" w:rsidR="00481FB1" w:rsidRPr="00DC06C4" w:rsidRDefault="00481FB1" w:rsidP="00DC06C4">
            <w:pPr>
              <w:pStyle w:val="TableCopy"/>
              <w:rPr>
                <w:rFonts w:eastAsia="Times New Roman"/>
                <w:sz w:val="20"/>
                <w:szCs w:val="20"/>
              </w:rPr>
            </w:pPr>
            <w:r w:rsidRPr="00DC06C4">
              <w:rPr>
                <w:sz w:val="20"/>
                <w:szCs w:val="20"/>
              </w:rPr>
              <w:t>696</w:t>
            </w:r>
          </w:p>
        </w:tc>
        <w:tc>
          <w:tcPr>
            <w:tcW w:w="1543" w:type="dxa"/>
            <w:noWrap/>
            <w:hideMark/>
          </w:tcPr>
          <w:p w14:paraId="00B0A7B4" w14:textId="77777777" w:rsidR="00481FB1" w:rsidRPr="00DC06C4" w:rsidRDefault="00481FB1" w:rsidP="00DC06C4">
            <w:pPr>
              <w:pStyle w:val="TableCopy"/>
              <w:rPr>
                <w:rFonts w:eastAsia="Times New Roman"/>
                <w:sz w:val="20"/>
                <w:szCs w:val="20"/>
              </w:rPr>
            </w:pPr>
            <w:r w:rsidRPr="00DC06C4">
              <w:rPr>
                <w:sz w:val="20"/>
                <w:szCs w:val="20"/>
              </w:rPr>
              <w:t>606</w:t>
            </w:r>
          </w:p>
        </w:tc>
        <w:tc>
          <w:tcPr>
            <w:tcW w:w="1082" w:type="dxa"/>
            <w:noWrap/>
            <w:hideMark/>
          </w:tcPr>
          <w:p w14:paraId="141E59E4" w14:textId="77777777" w:rsidR="00481FB1" w:rsidRPr="00DC06C4" w:rsidRDefault="00481FB1" w:rsidP="00DC06C4">
            <w:pPr>
              <w:pStyle w:val="TableCopy"/>
              <w:rPr>
                <w:rFonts w:eastAsia="Times New Roman"/>
                <w:sz w:val="20"/>
                <w:szCs w:val="20"/>
              </w:rPr>
            </w:pPr>
            <w:r w:rsidRPr="00DC06C4">
              <w:rPr>
                <w:sz w:val="20"/>
                <w:szCs w:val="20"/>
              </w:rPr>
              <w:t>472</w:t>
            </w:r>
          </w:p>
        </w:tc>
        <w:tc>
          <w:tcPr>
            <w:tcW w:w="1053" w:type="dxa"/>
            <w:noWrap/>
            <w:hideMark/>
          </w:tcPr>
          <w:p w14:paraId="6B6B4DD4" w14:textId="77777777" w:rsidR="00481FB1" w:rsidRPr="00DC06C4" w:rsidRDefault="00481FB1" w:rsidP="00DC06C4">
            <w:pPr>
              <w:pStyle w:val="TableCopy"/>
              <w:rPr>
                <w:rFonts w:eastAsia="Times New Roman"/>
                <w:sz w:val="20"/>
                <w:szCs w:val="20"/>
              </w:rPr>
            </w:pPr>
            <w:r w:rsidRPr="00DC06C4">
              <w:rPr>
                <w:sz w:val="20"/>
                <w:szCs w:val="20"/>
              </w:rPr>
              <w:t>560</w:t>
            </w:r>
          </w:p>
        </w:tc>
      </w:tr>
      <w:tr w:rsidR="00DC06C4" w:rsidRPr="00DC06C4" w14:paraId="1D407242" w14:textId="77777777" w:rsidTr="00C865B6">
        <w:tc>
          <w:tcPr>
            <w:tcW w:w="562" w:type="dxa"/>
            <w:noWrap/>
            <w:hideMark/>
          </w:tcPr>
          <w:p w14:paraId="1E2A1499" w14:textId="77777777" w:rsidR="00481FB1" w:rsidRPr="00DC06C4" w:rsidRDefault="00481FB1" w:rsidP="00DC06C4">
            <w:pPr>
              <w:pStyle w:val="TableCopy"/>
              <w:rPr>
                <w:rFonts w:eastAsia="Times New Roman"/>
                <w:sz w:val="20"/>
                <w:szCs w:val="20"/>
              </w:rPr>
            </w:pPr>
            <w:r w:rsidRPr="00DC06C4">
              <w:rPr>
                <w:rFonts w:eastAsia="Times New Roman"/>
                <w:sz w:val="20"/>
                <w:szCs w:val="20"/>
              </w:rPr>
              <w:t>2005</w:t>
            </w:r>
          </w:p>
        </w:tc>
        <w:tc>
          <w:tcPr>
            <w:tcW w:w="1762" w:type="dxa"/>
            <w:noWrap/>
            <w:hideMark/>
          </w:tcPr>
          <w:p w14:paraId="4F65020E" w14:textId="77777777" w:rsidR="00481FB1" w:rsidRPr="00DC06C4" w:rsidRDefault="00481FB1" w:rsidP="00DC06C4">
            <w:pPr>
              <w:pStyle w:val="TableCopy"/>
              <w:rPr>
                <w:rFonts w:eastAsia="Times New Roman"/>
                <w:sz w:val="20"/>
                <w:szCs w:val="20"/>
              </w:rPr>
            </w:pPr>
            <w:r w:rsidRPr="00DC06C4">
              <w:rPr>
                <w:sz w:val="20"/>
                <w:szCs w:val="20"/>
              </w:rPr>
              <w:t>4151</w:t>
            </w:r>
          </w:p>
        </w:tc>
        <w:tc>
          <w:tcPr>
            <w:tcW w:w="1359" w:type="dxa"/>
            <w:noWrap/>
            <w:hideMark/>
          </w:tcPr>
          <w:p w14:paraId="710CB012" w14:textId="77777777" w:rsidR="00481FB1" w:rsidRPr="00DC06C4" w:rsidRDefault="00481FB1" w:rsidP="00DC06C4">
            <w:pPr>
              <w:pStyle w:val="TableCopy"/>
              <w:rPr>
                <w:rFonts w:eastAsia="Times New Roman"/>
                <w:sz w:val="20"/>
                <w:szCs w:val="20"/>
              </w:rPr>
            </w:pPr>
            <w:r w:rsidRPr="00DC06C4">
              <w:rPr>
                <w:sz w:val="20"/>
                <w:szCs w:val="20"/>
              </w:rPr>
              <w:t>1140</w:t>
            </w:r>
          </w:p>
        </w:tc>
        <w:tc>
          <w:tcPr>
            <w:tcW w:w="1171" w:type="dxa"/>
            <w:noWrap/>
            <w:hideMark/>
          </w:tcPr>
          <w:p w14:paraId="0ECB8C57" w14:textId="77777777" w:rsidR="00481FB1" w:rsidRPr="00DC06C4" w:rsidRDefault="00481FB1" w:rsidP="00DC06C4">
            <w:pPr>
              <w:pStyle w:val="TableCopy"/>
              <w:rPr>
                <w:rFonts w:eastAsia="Times New Roman"/>
                <w:sz w:val="20"/>
                <w:szCs w:val="20"/>
              </w:rPr>
            </w:pPr>
            <w:r w:rsidRPr="00DC06C4">
              <w:rPr>
                <w:sz w:val="20"/>
                <w:szCs w:val="20"/>
              </w:rPr>
              <w:t>769</w:t>
            </w:r>
          </w:p>
        </w:tc>
        <w:tc>
          <w:tcPr>
            <w:tcW w:w="1260" w:type="dxa"/>
            <w:noWrap/>
            <w:hideMark/>
          </w:tcPr>
          <w:p w14:paraId="31D3AB5D" w14:textId="77777777" w:rsidR="00481FB1" w:rsidRPr="00DC06C4" w:rsidRDefault="00481FB1" w:rsidP="00DC06C4">
            <w:pPr>
              <w:pStyle w:val="TableCopy"/>
              <w:rPr>
                <w:rFonts w:eastAsia="Times New Roman"/>
                <w:sz w:val="20"/>
                <w:szCs w:val="20"/>
              </w:rPr>
            </w:pPr>
            <w:r w:rsidRPr="00DC06C4">
              <w:rPr>
                <w:sz w:val="20"/>
                <w:szCs w:val="20"/>
              </w:rPr>
              <w:t>1174</w:t>
            </w:r>
          </w:p>
        </w:tc>
        <w:tc>
          <w:tcPr>
            <w:tcW w:w="1536" w:type="dxa"/>
            <w:noWrap/>
            <w:hideMark/>
          </w:tcPr>
          <w:p w14:paraId="2061ECBF" w14:textId="77777777" w:rsidR="00481FB1" w:rsidRPr="00DC06C4" w:rsidRDefault="00481FB1" w:rsidP="00DC06C4">
            <w:pPr>
              <w:pStyle w:val="TableCopy"/>
              <w:rPr>
                <w:rFonts w:eastAsia="Times New Roman"/>
                <w:sz w:val="20"/>
                <w:szCs w:val="20"/>
              </w:rPr>
            </w:pPr>
            <w:r w:rsidRPr="00DC06C4">
              <w:rPr>
                <w:sz w:val="20"/>
                <w:szCs w:val="20"/>
              </w:rPr>
              <w:t>1822</w:t>
            </w:r>
          </w:p>
        </w:tc>
        <w:tc>
          <w:tcPr>
            <w:tcW w:w="1555" w:type="dxa"/>
            <w:noWrap/>
            <w:hideMark/>
          </w:tcPr>
          <w:p w14:paraId="67C42CAF" w14:textId="77777777" w:rsidR="00481FB1" w:rsidRPr="00DC06C4" w:rsidRDefault="00481FB1" w:rsidP="00DC06C4">
            <w:pPr>
              <w:pStyle w:val="TableCopy"/>
              <w:rPr>
                <w:rFonts w:eastAsia="Times New Roman"/>
                <w:sz w:val="20"/>
                <w:szCs w:val="20"/>
              </w:rPr>
            </w:pPr>
            <w:r w:rsidRPr="00DC06C4">
              <w:rPr>
                <w:sz w:val="20"/>
                <w:szCs w:val="20"/>
              </w:rPr>
              <w:t>946</w:t>
            </w:r>
          </w:p>
        </w:tc>
        <w:tc>
          <w:tcPr>
            <w:tcW w:w="1105" w:type="dxa"/>
            <w:noWrap/>
            <w:hideMark/>
          </w:tcPr>
          <w:p w14:paraId="6BF3127C" w14:textId="77777777" w:rsidR="00481FB1" w:rsidRPr="00DC06C4" w:rsidRDefault="00481FB1" w:rsidP="00DC06C4">
            <w:pPr>
              <w:pStyle w:val="TableCopy"/>
              <w:rPr>
                <w:rFonts w:eastAsia="Times New Roman"/>
                <w:sz w:val="20"/>
                <w:szCs w:val="20"/>
              </w:rPr>
            </w:pPr>
            <w:r w:rsidRPr="00DC06C4">
              <w:rPr>
                <w:sz w:val="20"/>
                <w:szCs w:val="20"/>
              </w:rPr>
              <w:t>706</w:t>
            </w:r>
          </w:p>
        </w:tc>
        <w:tc>
          <w:tcPr>
            <w:tcW w:w="1543" w:type="dxa"/>
            <w:noWrap/>
            <w:hideMark/>
          </w:tcPr>
          <w:p w14:paraId="671901E0" w14:textId="77777777" w:rsidR="00481FB1" w:rsidRPr="00DC06C4" w:rsidRDefault="00481FB1" w:rsidP="00DC06C4">
            <w:pPr>
              <w:pStyle w:val="TableCopy"/>
              <w:rPr>
                <w:rFonts w:eastAsia="Times New Roman"/>
                <w:sz w:val="20"/>
                <w:szCs w:val="20"/>
              </w:rPr>
            </w:pPr>
            <w:r w:rsidRPr="00DC06C4">
              <w:rPr>
                <w:sz w:val="20"/>
                <w:szCs w:val="20"/>
              </w:rPr>
              <w:t>620</w:t>
            </w:r>
          </w:p>
        </w:tc>
        <w:tc>
          <w:tcPr>
            <w:tcW w:w="1082" w:type="dxa"/>
            <w:noWrap/>
            <w:hideMark/>
          </w:tcPr>
          <w:p w14:paraId="4569DEB1" w14:textId="77777777" w:rsidR="00481FB1" w:rsidRPr="00DC06C4" w:rsidRDefault="00481FB1" w:rsidP="00DC06C4">
            <w:pPr>
              <w:pStyle w:val="TableCopy"/>
              <w:rPr>
                <w:rFonts w:eastAsia="Times New Roman"/>
                <w:sz w:val="20"/>
                <w:szCs w:val="20"/>
              </w:rPr>
            </w:pPr>
            <w:r w:rsidRPr="00DC06C4">
              <w:rPr>
                <w:sz w:val="20"/>
                <w:szCs w:val="20"/>
              </w:rPr>
              <w:t>450</w:t>
            </w:r>
          </w:p>
        </w:tc>
        <w:tc>
          <w:tcPr>
            <w:tcW w:w="1053" w:type="dxa"/>
            <w:noWrap/>
            <w:hideMark/>
          </w:tcPr>
          <w:p w14:paraId="099110DC" w14:textId="77777777" w:rsidR="00481FB1" w:rsidRPr="00DC06C4" w:rsidRDefault="00481FB1" w:rsidP="00DC06C4">
            <w:pPr>
              <w:pStyle w:val="TableCopy"/>
              <w:rPr>
                <w:rFonts w:eastAsia="Times New Roman"/>
                <w:sz w:val="20"/>
                <w:szCs w:val="20"/>
              </w:rPr>
            </w:pPr>
            <w:r w:rsidRPr="00DC06C4">
              <w:rPr>
                <w:sz w:val="20"/>
                <w:szCs w:val="20"/>
              </w:rPr>
              <w:t>597</w:t>
            </w:r>
          </w:p>
        </w:tc>
      </w:tr>
      <w:tr w:rsidR="00DC06C4" w:rsidRPr="00DC06C4" w14:paraId="7B969BF5" w14:textId="77777777" w:rsidTr="00C865B6">
        <w:tc>
          <w:tcPr>
            <w:tcW w:w="562" w:type="dxa"/>
            <w:noWrap/>
            <w:hideMark/>
          </w:tcPr>
          <w:p w14:paraId="4C6C1981" w14:textId="77777777" w:rsidR="00481FB1" w:rsidRPr="00DC06C4" w:rsidRDefault="00481FB1" w:rsidP="00DC06C4">
            <w:pPr>
              <w:pStyle w:val="TableCopy"/>
              <w:rPr>
                <w:rFonts w:eastAsia="Times New Roman"/>
                <w:sz w:val="20"/>
                <w:szCs w:val="20"/>
              </w:rPr>
            </w:pPr>
            <w:r w:rsidRPr="00DC06C4">
              <w:rPr>
                <w:rFonts w:eastAsia="Times New Roman"/>
                <w:sz w:val="20"/>
                <w:szCs w:val="20"/>
              </w:rPr>
              <w:t>2006</w:t>
            </w:r>
          </w:p>
        </w:tc>
        <w:tc>
          <w:tcPr>
            <w:tcW w:w="1762" w:type="dxa"/>
            <w:noWrap/>
            <w:hideMark/>
          </w:tcPr>
          <w:p w14:paraId="6A1B474C" w14:textId="77777777" w:rsidR="00481FB1" w:rsidRPr="00DC06C4" w:rsidRDefault="00481FB1" w:rsidP="00DC06C4">
            <w:pPr>
              <w:pStyle w:val="TableCopy"/>
              <w:rPr>
                <w:rFonts w:eastAsia="Times New Roman"/>
                <w:sz w:val="20"/>
                <w:szCs w:val="20"/>
              </w:rPr>
            </w:pPr>
            <w:r w:rsidRPr="00DC06C4">
              <w:rPr>
                <w:sz w:val="20"/>
                <w:szCs w:val="20"/>
              </w:rPr>
              <w:t>4743</w:t>
            </w:r>
          </w:p>
        </w:tc>
        <w:tc>
          <w:tcPr>
            <w:tcW w:w="1359" w:type="dxa"/>
            <w:noWrap/>
            <w:hideMark/>
          </w:tcPr>
          <w:p w14:paraId="338B1BDB" w14:textId="77777777" w:rsidR="00481FB1" w:rsidRPr="00DC06C4" w:rsidRDefault="00481FB1" w:rsidP="00DC06C4">
            <w:pPr>
              <w:pStyle w:val="TableCopy"/>
              <w:rPr>
                <w:rFonts w:eastAsia="Times New Roman"/>
                <w:sz w:val="20"/>
                <w:szCs w:val="20"/>
              </w:rPr>
            </w:pPr>
            <w:r w:rsidRPr="00DC06C4">
              <w:rPr>
                <w:sz w:val="20"/>
                <w:szCs w:val="20"/>
              </w:rPr>
              <w:t>1278</w:t>
            </w:r>
          </w:p>
        </w:tc>
        <w:tc>
          <w:tcPr>
            <w:tcW w:w="1171" w:type="dxa"/>
            <w:noWrap/>
            <w:hideMark/>
          </w:tcPr>
          <w:p w14:paraId="7AB873F3" w14:textId="77777777" w:rsidR="00481FB1" w:rsidRPr="00DC06C4" w:rsidRDefault="00481FB1" w:rsidP="00DC06C4">
            <w:pPr>
              <w:pStyle w:val="TableCopy"/>
              <w:rPr>
                <w:rFonts w:eastAsia="Times New Roman"/>
                <w:sz w:val="20"/>
                <w:szCs w:val="20"/>
              </w:rPr>
            </w:pPr>
            <w:r w:rsidRPr="00DC06C4">
              <w:rPr>
                <w:sz w:val="20"/>
                <w:szCs w:val="20"/>
              </w:rPr>
              <w:t>772</w:t>
            </w:r>
          </w:p>
        </w:tc>
        <w:tc>
          <w:tcPr>
            <w:tcW w:w="1260" w:type="dxa"/>
            <w:noWrap/>
            <w:hideMark/>
          </w:tcPr>
          <w:p w14:paraId="114537DA" w14:textId="77777777" w:rsidR="00481FB1" w:rsidRPr="00DC06C4" w:rsidRDefault="00481FB1" w:rsidP="00DC06C4">
            <w:pPr>
              <w:pStyle w:val="TableCopy"/>
              <w:rPr>
                <w:rFonts w:eastAsia="Times New Roman"/>
                <w:sz w:val="20"/>
                <w:szCs w:val="20"/>
              </w:rPr>
            </w:pPr>
            <w:r w:rsidRPr="00DC06C4">
              <w:rPr>
                <w:sz w:val="20"/>
                <w:szCs w:val="20"/>
              </w:rPr>
              <w:t>1337</w:t>
            </w:r>
          </w:p>
        </w:tc>
        <w:tc>
          <w:tcPr>
            <w:tcW w:w="1536" w:type="dxa"/>
            <w:noWrap/>
            <w:hideMark/>
          </w:tcPr>
          <w:p w14:paraId="277C625D" w14:textId="77777777" w:rsidR="00481FB1" w:rsidRPr="00DC06C4" w:rsidRDefault="00481FB1" w:rsidP="00DC06C4">
            <w:pPr>
              <w:pStyle w:val="TableCopy"/>
              <w:rPr>
                <w:rFonts w:eastAsia="Times New Roman"/>
                <w:sz w:val="20"/>
                <w:szCs w:val="20"/>
              </w:rPr>
            </w:pPr>
            <w:r w:rsidRPr="00DC06C4">
              <w:rPr>
                <w:sz w:val="20"/>
                <w:szCs w:val="20"/>
              </w:rPr>
              <w:t>1704</w:t>
            </w:r>
          </w:p>
        </w:tc>
        <w:tc>
          <w:tcPr>
            <w:tcW w:w="1555" w:type="dxa"/>
            <w:noWrap/>
            <w:hideMark/>
          </w:tcPr>
          <w:p w14:paraId="69D65E27" w14:textId="77777777" w:rsidR="00481FB1" w:rsidRPr="00DC06C4" w:rsidRDefault="00481FB1" w:rsidP="00DC06C4">
            <w:pPr>
              <w:pStyle w:val="TableCopy"/>
              <w:rPr>
                <w:rFonts w:eastAsia="Times New Roman"/>
                <w:sz w:val="20"/>
                <w:szCs w:val="20"/>
              </w:rPr>
            </w:pPr>
            <w:r w:rsidRPr="00DC06C4">
              <w:rPr>
                <w:sz w:val="20"/>
                <w:szCs w:val="20"/>
              </w:rPr>
              <w:t>933</w:t>
            </w:r>
          </w:p>
        </w:tc>
        <w:tc>
          <w:tcPr>
            <w:tcW w:w="1105" w:type="dxa"/>
            <w:noWrap/>
            <w:hideMark/>
          </w:tcPr>
          <w:p w14:paraId="5FE6EC3C" w14:textId="77777777" w:rsidR="00481FB1" w:rsidRPr="00DC06C4" w:rsidRDefault="00481FB1" w:rsidP="00DC06C4">
            <w:pPr>
              <w:pStyle w:val="TableCopy"/>
              <w:rPr>
                <w:rFonts w:eastAsia="Times New Roman"/>
                <w:sz w:val="20"/>
                <w:szCs w:val="20"/>
              </w:rPr>
            </w:pPr>
            <w:r w:rsidRPr="00DC06C4">
              <w:rPr>
                <w:sz w:val="20"/>
                <w:szCs w:val="20"/>
              </w:rPr>
              <w:t>702</w:t>
            </w:r>
          </w:p>
        </w:tc>
        <w:tc>
          <w:tcPr>
            <w:tcW w:w="1543" w:type="dxa"/>
            <w:noWrap/>
            <w:hideMark/>
          </w:tcPr>
          <w:p w14:paraId="3901B37B" w14:textId="77777777" w:rsidR="00481FB1" w:rsidRPr="00DC06C4" w:rsidRDefault="00481FB1" w:rsidP="00DC06C4">
            <w:pPr>
              <w:pStyle w:val="TableCopy"/>
              <w:rPr>
                <w:rFonts w:eastAsia="Times New Roman"/>
                <w:sz w:val="20"/>
                <w:szCs w:val="20"/>
              </w:rPr>
            </w:pPr>
            <w:r w:rsidRPr="00DC06C4">
              <w:rPr>
                <w:sz w:val="20"/>
                <w:szCs w:val="20"/>
              </w:rPr>
              <w:t>647</w:t>
            </w:r>
          </w:p>
        </w:tc>
        <w:tc>
          <w:tcPr>
            <w:tcW w:w="1082" w:type="dxa"/>
            <w:noWrap/>
            <w:hideMark/>
          </w:tcPr>
          <w:p w14:paraId="114F4EED" w14:textId="77777777" w:rsidR="00481FB1" w:rsidRPr="00DC06C4" w:rsidRDefault="00481FB1" w:rsidP="00DC06C4">
            <w:pPr>
              <w:pStyle w:val="TableCopy"/>
              <w:rPr>
                <w:rFonts w:eastAsia="Times New Roman"/>
                <w:sz w:val="20"/>
                <w:szCs w:val="20"/>
              </w:rPr>
            </w:pPr>
            <w:r w:rsidRPr="00DC06C4">
              <w:rPr>
                <w:sz w:val="20"/>
                <w:szCs w:val="20"/>
              </w:rPr>
              <w:t>433</w:t>
            </w:r>
          </w:p>
        </w:tc>
        <w:tc>
          <w:tcPr>
            <w:tcW w:w="1053" w:type="dxa"/>
            <w:noWrap/>
            <w:hideMark/>
          </w:tcPr>
          <w:p w14:paraId="2A939A63" w14:textId="77777777" w:rsidR="00481FB1" w:rsidRPr="00DC06C4" w:rsidRDefault="00481FB1" w:rsidP="00DC06C4">
            <w:pPr>
              <w:pStyle w:val="TableCopy"/>
              <w:rPr>
                <w:rFonts w:eastAsia="Times New Roman"/>
                <w:sz w:val="20"/>
                <w:szCs w:val="20"/>
              </w:rPr>
            </w:pPr>
            <w:r w:rsidRPr="00DC06C4">
              <w:rPr>
                <w:sz w:val="20"/>
                <w:szCs w:val="20"/>
              </w:rPr>
              <w:t>592</w:t>
            </w:r>
          </w:p>
        </w:tc>
      </w:tr>
      <w:tr w:rsidR="00DC06C4" w:rsidRPr="00DC06C4" w14:paraId="0A1CF47A" w14:textId="77777777" w:rsidTr="00C865B6">
        <w:tc>
          <w:tcPr>
            <w:tcW w:w="562" w:type="dxa"/>
            <w:noWrap/>
            <w:hideMark/>
          </w:tcPr>
          <w:p w14:paraId="5BE9F798" w14:textId="77777777" w:rsidR="00481FB1" w:rsidRPr="00DC06C4" w:rsidRDefault="00481FB1" w:rsidP="00DC06C4">
            <w:pPr>
              <w:pStyle w:val="TableCopy"/>
              <w:rPr>
                <w:rFonts w:eastAsia="Times New Roman"/>
                <w:sz w:val="20"/>
                <w:szCs w:val="20"/>
              </w:rPr>
            </w:pPr>
            <w:r w:rsidRPr="00DC06C4">
              <w:rPr>
                <w:rFonts w:eastAsia="Times New Roman"/>
                <w:sz w:val="20"/>
                <w:szCs w:val="20"/>
              </w:rPr>
              <w:t>2007</w:t>
            </w:r>
          </w:p>
        </w:tc>
        <w:tc>
          <w:tcPr>
            <w:tcW w:w="1762" w:type="dxa"/>
            <w:noWrap/>
            <w:hideMark/>
          </w:tcPr>
          <w:p w14:paraId="39CC6A25" w14:textId="77777777" w:rsidR="00481FB1" w:rsidRPr="00DC06C4" w:rsidRDefault="00481FB1" w:rsidP="00DC06C4">
            <w:pPr>
              <w:pStyle w:val="TableCopy"/>
              <w:rPr>
                <w:rFonts w:eastAsia="Times New Roman"/>
                <w:sz w:val="20"/>
                <w:szCs w:val="20"/>
              </w:rPr>
            </w:pPr>
            <w:r w:rsidRPr="00DC06C4">
              <w:rPr>
                <w:sz w:val="20"/>
                <w:szCs w:val="20"/>
              </w:rPr>
              <w:t>4531</w:t>
            </w:r>
          </w:p>
        </w:tc>
        <w:tc>
          <w:tcPr>
            <w:tcW w:w="1359" w:type="dxa"/>
            <w:noWrap/>
            <w:hideMark/>
          </w:tcPr>
          <w:p w14:paraId="7210E4CE" w14:textId="77777777" w:rsidR="00481FB1" w:rsidRPr="00DC06C4" w:rsidRDefault="00481FB1" w:rsidP="00DC06C4">
            <w:pPr>
              <w:pStyle w:val="TableCopy"/>
              <w:rPr>
                <w:rFonts w:eastAsia="Times New Roman"/>
                <w:sz w:val="20"/>
                <w:szCs w:val="20"/>
              </w:rPr>
            </w:pPr>
            <w:r w:rsidRPr="00DC06C4">
              <w:rPr>
                <w:sz w:val="20"/>
                <w:szCs w:val="20"/>
              </w:rPr>
              <w:t>1309</w:t>
            </w:r>
          </w:p>
        </w:tc>
        <w:tc>
          <w:tcPr>
            <w:tcW w:w="1171" w:type="dxa"/>
            <w:noWrap/>
            <w:hideMark/>
          </w:tcPr>
          <w:p w14:paraId="0D26AB19" w14:textId="77777777" w:rsidR="00481FB1" w:rsidRPr="00DC06C4" w:rsidRDefault="00481FB1" w:rsidP="00DC06C4">
            <w:pPr>
              <w:pStyle w:val="TableCopy"/>
              <w:rPr>
                <w:rFonts w:eastAsia="Times New Roman"/>
                <w:sz w:val="20"/>
                <w:szCs w:val="20"/>
              </w:rPr>
            </w:pPr>
            <w:r w:rsidRPr="00DC06C4">
              <w:rPr>
                <w:sz w:val="20"/>
                <w:szCs w:val="20"/>
              </w:rPr>
              <w:t>802</w:t>
            </w:r>
          </w:p>
        </w:tc>
        <w:tc>
          <w:tcPr>
            <w:tcW w:w="1260" w:type="dxa"/>
            <w:noWrap/>
            <w:hideMark/>
          </w:tcPr>
          <w:p w14:paraId="1F7EA617" w14:textId="77777777" w:rsidR="00481FB1" w:rsidRPr="00DC06C4" w:rsidRDefault="00481FB1" w:rsidP="00DC06C4">
            <w:pPr>
              <w:pStyle w:val="TableCopy"/>
              <w:rPr>
                <w:rFonts w:eastAsia="Times New Roman"/>
                <w:sz w:val="20"/>
                <w:szCs w:val="20"/>
              </w:rPr>
            </w:pPr>
            <w:r w:rsidRPr="00DC06C4">
              <w:rPr>
                <w:sz w:val="20"/>
                <w:szCs w:val="20"/>
              </w:rPr>
              <w:t>1229</w:t>
            </w:r>
          </w:p>
        </w:tc>
        <w:tc>
          <w:tcPr>
            <w:tcW w:w="1536" w:type="dxa"/>
            <w:noWrap/>
            <w:hideMark/>
          </w:tcPr>
          <w:p w14:paraId="58B6892F" w14:textId="77777777" w:rsidR="00481FB1" w:rsidRPr="00DC06C4" w:rsidRDefault="00481FB1" w:rsidP="00DC06C4">
            <w:pPr>
              <w:pStyle w:val="TableCopy"/>
              <w:rPr>
                <w:rFonts w:eastAsia="Times New Roman"/>
                <w:sz w:val="20"/>
                <w:szCs w:val="20"/>
              </w:rPr>
            </w:pPr>
            <w:r w:rsidRPr="00DC06C4">
              <w:rPr>
                <w:sz w:val="20"/>
                <w:szCs w:val="20"/>
              </w:rPr>
              <w:t>1594</w:t>
            </w:r>
          </w:p>
        </w:tc>
        <w:tc>
          <w:tcPr>
            <w:tcW w:w="1555" w:type="dxa"/>
            <w:noWrap/>
            <w:hideMark/>
          </w:tcPr>
          <w:p w14:paraId="6DB9BF31" w14:textId="77777777" w:rsidR="00481FB1" w:rsidRPr="00DC06C4" w:rsidRDefault="00481FB1" w:rsidP="00DC06C4">
            <w:pPr>
              <w:pStyle w:val="TableCopy"/>
              <w:rPr>
                <w:rFonts w:eastAsia="Times New Roman"/>
                <w:sz w:val="20"/>
                <w:szCs w:val="20"/>
              </w:rPr>
            </w:pPr>
            <w:r w:rsidRPr="00DC06C4">
              <w:rPr>
                <w:sz w:val="20"/>
                <w:szCs w:val="20"/>
              </w:rPr>
              <w:t>946</w:t>
            </w:r>
          </w:p>
        </w:tc>
        <w:tc>
          <w:tcPr>
            <w:tcW w:w="1105" w:type="dxa"/>
            <w:noWrap/>
            <w:hideMark/>
          </w:tcPr>
          <w:p w14:paraId="09E8A2F4" w14:textId="77777777" w:rsidR="00481FB1" w:rsidRPr="00DC06C4" w:rsidRDefault="00481FB1" w:rsidP="00DC06C4">
            <w:pPr>
              <w:pStyle w:val="TableCopy"/>
              <w:rPr>
                <w:rFonts w:eastAsia="Times New Roman"/>
                <w:sz w:val="20"/>
                <w:szCs w:val="20"/>
              </w:rPr>
            </w:pPr>
            <w:r w:rsidRPr="00DC06C4">
              <w:rPr>
                <w:sz w:val="20"/>
                <w:szCs w:val="20"/>
              </w:rPr>
              <w:t>704</w:t>
            </w:r>
          </w:p>
        </w:tc>
        <w:tc>
          <w:tcPr>
            <w:tcW w:w="1543" w:type="dxa"/>
            <w:noWrap/>
            <w:hideMark/>
          </w:tcPr>
          <w:p w14:paraId="3CC030B3" w14:textId="77777777" w:rsidR="00481FB1" w:rsidRPr="00DC06C4" w:rsidRDefault="00481FB1" w:rsidP="00DC06C4">
            <w:pPr>
              <w:pStyle w:val="TableCopy"/>
              <w:rPr>
                <w:rFonts w:eastAsia="Times New Roman"/>
                <w:sz w:val="20"/>
                <w:szCs w:val="20"/>
              </w:rPr>
            </w:pPr>
            <w:r w:rsidRPr="00DC06C4">
              <w:rPr>
                <w:sz w:val="20"/>
                <w:szCs w:val="20"/>
              </w:rPr>
              <w:t>650</w:t>
            </w:r>
          </w:p>
        </w:tc>
        <w:tc>
          <w:tcPr>
            <w:tcW w:w="1082" w:type="dxa"/>
            <w:noWrap/>
            <w:hideMark/>
          </w:tcPr>
          <w:p w14:paraId="34191680" w14:textId="77777777" w:rsidR="00481FB1" w:rsidRPr="00DC06C4" w:rsidRDefault="00481FB1" w:rsidP="00DC06C4">
            <w:pPr>
              <w:pStyle w:val="TableCopy"/>
              <w:rPr>
                <w:rFonts w:eastAsia="Times New Roman"/>
                <w:sz w:val="20"/>
                <w:szCs w:val="20"/>
              </w:rPr>
            </w:pPr>
            <w:r w:rsidRPr="00DC06C4">
              <w:rPr>
                <w:sz w:val="20"/>
                <w:szCs w:val="20"/>
              </w:rPr>
              <w:t>455</w:t>
            </w:r>
          </w:p>
        </w:tc>
        <w:tc>
          <w:tcPr>
            <w:tcW w:w="1053" w:type="dxa"/>
            <w:noWrap/>
            <w:hideMark/>
          </w:tcPr>
          <w:p w14:paraId="4180ED50" w14:textId="77777777" w:rsidR="00481FB1" w:rsidRPr="00DC06C4" w:rsidRDefault="00481FB1" w:rsidP="00DC06C4">
            <w:pPr>
              <w:pStyle w:val="TableCopy"/>
              <w:rPr>
                <w:rFonts w:eastAsia="Times New Roman"/>
                <w:sz w:val="20"/>
                <w:szCs w:val="20"/>
              </w:rPr>
            </w:pPr>
            <w:r w:rsidRPr="00DC06C4">
              <w:rPr>
                <w:sz w:val="20"/>
                <w:szCs w:val="20"/>
              </w:rPr>
              <w:t>614</w:t>
            </w:r>
          </w:p>
        </w:tc>
      </w:tr>
      <w:tr w:rsidR="00DC06C4" w:rsidRPr="00DC06C4" w14:paraId="7BC8B2DE" w14:textId="77777777" w:rsidTr="00C865B6">
        <w:tc>
          <w:tcPr>
            <w:tcW w:w="562" w:type="dxa"/>
            <w:noWrap/>
            <w:hideMark/>
          </w:tcPr>
          <w:p w14:paraId="13DB9AB4" w14:textId="77777777" w:rsidR="00481FB1" w:rsidRPr="00DC06C4" w:rsidRDefault="00481FB1" w:rsidP="00DC06C4">
            <w:pPr>
              <w:pStyle w:val="TableCopy"/>
              <w:rPr>
                <w:rFonts w:eastAsia="Times New Roman"/>
                <w:sz w:val="20"/>
                <w:szCs w:val="20"/>
              </w:rPr>
            </w:pPr>
            <w:r w:rsidRPr="00DC06C4">
              <w:rPr>
                <w:rFonts w:eastAsia="Times New Roman"/>
                <w:sz w:val="20"/>
                <w:szCs w:val="20"/>
              </w:rPr>
              <w:t>2008</w:t>
            </w:r>
          </w:p>
        </w:tc>
        <w:tc>
          <w:tcPr>
            <w:tcW w:w="1762" w:type="dxa"/>
            <w:noWrap/>
            <w:hideMark/>
          </w:tcPr>
          <w:p w14:paraId="6ACAAF93" w14:textId="77777777" w:rsidR="00481FB1" w:rsidRPr="00DC06C4" w:rsidRDefault="00481FB1" w:rsidP="00DC06C4">
            <w:pPr>
              <w:pStyle w:val="TableCopy"/>
              <w:rPr>
                <w:rFonts w:eastAsia="Times New Roman"/>
                <w:sz w:val="20"/>
                <w:szCs w:val="20"/>
              </w:rPr>
            </w:pPr>
            <w:r w:rsidRPr="00DC06C4">
              <w:rPr>
                <w:sz w:val="20"/>
                <w:szCs w:val="20"/>
              </w:rPr>
              <w:t>4288</w:t>
            </w:r>
          </w:p>
        </w:tc>
        <w:tc>
          <w:tcPr>
            <w:tcW w:w="1359" w:type="dxa"/>
            <w:noWrap/>
            <w:hideMark/>
          </w:tcPr>
          <w:p w14:paraId="7CBE7F7A" w14:textId="77777777" w:rsidR="00481FB1" w:rsidRPr="00DC06C4" w:rsidRDefault="00481FB1" w:rsidP="00DC06C4">
            <w:pPr>
              <w:pStyle w:val="TableCopy"/>
              <w:rPr>
                <w:rFonts w:eastAsia="Times New Roman"/>
                <w:sz w:val="20"/>
                <w:szCs w:val="20"/>
              </w:rPr>
            </w:pPr>
            <w:r w:rsidRPr="00DC06C4">
              <w:rPr>
                <w:sz w:val="20"/>
                <w:szCs w:val="20"/>
              </w:rPr>
              <w:t>1363</w:t>
            </w:r>
          </w:p>
        </w:tc>
        <w:tc>
          <w:tcPr>
            <w:tcW w:w="1171" w:type="dxa"/>
            <w:noWrap/>
            <w:hideMark/>
          </w:tcPr>
          <w:p w14:paraId="332D6CDF" w14:textId="77777777" w:rsidR="00481FB1" w:rsidRPr="00DC06C4" w:rsidRDefault="00481FB1" w:rsidP="00DC06C4">
            <w:pPr>
              <w:pStyle w:val="TableCopy"/>
              <w:rPr>
                <w:rFonts w:eastAsia="Times New Roman"/>
                <w:sz w:val="20"/>
                <w:szCs w:val="20"/>
              </w:rPr>
            </w:pPr>
            <w:r w:rsidRPr="00DC06C4">
              <w:rPr>
                <w:sz w:val="20"/>
                <w:szCs w:val="20"/>
              </w:rPr>
              <w:t>824</w:t>
            </w:r>
          </w:p>
        </w:tc>
        <w:tc>
          <w:tcPr>
            <w:tcW w:w="1260" w:type="dxa"/>
            <w:noWrap/>
            <w:hideMark/>
          </w:tcPr>
          <w:p w14:paraId="70B68319" w14:textId="77777777" w:rsidR="00481FB1" w:rsidRPr="00DC06C4" w:rsidRDefault="00481FB1" w:rsidP="00DC06C4">
            <w:pPr>
              <w:pStyle w:val="TableCopy"/>
              <w:rPr>
                <w:rFonts w:eastAsia="Times New Roman"/>
                <w:sz w:val="20"/>
                <w:szCs w:val="20"/>
              </w:rPr>
            </w:pPr>
            <w:r w:rsidRPr="00DC06C4">
              <w:rPr>
                <w:sz w:val="20"/>
                <w:szCs w:val="20"/>
              </w:rPr>
              <w:t>1331</w:t>
            </w:r>
          </w:p>
        </w:tc>
        <w:tc>
          <w:tcPr>
            <w:tcW w:w="1536" w:type="dxa"/>
            <w:noWrap/>
            <w:hideMark/>
          </w:tcPr>
          <w:p w14:paraId="24D038FD" w14:textId="77777777" w:rsidR="00481FB1" w:rsidRPr="00DC06C4" w:rsidRDefault="00481FB1" w:rsidP="00DC06C4">
            <w:pPr>
              <w:pStyle w:val="TableCopy"/>
              <w:rPr>
                <w:rFonts w:eastAsia="Times New Roman"/>
                <w:sz w:val="20"/>
                <w:szCs w:val="20"/>
              </w:rPr>
            </w:pPr>
            <w:r w:rsidRPr="00DC06C4">
              <w:rPr>
                <w:sz w:val="20"/>
                <w:szCs w:val="20"/>
              </w:rPr>
              <w:t>1603</w:t>
            </w:r>
          </w:p>
        </w:tc>
        <w:tc>
          <w:tcPr>
            <w:tcW w:w="1555" w:type="dxa"/>
            <w:noWrap/>
            <w:hideMark/>
          </w:tcPr>
          <w:p w14:paraId="632712C2" w14:textId="77777777" w:rsidR="00481FB1" w:rsidRPr="00DC06C4" w:rsidRDefault="00481FB1" w:rsidP="00DC06C4">
            <w:pPr>
              <w:pStyle w:val="TableCopy"/>
              <w:rPr>
                <w:rFonts w:eastAsia="Times New Roman"/>
                <w:sz w:val="20"/>
                <w:szCs w:val="20"/>
              </w:rPr>
            </w:pPr>
            <w:r w:rsidRPr="00DC06C4">
              <w:rPr>
                <w:sz w:val="20"/>
                <w:szCs w:val="20"/>
              </w:rPr>
              <w:t>972</w:t>
            </w:r>
          </w:p>
        </w:tc>
        <w:tc>
          <w:tcPr>
            <w:tcW w:w="1105" w:type="dxa"/>
            <w:noWrap/>
            <w:hideMark/>
          </w:tcPr>
          <w:p w14:paraId="6D0775F0" w14:textId="77777777" w:rsidR="00481FB1" w:rsidRPr="00DC06C4" w:rsidRDefault="00481FB1" w:rsidP="00DC06C4">
            <w:pPr>
              <w:pStyle w:val="TableCopy"/>
              <w:rPr>
                <w:rFonts w:eastAsia="Times New Roman"/>
                <w:sz w:val="20"/>
                <w:szCs w:val="20"/>
              </w:rPr>
            </w:pPr>
            <w:r w:rsidRPr="00DC06C4">
              <w:rPr>
                <w:sz w:val="20"/>
                <w:szCs w:val="20"/>
              </w:rPr>
              <w:t>675</w:t>
            </w:r>
          </w:p>
        </w:tc>
        <w:tc>
          <w:tcPr>
            <w:tcW w:w="1543" w:type="dxa"/>
            <w:noWrap/>
            <w:hideMark/>
          </w:tcPr>
          <w:p w14:paraId="524473BE" w14:textId="77777777" w:rsidR="00481FB1" w:rsidRPr="00DC06C4" w:rsidRDefault="00481FB1" w:rsidP="00DC06C4">
            <w:pPr>
              <w:pStyle w:val="TableCopy"/>
              <w:rPr>
                <w:rFonts w:eastAsia="Times New Roman"/>
                <w:sz w:val="20"/>
                <w:szCs w:val="20"/>
              </w:rPr>
            </w:pPr>
            <w:r w:rsidRPr="00DC06C4">
              <w:rPr>
                <w:sz w:val="20"/>
                <w:szCs w:val="20"/>
              </w:rPr>
              <w:t>627</w:t>
            </w:r>
          </w:p>
        </w:tc>
        <w:tc>
          <w:tcPr>
            <w:tcW w:w="1082" w:type="dxa"/>
            <w:noWrap/>
            <w:hideMark/>
          </w:tcPr>
          <w:p w14:paraId="27192E18" w14:textId="77777777" w:rsidR="00481FB1" w:rsidRPr="00DC06C4" w:rsidRDefault="00481FB1" w:rsidP="00DC06C4">
            <w:pPr>
              <w:pStyle w:val="TableCopy"/>
              <w:rPr>
                <w:rFonts w:eastAsia="Times New Roman"/>
                <w:sz w:val="20"/>
                <w:szCs w:val="20"/>
              </w:rPr>
            </w:pPr>
            <w:r w:rsidRPr="00DC06C4">
              <w:rPr>
                <w:sz w:val="20"/>
                <w:szCs w:val="20"/>
              </w:rPr>
              <w:t>467</w:t>
            </w:r>
          </w:p>
        </w:tc>
        <w:tc>
          <w:tcPr>
            <w:tcW w:w="1053" w:type="dxa"/>
            <w:noWrap/>
            <w:hideMark/>
          </w:tcPr>
          <w:p w14:paraId="0C0A220B" w14:textId="77777777" w:rsidR="00481FB1" w:rsidRPr="00DC06C4" w:rsidRDefault="00481FB1" w:rsidP="00DC06C4">
            <w:pPr>
              <w:pStyle w:val="TableCopy"/>
              <w:rPr>
                <w:rFonts w:eastAsia="Times New Roman"/>
                <w:sz w:val="20"/>
                <w:szCs w:val="20"/>
              </w:rPr>
            </w:pPr>
            <w:r w:rsidRPr="00DC06C4">
              <w:rPr>
                <w:sz w:val="20"/>
                <w:szCs w:val="20"/>
              </w:rPr>
              <w:t>635</w:t>
            </w:r>
          </w:p>
        </w:tc>
      </w:tr>
      <w:tr w:rsidR="00DC06C4" w:rsidRPr="00DC06C4" w14:paraId="522EC120" w14:textId="77777777" w:rsidTr="00C865B6">
        <w:tc>
          <w:tcPr>
            <w:tcW w:w="562" w:type="dxa"/>
            <w:noWrap/>
            <w:hideMark/>
          </w:tcPr>
          <w:p w14:paraId="5D82FBA9" w14:textId="77777777" w:rsidR="00481FB1" w:rsidRPr="00DC06C4" w:rsidRDefault="00481FB1" w:rsidP="00DC06C4">
            <w:pPr>
              <w:pStyle w:val="TableCopy"/>
              <w:rPr>
                <w:rFonts w:eastAsia="Times New Roman"/>
                <w:sz w:val="20"/>
                <w:szCs w:val="20"/>
              </w:rPr>
            </w:pPr>
            <w:r w:rsidRPr="00DC06C4">
              <w:rPr>
                <w:rFonts w:eastAsia="Times New Roman"/>
                <w:sz w:val="20"/>
                <w:szCs w:val="20"/>
              </w:rPr>
              <w:t>2009</w:t>
            </w:r>
          </w:p>
        </w:tc>
        <w:tc>
          <w:tcPr>
            <w:tcW w:w="1762" w:type="dxa"/>
            <w:noWrap/>
            <w:hideMark/>
          </w:tcPr>
          <w:p w14:paraId="04FD7CE8" w14:textId="77777777" w:rsidR="00481FB1" w:rsidRPr="00DC06C4" w:rsidRDefault="00481FB1" w:rsidP="00DC06C4">
            <w:pPr>
              <w:pStyle w:val="TableCopy"/>
              <w:rPr>
                <w:rFonts w:eastAsia="Times New Roman"/>
                <w:sz w:val="20"/>
                <w:szCs w:val="20"/>
              </w:rPr>
            </w:pPr>
            <w:r w:rsidRPr="00DC06C4">
              <w:rPr>
                <w:sz w:val="20"/>
                <w:szCs w:val="20"/>
              </w:rPr>
              <w:t>4800</w:t>
            </w:r>
          </w:p>
        </w:tc>
        <w:tc>
          <w:tcPr>
            <w:tcW w:w="1359" w:type="dxa"/>
            <w:noWrap/>
            <w:hideMark/>
          </w:tcPr>
          <w:p w14:paraId="0BAD8316" w14:textId="77777777" w:rsidR="00481FB1" w:rsidRPr="00DC06C4" w:rsidRDefault="00481FB1" w:rsidP="00DC06C4">
            <w:pPr>
              <w:pStyle w:val="TableCopy"/>
              <w:rPr>
                <w:rFonts w:eastAsia="Times New Roman"/>
                <w:sz w:val="20"/>
                <w:szCs w:val="20"/>
              </w:rPr>
            </w:pPr>
            <w:r w:rsidRPr="00DC06C4">
              <w:rPr>
                <w:sz w:val="20"/>
                <w:szCs w:val="20"/>
              </w:rPr>
              <w:t>1427</w:t>
            </w:r>
          </w:p>
        </w:tc>
        <w:tc>
          <w:tcPr>
            <w:tcW w:w="1171" w:type="dxa"/>
            <w:noWrap/>
            <w:hideMark/>
          </w:tcPr>
          <w:p w14:paraId="1A8A9C51" w14:textId="77777777" w:rsidR="00481FB1" w:rsidRPr="00DC06C4" w:rsidRDefault="00481FB1" w:rsidP="00DC06C4">
            <w:pPr>
              <w:pStyle w:val="TableCopy"/>
              <w:rPr>
                <w:rFonts w:eastAsia="Times New Roman"/>
                <w:sz w:val="20"/>
                <w:szCs w:val="20"/>
              </w:rPr>
            </w:pPr>
            <w:r w:rsidRPr="00DC06C4">
              <w:rPr>
                <w:sz w:val="20"/>
                <w:szCs w:val="20"/>
              </w:rPr>
              <w:t>843</w:t>
            </w:r>
          </w:p>
        </w:tc>
        <w:tc>
          <w:tcPr>
            <w:tcW w:w="1260" w:type="dxa"/>
            <w:noWrap/>
            <w:hideMark/>
          </w:tcPr>
          <w:p w14:paraId="529B812D" w14:textId="77777777" w:rsidR="00481FB1" w:rsidRPr="00DC06C4" w:rsidRDefault="00481FB1" w:rsidP="00DC06C4">
            <w:pPr>
              <w:pStyle w:val="TableCopy"/>
              <w:rPr>
                <w:rFonts w:eastAsia="Times New Roman"/>
                <w:sz w:val="20"/>
                <w:szCs w:val="20"/>
              </w:rPr>
            </w:pPr>
            <w:r w:rsidRPr="00DC06C4">
              <w:rPr>
                <w:sz w:val="20"/>
                <w:szCs w:val="20"/>
              </w:rPr>
              <w:t>1414</w:t>
            </w:r>
          </w:p>
        </w:tc>
        <w:tc>
          <w:tcPr>
            <w:tcW w:w="1536" w:type="dxa"/>
            <w:noWrap/>
            <w:hideMark/>
          </w:tcPr>
          <w:p w14:paraId="32B78C91" w14:textId="77777777" w:rsidR="00481FB1" w:rsidRPr="00DC06C4" w:rsidRDefault="00481FB1" w:rsidP="00DC06C4">
            <w:pPr>
              <w:pStyle w:val="TableCopy"/>
              <w:rPr>
                <w:rFonts w:eastAsia="Times New Roman"/>
                <w:sz w:val="20"/>
                <w:szCs w:val="20"/>
              </w:rPr>
            </w:pPr>
            <w:r w:rsidRPr="00DC06C4">
              <w:rPr>
                <w:sz w:val="20"/>
                <w:szCs w:val="20"/>
              </w:rPr>
              <w:t>1695</w:t>
            </w:r>
          </w:p>
        </w:tc>
        <w:tc>
          <w:tcPr>
            <w:tcW w:w="1555" w:type="dxa"/>
            <w:noWrap/>
            <w:hideMark/>
          </w:tcPr>
          <w:p w14:paraId="46985BC2" w14:textId="77777777" w:rsidR="00481FB1" w:rsidRPr="00DC06C4" w:rsidRDefault="00481FB1" w:rsidP="00DC06C4">
            <w:pPr>
              <w:pStyle w:val="TableCopy"/>
              <w:rPr>
                <w:rFonts w:eastAsia="Times New Roman"/>
                <w:sz w:val="20"/>
                <w:szCs w:val="20"/>
              </w:rPr>
            </w:pPr>
            <w:r w:rsidRPr="00DC06C4">
              <w:rPr>
                <w:sz w:val="20"/>
                <w:szCs w:val="20"/>
              </w:rPr>
              <w:t>873</w:t>
            </w:r>
          </w:p>
        </w:tc>
        <w:tc>
          <w:tcPr>
            <w:tcW w:w="1105" w:type="dxa"/>
            <w:noWrap/>
            <w:hideMark/>
          </w:tcPr>
          <w:p w14:paraId="5E050D72" w14:textId="77777777" w:rsidR="00481FB1" w:rsidRPr="00DC06C4" w:rsidRDefault="00481FB1" w:rsidP="00DC06C4">
            <w:pPr>
              <w:pStyle w:val="TableCopy"/>
              <w:rPr>
                <w:rFonts w:eastAsia="Times New Roman"/>
                <w:sz w:val="20"/>
                <w:szCs w:val="20"/>
              </w:rPr>
            </w:pPr>
            <w:r w:rsidRPr="00DC06C4">
              <w:rPr>
                <w:sz w:val="20"/>
                <w:szCs w:val="20"/>
              </w:rPr>
              <w:t>669</w:t>
            </w:r>
          </w:p>
        </w:tc>
        <w:tc>
          <w:tcPr>
            <w:tcW w:w="1543" w:type="dxa"/>
            <w:noWrap/>
            <w:hideMark/>
          </w:tcPr>
          <w:p w14:paraId="02E1C4CE" w14:textId="77777777" w:rsidR="00481FB1" w:rsidRPr="00DC06C4" w:rsidRDefault="00481FB1" w:rsidP="00DC06C4">
            <w:pPr>
              <w:pStyle w:val="TableCopy"/>
              <w:rPr>
                <w:rFonts w:eastAsia="Times New Roman"/>
                <w:sz w:val="20"/>
                <w:szCs w:val="20"/>
              </w:rPr>
            </w:pPr>
            <w:r w:rsidRPr="00DC06C4">
              <w:rPr>
                <w:sz w:val="20"/>
                <w:szCs w:val="20"/>
              </w:rPr>
              <w:t>616</w:t>
            </w:r>
          </w:p>
        </w:tc>
        <w:tc>
          <w:tcPr>
            <w:tcW w:w="1082" w:type="dxa"/>
            <w:noWrap/>
            <w:hideMark/>
          </w:tcPr>
          <w:p w14:paraId="2A47C603" w14:textId="77777777" w:rsidR="00481FB1" w:rsidRPr="00DC06C4" w:rsidRDefault="00481FB1" w:rsidP="00DC06C4">
            <w:pPr>
              <w:pStyle w:val="TableCopy"/>
              <w:rPr>
                <w:rFonts w:eastAsia="Times New Roman"/>
                <w:sz w:val="20"/>
                <w:szCs w:val="20"/>
              </w:rPr>
            </w:pPr>
            <w:r w:rsidRPr="00DC06C4">
              <w:rPr>
                <w:sz w:val="20"/>
                <w:szCs w:val="20"/>
              </w:rPr>
              <w:t>422</w:t>
            </w:r>
          </w:p>
        </w:tc>
        <w:tc>
          <w:tcPr>
            <w:tcW w:w="1053" w:type="dxa"/>
            <w:noWrap/>
            <w:hideMark/>
          </w:tcPr>
          <w:p w14:paraId="1E843D42" w14:textId="77777777" w:rsidR="00481FB1" w:rsidRPr="00DC06C4" w:rsidRDefault="00481FB1" w:rsidP="00DC06C4">
            <w:pPr>
              <w:pStyle w:val="TableCopy"/>
              <w:rPr>
                <w:rFonts w:eastAsia="Times New Roman"/>
                <w:sz w:val="20"/>
                <w:szCs w:val="20"/>
              </w:rPr>
            </w:pPr>
            <w:r w:rsidRPr="00DC06C4">
              <w:rPr>
                <w:sz w:val="20"/>
                <w:szCs w:val="20"/>
              </w:rPr>
              <w:t>606</w:t>
            </w:r>
          </w:p>
        </w:tc>
      </w:tr>
      <w:tr w:rsidR="00DC06C4" w:rsidRPr="00DC06C4" w14:paraId="7A10AF2C" w14:textId="77777777" w:rsidTr="00C865B6">
        <w:tc>
          <w:tcPr>
            <w:tcW w:w="562" w:type="dxa"/>
            <w:noWrap/>
            <w:hideMark/>
          </w:tcPr>
          <w:p w14:paraId="66B3D2A6" w14:textId="77777777" w:rsidR="00481FB1" w:rsidRPr="00DC06C4" w:rsidRDefault="00481FB1" w:rsidP="00DC06C4">
            <w:pPr>
              <w:pStyle w:val="TableCopy"/>
              <w:rPr>
                <w:rFonts w:eastAsia="Times New Roman"/>
                <w:sz w:val="20"/>
                <w:szCs w:val="20"/>
              </w:rPr>
            </w:pPr>
            <w:r w:rsidRPr="00DC06C4">
              <w:rPr>
                <w:rFonts w:eastAsia="Times New Roman"/>
                <w:sz w:val="20"/>
                <w:szCs w:val="20"/>
              </w:rPr>
              <w:t>2010</w:t>
            </w:r>
          </w:p>
        </w:tc>
        <w:tc>
          <w:tcPr>
            <w:tcW w:w="1762" w:type="dxa"/>
            <w:noWrap/>
            <w:hideMark/>
          </w:tcPr>
          <w:p w14:paraId="1BA504F8" w14:textId="77777777" w:rsidR="00481FB1" w:rsidRPr="00DC06C4" w:rsidRDefault="00481FB1" w:rsidP="00DC06C4">
            <w:pPr>
              <w:pStyle w:val="TableCopy"/>
              <w:rPr>
                <w:rFonts w:eastAsia="Times New Roman"/>
                <w:sz w:val="20"/>
                <w:szCs w:val="20"/>
              </w:rPr>
            </w:pPr>
            <w:r w:rsidRPr="00DC06C4">
              <w:rPr>
                <w:sz w:val="20"/>
                <w:szCs w:val="20"/>
              </w:rPr>
              <w:t>4043</w:t>
            </w:r>
          </w:p>
        </w:tc>
        <w:tc>
          <w:tcPr>
            <w:tcW w:w="1359" w:type="dxa"/>
            <w:noWrap/>
            <w:hideMark/>
          </w:tcPr>
          <w:p w14:paraId="24BC6FB1" w14:textId="77777777" w:rsidR="00481FB1" w:rsidRPr="00DC06C4" w:rsidRDefault="00481FB1" w:rsidP="00DC06C4">
            <w:pPr>
              <w:pStyle w:val="TableCopy"/>
              <w:rPr>
                <w:rFonts w:eastAsia="Times New Roman"/>
                <w:sz w:val="20"/>
                <w:szCs w:val="20"/>
              </w:rPr>
            </w:pPr>
            <w:r w:rsidRPr="00DC06C4">
              <w:rPr>
                <w:sz w:val="20"/>
                <w:szCs w:val="20"/>
              </w:rPr>
              <w:t>1519</w:t>
            </w:r>
          </w:p>
        </w:tc>
        <w:tc>
          <w:tcPr>
            <w:tcW w:w="1171" w:type="dxa"/>
            <w:noWrap/>
            <w:hideMark/>
          </w:tcPr>
          <w:p w14:paraId="6C15ABB8" w14:textId="77777777" w:rsidR="00481FB1" w:rsidRPr="00DC06C4" w:rsidRDefault="00481FB1" w:rsidP="00DC06C4">
            <w:pPr>
              <w:pStyle w:val="TableCopy"/>
              <w:rPr>
                <w:rFonts w:eastAsia="Times New Roman"/>
                <w:sz w:val="20"/>
                <w:szCs w:val="20"/>
              </w:rPr>
            </w:pPr>
            <w:r w:rsidRPr="00DC06C4">
              <w:rPr>
                <w:sz w:val="20"/>
                <w:szCs w:val="20"/>
              </w:rPr>
              <w:t>869</w:t>
            </w:r>
          </w:p>
        </w:tc>
        <w:tc>
          <w:tcPr>
            <w:tcW w:w="1260" w:type="dxa"/>
            <w:noWrap/>
            <w:hideMark/>
          </w:tcPr>
          <w:p w14:paraId="1669AA8E" w14:textId="77777777" w:rsidR="00481FB1" w:rsidRPr="00DC06C4" w:rsidRDefault="00481FB1" w:rsidP="00DC06C4">
            <w:pPr>
              <w:pStyle w:val="TableCopy"/>
              <w:rPr>
                <w:rFonts w:eastAsia="Times New Roman"/>
                <w:sz w:val="20"/>
                <w:szCs w:val="20"/>
              </w:rPr>
            </w:pPr>
            <w:r w:rsidRPr="00DC06C4">
              <w:rPr>
                <w:sz w:val="20"/>
                <w:szCs w:val="20"/>
              </w:rPr>
              <w:t>1537</w:t>
            </w:r>
          </w:p>
        </w:tc>
        <w:tc>
          <w:tcPr>
            <w:tcW w:w="1536" w:type="dxa"/>
            <w:noWrap/>
            <w:hideMark/>
          </w:tcPr>
          <w:p w14:paraId="6EC0D509" w14:textId="77777777" w:rsidR="00481FB1" w:rsidRPr="00DC06C4" w:rsidRDefault="00481FB1" w:rsidP="00DC06C4">
            <w:pPr>
              <w:pStyle w:val="TableCopy"/>
              <w:rPr>
                <w:rFonts w:eastAsia="Times New Roman"/>
                <w:sz w:val="20"/>
                <w:szCs w:val="20"/>
              </w:rPr>
            </w:pPr>
            <w:r w:rsidRPr="00DC06C4">
              <w:rPr>
                <w:sz w:val="20"/>
                <w:szCs w:val="20"/>
              </w:rPr>
              <w:t>1833</w:t>
            </w:r>
          </w:p>
        </w:tc>
        <w:tc>
          <w:tcPr>
            <w:tcW w:w="1555" w:type="dxa"/>
            <w:noWrap/>
            <w:hideMark/>
          </w:tcPr>
          <w:p w14:paraId="76B9B719" w14:textId="77777777" w:rsidR="00481FB1" w:rsidRPr="00DC06C4" w:rsidRDefault="00481FB1" w:rsidP="00DC06C4">
            <w:pPr>
              <w:pStyle w:val="TableCopy"/>
              <w:rPr>
                <w:rFonts w:eastAsia="Times New Roman"/>
                <w:sz w:val="20"/>
                <w:szCs w:val="20"/>
              </w:rPr>
            </w:pPr>
            <w:r w:rsidRPr="00DC06C4">
              <w:rPr>
                <w:sz w:val="20"/>
                <w:szCs w:val="20"/>
              </w:rPr>
              <w:t>905</w:t>
            </w:r>
          </w:p>
        </w:tc>
        <w:tc>
          <w:tcPr>
            <w:tcW w:w="1105" w:type="dxa"/>
            <w:noWrap/>
            <w:hideMark/>
          </w:tcPr>
          <w:p w14:paraId="4DB22B99" w14:textId="77777777" w:rsidR="00481FB1" w:rsidRPr="00DC06C4" w:rsidRDefault="00481FB1" w:rsidP="00DC06C4">
            <w:pPr>
              <w:pStyle w:val="TableCopy"/>
              <w:rPr>
                <w:rFonts w:eastAsia="Times New Roman"/>
                <w:sz w:val="20"/>
                <w:szCs w:val="20"/>
              </w:rPr>
            </w:pPr>
            <w:r w:rsidRPr="00DC06C4">
              <w:rPr>
                <w:sz w:val="20"/>
                <w:szCs w:val="20"/>
              </w:rPr>
              <w:t>677</w:t>
            </w:r>
          </w:p>
        </w:tc>
        <w:tc>
          <w:tcPr>
            <w:tcW w:w="1543" w:type="dxa"/>
            <w:noWrap/>
            <w:hideMark/>
          </w:tcPr>
          <w:p w14:paraId="473F6D9D" w14:textId="77777777" w:rsidR="00481FB1" w:rsidRPr="00DC06C4" w:rsidRDefault="00481FB1" w:rsidP="00DC06C4">
            <w:pPr>
              <w:pStyle w:val="TableCopy"/>
              <w:rPr>
                <w:rFonts w:eastAsia="Times New Roman"/>
                <w:sz w:val="20"/>
                <w:szCs w:val="20"/>
              </w:rPr>
            </w:pPr>
            <w:r w:rsidRPr="00DC06C4">
              <w:rPr>
                <w:sz w:val="20"/>
                <w:szCs w:val="20"/>
              </w:rPr>
              <w:t>627</w:t>
            </w:r>
          </w:p>
        </w:tc>
        <w:tc>
          <w:tcPr>
            <w:tcW w:w="1082" w:type="dxa"/>
            <w:noWrap/>
            <w:hideMark/>
          </w:tcPr>
          <w:p w14:paraId="675D027D" w14:textId="77777777" w:rsidR="00481FB1" w:rsidRPr="00DC06C4" w:rsidRDefault="00481FB1" w:rsidP="00DC06C4">
            <w:pPr>
              <w:pStyle w:val="TableCopy"/>
              <w:rPr>
                <w:rFonts w:eastAsia="Times New Roman"/>
                <w:sz w:val="20"/>
                <w:szCs w:val="20"/>
              </w:rPr>
            </w:pPr>
            <w:r w:rsidRPr="00DC06C4">
              <w:rPr>
                <w:sz w:val="20"/>
                <w:szCs w:val="20"/>
              </w:rPr>
              <w:t>417</w:t>
            </w:r>
          </w:p>
        </w:tc>
        <w:tc>
          <w:tcPr>
            <w:tcW w:w="1053" w:type="dxa"/>
            <w:noWrap/>
            <w:hideMark/>
          </w:tcPr>
          <w:p w14:paraId="7635692C" w14:textId="77777777" w:rsidR="00481FB1" w:rsidRPr="00DC06C4" w:rsidRDefault="00481FB1" w:rsidP="00DC06C4">
            <w:pPr>
              <w:pStyle w:val="TableCopy"/>
              <w:rPr>
                <w:rFonts w:eastAsia="Times New Roman"/>
                <w:sz w:val="20"/>
                <w:szCs w:val="20"/>
              </w:rPr>
            </w:pPr>
            <w:r w:rsidRPr="00DC06C4">
              <w:rPr>
                <w:sz w:val="20"/>
                <w:szCs w:val="20"/>
              </w:rPr>
              <w:t>581</w:t>
            </w:r>
          </w:p>
        </w:tc>
      </w:tr>
      <w:tr w:rsidR="00DC06C4" w:rsidRPr="00DC06C4" w14:paraId="2F02A496" w14:textId="77777777" w:rsidTr="00C865B6">
        <w:tc>
          <w:tcPr>
            <w:tcW w:w="562" w:type="dxa"/>
            <w:noWrap/>
            <w:hideMark/>
          </w:tcPr>
          <w:p w14:paraId="6D1D244A" w14:textId="77777777" w:rsidR="00481FB1" w:rsidRPr="00DC06C4" w:rsidRDefault="00481FB1" w:rsidP="00DC06C4">
            <w:pPr>
              <w:pStyle w:val="TableCopy"/>
              <w:rPr>
                <w:rFonts w:eastAsia="Times New Roman"/>
                <w:sz w:val="20"/>
                <w:szCs w:val="20"/>
              </w:rPr>
            </w:pPr>
            <w:r w:rsidRPr="00DC06C4">
              <w:rPr>
                <w:rFonts w:eastAsia="Times New Roman"/>
                <w:sz w:val="20"/>
                <w:szCs w:val="20"/>
              </w:rPr>
              <w:t>2011</w:t>
            </w:r>
          </w:p>
        </w:tc>
        <w:tc>
          <w:tcPr>
            <w:tcW w:w="1762" w:type="dxa"/>
            <w:noWrap/>
            <w:hideMark/>
          </w:tcPr>
          <w:p w14:paraId="12062E16" w14:textId="77777777" w:rsidR="00481FB1" w:rsidRPr="00DC06C4" w:rsidRDefault="00481FB1" w:rsidP="00DC06C4">
            <w:pPr>
              <w:pStyle w:val="TableCopy"/>
              <w:rPr>
                <w:rFonts w:eastAsia="Times New Roman"/>
                <w:sz w:val="20"/>
                <w:szCs w:val="20"/>
              </w:rPr>
            </w:pPr>
            <w:r w:rsidRPr="00DC06C4">
              <w:rPr>
                <w:sz w:val="20"/>
                <w:szCs w:val="20"/>
              </w:rPr>
              <w:t>3997</w:t>
            </w:r>
          </w:p>
        </w:tc>
        <w:tc>
          <w:tcPr>
            <w:tcW w:w="1359" w:type="dxa"/>
            <w:noWrap/>
            <w:hideMark/>
          </w:tcPr>
          <w:p w14:paraId="1222B792" w14:textId="77777777" w:rsidR="00481FB1" w:rsidRPr="00DC06C4" w:rsidRDefault="00481FB1" w:rsidP="00DC06C4">
            <w:pPr>
              <w:pStyle w:val="TableCopy"/>
              <w:rPr>
                <w:rFonts w:eastAsia="Times New Roman"/>
                <w:sz w:val="20"/>
                <w:szCs w:val="20"/>
              </w:rPr>
            </w:pPr>
            <w:r w:rsidRPr="00DC06C4">
              <w:rPr>
                <w:sz w:val="20"/>
                <w:szCs w:val="20"/>
              </w:rPr>
              <w:t>1666</w:t>
            </w:r>
          </w:p>
        </w:tc>
        <w:tc>
          <w:tcPr>
            <w:tcW w:w="1171" w:type="dxa"/>
            <w:noWrap/>
            <w:hideMark/>
          </w:tcPr>
          <w:p w14:paraId="58E90AA5" w14:textId="77777777" w:rsidR="00481FB1" w:rsidRPr="00DC06C4" w:rsidRDefault="00481FB1" w:rsidP="00DC06C4">
            <w:pPr>
              <w:pStyle w:val="TableCopy"/>
              <w:rPr>
                <w:rFonts w:eastAsia="Times New Roman"/>
                <w:sz w:val="20"/>
                <w:szCs w:val="20"/>
              </w:rPr>
            </w:pPr>
            <w:r w:rsidRPr="00DC06C4">
              <w:rPr>
                <w:sz w:val="20"/>
                <w:szCs w:val="20"/>
              </w:rPr>
              <w:t>909</w:t>
            </w:r>
          </w:p>
        </w:tc>
        <w:tc>
          <w:tcPr>
            <w:tcW w:w="1260" w:type="dxa"/>
            <w:noWrap/>
            <w:hideMark/>
          </w:tcPr>
          <w:p w14:paraId="7F4A3507" w14:textId="77777777" w:rsidR="00481FB1" w:rsidRPr="00DC06C4" w:rsidRDefault="00481FB1" w:rsidP="00DC06C4">
            <w:pPr>
              <w:pStyle w:val="TableCopy"/>
              <w:rPr>
                <w:rFonts w:eastAsia="Times New Roman"/>
                <w:sz w:val="20"/>
                <w:szCs w:val="20"/>
              </w:rPr>
            </w:pPr>
            <w:r w:rsidRPr="00DC06C4">
              <w:rPr>
                <w:sz w:val="20"/>
                <w:szCs w:val="20"/>
              </w:rPr>
              <w:t>1657</w:t>
            </w:r>
          </w:p>
        </w:tc>
        <w:tc>
          <w:tcPr>
            <w:tcW w:w="1536" w:type="dxa"/>
            <w:noWrap/>
            <w:hideMark/>
          </w:tcPr>
          <w:p w14:paraId="5CE14C9F" w14:textId="77777777" w:rsidR="00481FB1" w:rsidRPr="00DC06C4" w:rsidRDefault="00481FB1" w:rsidP="00DC06C4">
            <w:pPr>
              <w:pStyle w:val="TableCopy"/>
              <w:rPr>
                <w:rFonts w:eastAsia="Times New Roman"/>
                <w:sz w:val="20"/>
                <w:szCs w:val="20"/>
              </w:rPr>
            </w:pPr>
            <w:r w:rsidRPr="00DC06C4">
              <w:rPr>
                <w:sz w:val="20"/>
                <w:szCs w:val="20"/>
              </w:rPr>
              <w:t>1660</w:t>
            </w:r>
          </w:p>
        </w:tc>
        <w:tc>
          <w:tcPr>
            <w:tcW w:w="1555" w:type="dxa"/>
            <w:noWrap/>
            <w:hideMark/>
          </w:tcPr>
          <w:p w14:paraId="4A454C00" w14:textId="77777777" w:rsidR="00481FB1" w:rsidRPr="00DC06C4" w:rsidRDefault="00481FB1" w:rsidP="00DC06C4">
            <w:pPr>
              <w:pStyle w:val="TableCopy"/>
              <w:rPr>
                <w:rFonts w:eastAsia="Times New Roman"/>
                <w:sz w:val="20"/>
                <w:szCs w:val="20"/>
              </w:rPr>
            </w:pPr>
            <w:r w:rsidRPr="00DC06C4">
              <w:rPr>
                <w:sz w:val="20"/>
                <w:szCs w:val="20"/>
              </w:rPr>
              <w:t>963</w:t>
            </w:r>
          </w:p>
        </w:tc>
        <w:tc>
          <w:tcPr>
            <w:tcW w:w="1105" w:type="dxa"/>
            <w:noWrap/>
            <w:hideMark/>
          </w:tcPr>
          <w:p w14:paraId="5F81667A" w14:textId="77777777" w:rsidR="00481FB1" w:rsidRPr="00DC06C4" w:rsidRDefault="00481FB1" w:rsidP="00DC06C4">
            <w:pPr>
              <w:pStyle w:val="TableCopy"/>
              <w:rPr>
                <w:rFonts w:eastAsia="Times New Roman"/>
                <w:sz w:val="20"/>
                <w:szCs w:val="20"/>
              </w:rPr>
            </w:pPr>
            <w:r w:rsidRPr="00DC06C4">
              <w:rPr>
                <w:sz w:val="20"/>
                <w:szCs w:val="20"/>
              </w:rPr>
              <w:t>725</w:t>
            </w:r>
          </w:p>
        </w:tc>
        <w:tc>
          <w:tcPr>
            <w:tcW w:w="1543" w:type="dxa"/>
            <w:noWrap/>
            <w:hideMark/>
          </w:tcPr>
          <w:p w14:paraId="0245454B" w14:textId="77777777" w:rsidR="00481FB1" w:rsidRPr="00DC06C4" w:rsidRDefault="00481FB1" w:rsidP="00DC06C4">
            <w:pPr>
              <w:pStyle w:val="TableCopy"/>
              <w:rPr>
                <w:rFonts w:eastAsia="Times New Roman"/>
                <w:sz w:val="20"/>
                <w:szCs w:val="20"/>
              </w:rPr>
            </w:pPr>
            <w:r w:rsidRPr="00DC06C4">
              <w:rPr>
                <w:sz w:val="20"/>
                <w:szCs w:val="20"/>
              </w:rPr>
              <w:t>644</w:t>
            </w:r>
          </w:p>
        </w:tc>
        <w:tc>
          <w:tcPr>
            <w:tcW w:w="1082" w:type="dxa"/>
            <w:noWrap/>
            <w:hideMark/>
          </w:tcPr>
          <w:p w14:paraId="36800219" w14:textId="77777777" w:rsidR="00481FB1" w:rsidRPr="00DC06C4" w:rsidRDefault="00481FB1" w:rsidP="00DC06C4">
            <w:pPr>
              <w:pStyle w:val="TableCopy"/>
              <w:rPr>
                <w:rFonts w:eastAsia="Times New Roman"/>
                <w:sz w:val="20"/>
                <w:szCs w:val="20"/>
              </w:rPr>
            </w:pPr>
            <w:r w:rsidRPr="00DC06C4">
              <w:rPr>
                <w:sz w:val="20"/>
                <w:szCs w:val="20"/>
              </w:rPr>
              <w:t>450</w:t>
            </w:r>
          </w:p>
        </w:tc>
        <w:tc>
          <w:tcPr>
            <w:tcW w:w="1053" w:type="dxa"/>
            <w:noWrap/>
            <w:hideMark/>
          </w:tcPr>
          <w:p w14:paraId="67DD473C" w14:textId="77777777" w:rsidR="00481FB1" w:rsidRPr="00DC06C4" w:rsidRDefault="00481FB1" w:rsidP="00DC06C4">
            <w:pPr>
              <w:pStyle w:val="TableCopy"/>
              <w:rPr>
                <w:rFonts w:eastAsia="Times New Roman"/>
                <w:sz w:val="20"/>
                <w:szCs w:val="20"/>
              </w:rPr>
            </w:pPr>
            <w:r w:rsidRPr="00DC06C4">
              <w:rPr>
                <w:sz w:val="20"/>
                <w:szCs w:val="20"/>
              </w:rPr>
              <w:t>609</w:t>
            </w:r>
          </w:p>
        </w:tc>
      </w:tr>
      <w:tr w:rsidR="00DC06C4" w:rsidRPr="00DC06C4" w14:paraId="7D61EC00" w14:textId="77777777" w:rsidTr="00C865B6">
        <w:tc>
          <w:tcPr>
            <w:tcW w:w="562" w:type="dxa"/>
            <w:noWrap/>
            <w:hideMark/>
          </w:tcPr>
          <w:p w14:paraId="1370D587" w14:textId="77777777" w:rsidR="00481FB1" w:rsidRPr="00DC06C4" w:rsidRDefault="00481FB1" w:rsidP="00DC06C4">
            <w:pPr>
              <w:pStyle w:val="TableCopy"/>
              <w:rPr>
                <w:rFonts w:eastAsia="Times New Roman"/>
                <w:sz w:val="20"/>
                <w:szCs w:val="20"/>
              </w:rPr>
            </w:pPr>
            <w:r w:rsidRPr="00DC06C4">
              <w:rPr>
                <w:rFonts w:eastAsia="Times New Roman"/>
                <w:sz w:val="20"/>
                <w:szCs w:val="20"/>
              </w:rPr>
              <w:t>2012</w:t>
            </w:r>
          </w:p>
        </w:tc>
        <w:tc>
          <w:tcPr>
            <w:tcW w:w="1762" w:type="dxa"/>
            <w:noWrap/>
            <w:hideMark/>
          </w:tcPr>
          <w:p w14:paraId="6ABC5702" w14:textId="77777777" w:rsidR="00481FB1" w:rsidRPr="00DC06C4" w:rsidRDefault="00481FB1" w:rsidP="00DC06C4">
            <w:pPr>
              <w:pStyle w:val="TableCopy"/>
              <w:rPr>
                <w:rFonts w:eastAsia="Times New Roman"/>
                <w:sz w:val="20"/>
                <w:szCs w:val="20"/>
              </w:rPr>
            </w:pPr>
            <w:r w:rsidRPr="00DC06C4">
              <w:rPr>
                <w:sz w:val="20"/>
                <w:szCs w:val="20"/>
              </w:rPr>
              <w:t>4389</w:t>
            </w:r>
          </w:p>
        </w:tc>
        <w:tc>
          <w:tcPr>
            <w:tcW w:w="1359" w:type="dxa"/>
            <w:noWrap/>
            <w:hideMark/>
          </w:tcPr>
          <w:p w14:paraId="5662E60E" w14:textId="77777777" w:rsidR="00481FB1" w:rsidRPr="00DC06C4" w:rsidRDefault="00481FB1" w:rsidP="00DC06C4">
            <w:pPr>
              <w:pStyle w:val="TableCopy"/>
              <w:rPr>
                <w:rFonts w:eastAsia="Times New Roman"/>
                <w:sz w:val="20"/>
                <w:szCs w:val="20"/>
              </w:rPr>
            </w:pPr>
            <w:r w:rsidRPr="00DC06C4">
              <w:rPr>
                <w:sz w:val="20"/>
                <w:szCs w:val="20"/>
              </w:rPr>
              <w:t>1626</w:t>
            </w:r>
          </w:p>
        </w:tc>
        <w:tc>
          <w:tcPr>
            <w:tcW w:w="1171" w:type="dxa"/>
            <w:noWrap/>
            <w:hideMark/>
          </w:tcPr>
          <w:p w14:paraId="2B208A5E" w14:textId="77777777" w:rsidR="00481FB1" w:rsidRPr="00DC06C4" w:rsidRDefault="00481FB1" w:rsidP="00DC06C4">
            <w:pPr>
              <w:pStyle w:val="TableCopy"/>
              <w:rPr>
                <w:rFonts w:eastAsia="Times New Roman"/>
                <w:sz w:val="20"/>
                <w:szCs w:val="20"/>
              </w:rPr>
            </w:pPr>
            <w:r w:rsidRPr="00DC06C4">
              <w:rPr>
                <w:sz w:val="20"/>
                <w:szCs w:val="20"/>
              </w:rPr>
              <w:t>941</w:t>
            </w:r>
          </w:p>
        </w:tc>
        <w:tc>
          <w:tcPr>
            <w:tcW w:w="1260" w:type="dxa"/>
            <w:noWrap/>
            <w:hideMark/>
          </w:tcPr>
          <w:p w14:paraId="1A69057A" w14:textId="77777777" w:rsidR="00481FB1" w:rsidRPr="00DC06C4" w:rsidRDefault="00481FB1" w:rsidP="00DC06C4">
            <w:pPr>
              <w:pStyle w:val="TableCopy"/>
              <w:rPr>
                <w:rFonts w:eastAsia="Times New Roman"/>
                <w:sz w:val="20"/>
                <w:szCs w:val="20"/>
              </w:rPr>
            </w:pPr>
            <w:r w:rsidRPr="00DC06C4">
              <w:rPr>
                <w:sz w:val="20"/>
                <w:szCs w:val="20"/>
              </w:rPr>
              <w:t>1427</w:t>
            </w:r>
          </w:p>
        </w:tc>
        <w:tc>
          <w:tcPr>
            <w:tcW w:w="1536" w:type="dxa"/>
            <w:noWrap/>
            <w:hideMark/>
          </w:tcPr>
          <w:p w14:paraId="4A03DE2E" w14:textId="77777777" w:rsidR="00481FB1" w:rsidRPr="00DC06C4" w:rsidRDefault="00481FB1" w:rsidP="00DC06C4">
            <w:pPr>
              <w:pStyle w:val="TableCopy"/>
              <w:rPr>
                <w:rFonts w:eastAsia="Times New Roman"/>
                <w:sz w:val="20"/>
                <w:szCs w:val="20"/>
              </w:rPr>
            </w:pPr>
            <w:r w:rsidRPr="00DC06C4">
              <w:rPr>
                <w:sz w:val="20"/>
                <w:szCs w:val="20"/>
              </w:rPr>
              <w:t>1451</w:t>
            </w:r>
          </w:p>
        </w:tc>
        <w:tc>
          <w:tcPr>
            <w:tcW w:w="1555" w:type="dxa"/>
            <w:noWrap/>
            <w:hideMark/>
          </w:tcPr>
          <w:p w14:paraId="116F61C8" w14:textId="77777777" w:rsidR="00481FB1" w:rsidRPr="00DC06C4" w:rsidRDefault="00481FB1" w:rsidP="00DC06C4">
            <w:pPr>
              <w:pStyle w:val="TableCopy"/>
              <w:rPr>
                <w:rFonts w:eastAsia="Times New Roman"/>
                <w:sz w:val="20"/>
                <w:szCs w:val="20"/>
              </w:rPr>
            </w:pPr>
            <w:r w:rsidRPr="00DC06C4">
              <w:rPr>
                <w:sz w:val="20"/>
                <w:szCs w:val="20"/>
              </w:rPr>
              <w:t>859</w:t>
            </w:r>
          </w:p>
        </w:tc>
        <w:tc>
          <w:tcPr>
            <w:tcW w:w="1105" w:type="dxa"/>
            <w:noWrap/>
            <w:hideMark/>
          </w:tcPr>
          <w:p w14:paraId="7906EBAD" w14:textId="77777777" w:rsidR="00481FB1" w:rsidRPr="00DC06C4" w:rsidRDefault="00481FB1" w:rsidP="00DC06C4">
            <w:pPr>
              <w:pStyle w:val="TableCopy"/>
              <w:rPr>
                <w:rFonts w:eastAsia="Times New Roman"/>
                <w:sz w:val="20"/>
                <w:szCs w:val="20"/>
              </w:rPr>
            </w:pPr>
            <w:r w:rsidRPr="00DC06C4">
              <w:rPr>
                <w:sz w:val="20"/>
                <w:szCs w:val="20"/>
              </w:rPr>
              <w:t>740</w:t>
            </w:r>
          </w:p>
        </w:tc>
        <w:tc>
          <w:tcPr>
            <w:tcW w:w="1543" w:type="dxa"/>
            <w:noWrap/>
            <w:hideMark/>
          </w:tcPr>
          <w:p w14:paraId="198C4AA1" w14:textId="77777777" w:rsidR="00481FB1" w:rsidRPr="00DC06C4" w:rsidRDefault="00481FB1" w:rsidP="00DC06C4">
            <w:pPr>
              <w:pStyle w:val="TableCopy"/>
              <w:rPr>
                <w:rFonts w:eastAsia="Times New Roman"/>
                <w:sz w:val="20"/>
                <w:szCs w:val="20"/>
              </w:rPr>
            </w:pPr>
            <w:r w:rsidRPr="00DC06C4">
              <w:rPr>
                <w:sz w:val="20"/>
                <w:szCs w:val="20"/>
              </w:rPr>
              <w:t>687</w:t>
            </w:r>
          </w:p>
        </w:tc>
        <w:tc>
          <w:tcPr>
            <w:tcW w:w="1082" w:type="dxa"/>
            <w:noWrap/>
            <w:hideMark/>
          </w:tcPr>
          <w:p w14:paraId="3617C2DA" w14:textId="77777777" w:rsidR="00481FB1" w:rsidRPr="00DC06C4" w:rsidRDefault="00481FB1" w:rsidP="00DC06C4">
            <w:pPr>
              <w:pStyle w:val="TableCopy"/>
              <w:rPr>
                <w:rFonts w:eastAsia="Times New Roman"/>
                <w:sz w:val="20"/>
                <w:szCs w:val="20"/>
              </w:rPr>
            </w:pPr>
            <w:r w:rsidRPr="00DC06C4">
              <w:rPr>
                <w:sz w:val="20"/>
                <w:szCs w:val="20"/>
              </w:rPr>
              <w:t>452</w:t>
            </w:r>
          </w:p>
        </w:tc>
        <w:tc>
          <w:tcPr>
            <w:tcW w:w="1053" w:type="dxa"/>
            <w:noWrap/>
            <w:hideMark/>
          </w:tcPr>
          <w:p w14:paraId="489B0028" w14:textId="77777777" w:rsidR="00481FB1" w:rsidRPr="00DC06C4" w:rsidRDefault="00481FB1" w:rsidP="00DC06C4">
            <w:pPr>
              <w:pStyle w:val="TableCopy"/>
              <w:rPr>
                <w:rFonts w:eastAsia="Times New Roman"/>
                <w:sz w:val="20"/>
                <w:szCs w:val="20"/>
              </w:rPr>
            </w:pPr>
            <w:r w:rsidRPr="00DC06C4">
              <w:rPr>
                <w:sz w:val="20"/>
                <w:szCs w:val="20"/>
              </w:rPr>
              <w:t>611</w:t>
            </w:r>
          </w:p>
        </w:tc>
      </w:tr>
      <w:tr w:rsidR="00DC06C4" w:rsidRPr="00DC06C4" w14:paraId="6A6A046F" w14:textId="77777777" w:rsidTr="00C865B6">
        <w:tc>
          <w:tcPr>
            <w:tcW w:w="562" w:type="dxa"/>
            <w:noWrap/>
            <w:hideMark/>
          </w:tcPr>
          <w:p w14:paraId="30A7A44D" w14:textId="77777777" w:rsidR="00481FB1" w:rsidRPr="00DC06C4" w:rsidRDefault="00481FB1" w:rsidP="00DC06C4">
            <w:pPr>
              <w:pStyle w:val="TableCopy"/>
              <w:rPr>
                <w:rFonts w:eastAsia="Times New Roman"/>
                <w:sz w:val="20"/>
                <w:szCs w:val="20"/>
              </w:rPr>
            </w:pPr>
            <w:r w:rsidRPr="00DC06C4">
              <w:rPr>
                <w:rFonts w:eastAsia="Times New Roman"/>
                <w:sz w:val="20"/>
                <w:szCs w:val="20"/>
              </w:rPr>
              <w:t>2013</w:t>
            </w:r>
          </w:p>
        </w:tc>
        <w:tc>
          <w:tcPr>
            <w:tcW w:w="1762" w:type="dxa"/>
            <w:noWrap/>
            <w:hideMark/>
          </w:tcPr>
          <w:p w14:paraId="2A56F1D2" w14:textId="77777777" w:rsidR="00481FB1" w:rsidRPr="00DC06C4" w:rsidRDefault="00481FB1" w:rsidP="00DC06C4">
            <w:pPr>
              <w:pStyle w:val="TableCopy"/>
              <w:rPr>
                <w:rFonts w:eastAsia="Times New Roman"/>
                <w:sz w:val="20"/>
                <w:szCs w:val="20"/>
              </w:rPr>
            </w:pPr>
            <w:r w:rsidRPr="00DC06C4">
              <w:rPr>
                <w:sz w:val="20"/>
                <w:szCs w:val="20"/>
              </w:rPr>
              <w:t>3837</w:t>
            </w:r>
          </w:p>
        </w:tc>
        <w:tc>
          <w:tcPr>
            <w:tcW w:w="1359" w:type="dxa"/>
            <w:noWrap/>
            <w:hideMark/>
          </w:tcPr>
          <w:p w14:paraId="6487C294" w14:textId="77777777" w:rsidR="00481FB1" w:rsidRPr="00DC06C4" w:rsidRDefault="00481FB1" w:rsidP="00DC06C4">
            <w:pPr>
              <w:pStyle w:val="TableCopy"/>
              <w:rPr>
                <w:rFonts w:eastAsia="Times New Roman"/>
                <w:sz w:val="20"/>
                <w:szCs w:val="20"/>
              </w:rPr>
            </w:pPr>
            <w:r w:rsidRPr="00DC06C4">
              <w:rPr>
                <w:sz w:val="20"/>
                <w:szCs w:val="20"/>
              </w:rPr>
              <w:t>1309</w:t>
            </w:r>
          </w:p>
        </w:tc>
        <w:tc>
          <w:tcPr>
            <w:tcW w:w="1171" w:type="dxa"/>
            <w:noWrap/>
            <w:hideMark/>
          </w:tcPr>
          <w:p w14:paraId="474097EF" w14:textId="77777777" w:rsidR="00481FB1" w:rsidRPr="00DC06C4" w:rsidRDefault="00481FB1" w:rsidP="00DC06C4">
            <w:pPr>
              <w:pStyle w:val="TableCopy"/>
              <w:rPr>
                <w:rFonts w:eastAsia="Times New Roman"/>
                <w:sz w:val="20"/>
                <w:szCs w:val="20"/>
              </w:rPr>
            </w:pPr>
            <w:r w:rsidRPr="00DC06C4">
              <w:rPr>
                <w:sz w:val="20"/>
                <w:szCs w:val="20"/>
              </w:rPr>
              <w:t>942</w:t>
            </w:r>
          </w:p>
        </w:tc>
        <w:tc>
          <w:tcPr>
            <w:tcW w:w="1260" w:type="dxa"/>
            <w:noWrap/>
            <w:hideMark/>
          </w:tcPr>
          <w:p w14:paraId="14118272" w14:textId="77777777" w:rsidR="00481FB1" w:rsidRPr="00DC06C4" w:rsidRDefault="00481FB1" w:rsidP="00DC06C4">
            <w:pPr>
              <w:pStyle w:val="TableCopy"/>
              <w:rPr>
                <w:rFonts w:eastAsia="Times New Roman"/>
                <w:sz w:val="20"/>
                <w:szCs w:val="20"/>
              </w:rPr>
            </w:pPr>
            <w:r w:rsidRPr="00DC06C4">
              <w:rPr>
                <w:sz w:val="20"/>
                <w:szCs w:val="20"/>
              </w:rPr>
              <w:t>1555</w:t>
            </w:r>
          </w:p>
        </w:tc>
        <w:tc>
          <w:tcPr>
            <w:tcW w:w="1536" w:type="dxa"/>
            <w:noWrap/>
            <w:hideMark/>
          </w:tcPr>
          <w:p w14:paraId="7EC601FD" w14:textId="77777777" w:rsidR="00481FB1" w:rsidRPr="00DC06C4" w:rsidRDefault="00481FB1" w:rsidP="00DC06C4">
            <w:pPr>
              <w:pStyle w:val="TableCopy"/>
              <w:rPr>
                <w:rFonts w:eastAsia="Times New Roman"/>
                <w:sz w:val="20"/>
                <w:szCs w:val="20"/>
              </w:rPr>
            </w:pPr>
            <w:r w:rsidRPr="00DC06C4">
              <w:rPr>
                <w:sz w:val="20"/>
                <w:szCs w:val="20"/>
              </w:rPr>
              <w:t>1298</w:t>
            </w:r>
          </w:p>
        </w:tc>
        <w:tc>
          <w:tcPr>
            <w:tcW w:w="1555" w:type="dxa"/>
            <w:noWrap/>
            <w:hideMark/>
          </w:tcPr>
          <w:p w14:paraId="0D47380E" w14:textId="77777777" w:rsidR="00481FB1" w:rsidRPr="00DC06C4" w:rsidRDefault="00481FB1" w:rsidP="00DC06C4">
            <w:pPr>
              <w:pStyle w:val="TableCopy"/>
              <w:rPr>
                <w:rFonts w:eastAsia="Times New Roman"/>
                <w:sz w:val="20"/>
                <w:szCs w:val="20"/>
              </w:rPr>
            </w:pPr>
            <w:r w:rsidRPr="00DC06C4">
              <w:rPr>
                <w:sz w:val="20"/>
                <w:szCs w:val="20"/>
              </w:rPr>
              <w:t>807</w:t>
            </w:r>
          </w:p>
        </w:tc>
        <w:tc>
          <w:tcPr>
            <w:tcW w:w="1105" w:type="dxa"/>
            <w:noWrap/>
            <w:hideMark/>
          </w:tcPr>
          <w:p w14:paraId="003E2F5B" w14:textId="77777777" w:rsidR="00481FB1" w:rsidRPr="00DC06C4" w:rsidRDefault="00481FB1" w:rsidP="00DC06C4">
            <w:pPr>
              <w:pStyle w:val="TableCopy"/>
              <w:rPr>
                <w:rFonts w:eastAsia="Times New Roman"/>
                <w:sz w:val="20"/>
                <w:szCs w:val="20"/>
              </w:rPr>
            </w:pPr>
            <w:r w:rsidRPr="00DC06C4">
              <w:rPr>
                <w:sz w:val="20"/>
                <w:szCs w:val="20"/>
              </w:rPr>
              <w:t>714</w:t>
            </w:r>
          </w:p>
        </w:tc>
        <w:tc>
          <w:tcPr>
            <w:tcW w:w="1543" w:type="dxa"/>
            <w:noWrap/>
            <w:hideMark/>
          </w:tcPr>
          <w:p w14:paraId="6CAB675C" w14:textId="77777777" w:rsidR="00481FB1" w:rsidRPr="00DC06C4" w:rsidRDefault="00481FB1" w:rsidP="00DC06C4">
            <w:pPr>
              <w:pStyle w:val="TableCopy"/>
              <w:rPr>
                <w:rFonts w:eastAsia="Times New Roman"/>
                <w:sz w:val="20"/>
                <w:szCs w:val="20"/>
              </w:rPr>
            </w:pPr>
            <w:r w:rsidRPr="00DC06C4">
              <w:rPr>
                <w:sz w:val="20"/>
                <w:szCs w:val="20"/>
              </w:rPr>
              <w:t>692</w:t>
            </w:r>
          </w:p>
        </w:tc>
        <w:tc>
          <w:tcPr>
            <w:tcW w:w="1082" w:type="dxa"/>
            <w:noWrap/>
            <w:hideMark/>
          </w:tcPr>
          <w:p w14:paraId="06A92232" w14:textId="77777777" w:rsidR="00481FB1" w:rsidRPr="00DC06C4" w:rsidRDefault="00481FB1" w:rsidP="00DC06C4">
            <w:pPr>
              <w:pStyle w:val="TableCopy"/>
              <w:rPr>
                <w:rFonts w:eastAsia="Times New Roman"/>
                <w:sz w:val="20"/>
                <w:szCs w:val="20"/>
              </w:rPr>
            </w:pPr>
            <w:r w:rsidRPr="00DC06C4">
              <w:rPr>
                <w:sz w:val="20"/>
                <w:szCs w:val="20"/>
              </w:rPr>
              <w:t>433</w:t>
            </w:r>
          </w:p>
        </w:tc>
        <w:tc>
          <w:tcPr>
            <w:tcW w:w="1053" w:type="dxa"/>
            <w:noWrap/>
            <w:hideMark/>
          </w:tcPr>
          <w:p w14:paraId="21919E13" w14:textId="77777777" w:rsidR="00481FB1" w:rsidRPr="00DC06C4" w:rsidRDefault="00481FB1" w:rsidP="00DC06C4">
            <w:pPr>
              <w:pStyle w:val="TableCopy"/>
              <w:rPr>
                <w:rFonts w:eastAsia="Times New Roman"/>
                <w:sz w:val="20"/>
                <w:szCs w:val="20"/>
              </w:rPr>
            </w:pPr>
            <w:r w:rsidRPr="00DC06C4">
              <w:rPr>
                <w:sz w:val="20"/>
                <w:szCs w:val="20"/>
              </w:rPr>
              <w:t>617</w:t>
            </w:r>
          </w:p>
        </w:tc>
      </w:tr>
      <w:tr w:rsidR="00DC06C4" w:rsidRPr="00DC06C4" w14:paraId="33004ADF" w14:textId="77777777" w:rsidTr="00C865B6">
        <w:tc>
          <w:tcPr>
            <w:tcW w:w="562" w:type="dxa"/>
            <w:noWrap/>
            <w:hideMark/>
          </w:tcPr>
          <w:p w14:paraId="003905BF" w14:textId="77777777" w:rsidR="00481FB1" w:rsidRPr="00DC06C4" w:rsidRDefault="00481FB1" w:rsidP="00DC06C4">
            <w:pPr>
              <w:pStyle w:val="TableCopy"/>
              <w:rPr>
                <w:rFonts w:eastAsia="Times New Roman"/>
                <w:sz w:val="20"/>
                <w:szCs w:val="20"/>
              </w:rPr>
            </w:pPr>
            <w:r w:rsidRPr="00DC06C4">
              <w:rPr>
                <w:rFonts w:eastAsia="Times New Roman"/>
                <w:sz w:val="20"/>
                <w:szCs w:val="20"/>
              </w:rPr>
              <w:t>2014</w:t>
            </w:r>
          </w:p>
        </w:tc>
        <w:tc>
          <w:tcPr>
            <w:tcW w:w="1762" w:type="dxa"/>
            <w:noWrap/>
            <w:hideMark/>
          </w:tcPr>
          <w:p w14:paraId="269E27B0" w14:textId="77777777" w:rsidR="00481FB1" w:rsidRPr="00DC06C4" w:rsidRDefault="00481FB1" w:rsidP="00DC06C4">
            <w:pPr>
              <w:pStyle w:val="TableCopy"/>
              <w:rPr>
                <w:rFonts w:eastAsia="Times New Roman"/>
                <w:sz w:val="20"/>
                <w:szCs w:val="20"/>
              </w:rPr>
            </w:pPr>
            <w:r w:rsidRPr="00DC06C4">
              <w:rPr>
                <w:sz w:val="20"/>
                <w:szCs w:val="20"/>
              </w:rPr>
              <w:t>3187</w:t>
            </w:r>
          </w:p>
        </w:tc>
        <w:tc>
          <w:tcPr>
            <w:tcW w:w="1359" w:type="dxa"/>
            <w:noWrap/>
            <w:hideMark/>
          </w:tcPr>
          <w:p w14:paraId="1C65405E" w14:textId="77777777" w:rsidR="00481FB1" w:rsidRPr="00DC06C4" w:rsidRDefault="00481FB1" w:rsidP="00DC06C4">
            <w:pPr>
              <w:pStyle w:val="TableCopy"/>
              <w:rPr>
                <w:rFonts w:eastAsia="Times New Roman"/>
                <w:sz w:val="20"/>
                <w:szCs w:val="20"/>
              </w:rPr>
            </w:pPr>
            <w:r w:rsidRPr="00DC06C4">
              <w:rPr>
                <w:sz w:val="20"/>
                <w:szCs w:val="20"/>
              </w:rPr>
              <w:t>1201</w:t>
            </w:r>
          </w:p>
        </w:tc>
        <w:tc>
          <w:tcPr>
            <w:tcW w:w="1171" w:type="dxa"/>
            <w:noWrap/>
            <w:hideMark/>
          </w:tcPr>
          <w:p w14:paraId="73630533" w14:textId="77777777" w:rsidR="00481FB1" w:rsidRPr="00DC06C4" w:rsidRDefault="00481FB1" w:rsidP="00DC06C4">
            <w:pPr>
              <w:pStyle w:val="TableCopy"/>
              <w:rPr>
                <w:rFonts w:eastAsia="Times New Roman"/>
                <w:sz w:val="20"/>
                <w:szCs w:val="20"/>
              </w:rPr>
            </w:pPr>
            <w:r w:rsidRPr="00DC06C4">
              <w:rPr>
                <w:sz w:val="20"/>
                <w:szCs w:val="20"/>
              </w:rPr>
              <w:t>957</w:t>
            </w:r>
          </w:p>
        </w:tc>
        <w:tc>
          <w:tcPr>
            <w:tcW w:w="1260" w:type="dxa"/>
            <w:noWrap/>
            <w:hideMark/>
          </w:tcPr>
          <w:p w14:paraId="38CB786E" w14:textId="77777777" w:rsidR="00481FB1" w:rsidRPr="00DC06C4" w:rsidRDefault="00481FB1" w:rsidP="00DC06C4">
            <w:pPr>
              <w:pStyle w:val="TableCopy"/>
              <w:rPr>
                <w:rFonts w:eastAsia="Times New Roman"/>
                <w:sz w:val="20"/>
                <w:szCs w:val="20"/>
              </w:rPr>
            </w:pPr>
            <w:r w:rsidRPr="00DC06C4">
              <w:rPr>
                <w:sz w:val="20"/>
                <w:szCs w:val="20"/>
              </w:rPr>
              <w:t>1566</w:t>
            </w:r>
          </w:p>
        </w:tc>
        <w:tc>
          <w:tcPr>
            <w:tcW w:w="1536" w:type="dxa"/>
            <w:noWrap/>
            <w:hideMark/>
          </w:tcPr>
          <w:p w14:paraId="70D7D406" w14:textId="77777777" w:rsidR="00481FB1" w:rsidRPr="00DC06C4" w:rsidRDefault="00481FB1" w:rsidP="00DC06C4">
            <w:pPr>
              <w:pStyle w:val="TableCopy"/>
              <w:rPr>
                <w:rFonts w:eastAsia="Times New Roman"/>
                <w:sz w:val="20"/>
                <w:szCs w:val="20"/>
              </w:rPr>
            </w:pPr>
            <w:r w:rsidRPr="00DC06C4">
              <w:rPr>
                <w:sz w:val="20"/>
                <w:szCs w:val="20"/>
              </w:rPr>
              <w:t>1156</w:t>
            </w:r>
          </w:p>
        </w:tc>
        <w:tc>
          <w:tcPr>
            <w:tcW w:w="1555" w:type="dxa"/>
            <w:noWrap/>
            <w:hideMark/>
          </w:tcPr>
          <w:p w14:paraId="22EDCFA2" w14:textId="77777777" w:rsidR="00481FB1" w:rsidRPr="00DC06C4" w:rsidRDefault="00481FB1" w:rsidP="00DC06C4">
            <w:pPr>
              <w:pStyle w:val="TableCopy"/>
              <w:rPr>
                <w:rFonts w:eastAsia="Times New Roman"/>
                <w:sz w:val="20"/>
                <w:szCs w:val="20"/>
              </w:rPr>
            </w:pPr>
            <w:r w:rsidRPr="00DC06C4">
              <w:rPr>
                <w:sz w:val="20"/>
                <w:szCs w:val="20"/>
              </w:rPr>
              <w:t>832</w:t>
            </w:r>
          </w:p>
        </w:tc>
        <w:tc>
          <w:tcPr>
            <w:tcW w:w="1105" w:type="dxa"/>
            <w:noWrap/>
            <w:hideMark/>
          </w:tcPr>
          <w:p w14:paraId="18435198" w14:textId="77777777" w:rsidR="00481FB1" w:rsidRPr="00DC06C4" w:rsidRDefault="00481FB1" w:rsidP="00DC06C4">
            <w:pPr>
              <w:pStyle w:val="TableCopy"/>
              <w:rPr>
                <w:rFonts w:eastAsia="Times New Roman"/>
                <w:sz w:val="20"/>
                <w:szCs w:val="20"/>
              </w:rPr>
            </w:pPr>
            <w:r w:rsidRPr="00DC06C4">
              <w:rPr>
                <w:sz w:val="20"/>
                <w:szCs w:val="20"/>
              </w:rPr>
              <w:t>660</w:t>
            </w:r>
          </w:p>
        </w:tc>
        <w:tc>
          <w:tcPr>
            <w:tcW w:w="1543" w:type="dxa"/>
            <w:noWrap/>
            <w:hideMark/>
          </w:tcPr>
          <w:p w14:paraId="699E0297" w14:textId="77777777" w:rsidR="00481FB1" w:rsidRPr="00DC06C4" w:rsidRDefault="00481FB1" w:rsidP="00DC06C4">
            <w:pPr>
              <w:pStyle w:val="TableCopy"/>
              <w:rPr>
                <w:rFonts w:eastAsia="Times New Roman"/>
                <w:sz w:val="20"/>
                <w:szCs w:val="20"/>
              </w:rPr>
            </w:pPr>
            <w:r w:rsidRPr="00DC06C4">
              <w:rPr>
                <w:sz w:val="20"/>
                <w:szCs w:val="20"/>
              </w:rPr>
              <w:t>723</w:t>
            </w:r>
          </w:p>
        </w:tc>
        <w:tc>
          <w:tcPr>
            <w:tcW w:w="1082" w:type="dxa"/>
            <w:noWrap/>
            <w:hideMark/>
          </w:tcPr>
          <w:p w14:paraId="6DD65AE8" w14:textId="77777777" w:rsidR="00481FB1" w:rsidRPr="00DC06C4" w:rsidRDefault="00481FB1" w:rsidP="00DC06C4">
            <w:pPr>
              <w:pStyle w:val="TableCopy"/>
              <w:rPr>
                <w:rFonts w:eastAsia="Times New Roman"/>
                <w:sz w:val="20"/>
                <w:szCs w:val="20"/>
              </w:rPr>
            </w:pPr>
            <w:r w:rsidRPr="00DC06C4">
              <w:rPr>
                <w:sz w:val="20"/>
                <w:szCs w:val="20"/>
              </w:rPr>
              <w:t>477</w:t>
            </w:r>
          </w:p>
        </w:tc>
        <w:tc>
          <w:tcPr>
            <w:tcW w:w="1053" w:type="dxa"/>
            <w:noWrap/>
            <w:hideMark/>
          </w:tcPr>
          <w:p w14:paraId="536A6061" w14:textId="77777777" w:rsidR="00481FB1" w:rsidRPr="00DC06C4" w:rsidRDefault="00481FB1" w:rsidP="00DC06C4">
            <w:pPr>
              <w:pStyle w:val="TableCopy"/>
              <w:rPr>
                <w:rFonts w:eastAsia="Times New Roman"/>
                <w:sz w:val="20"/>
                <w:szCs w:val="20"/>
              </w:rPr>
            </w:pPr>
            <w:r w:rsidRPr="00DC06C4">
              <w:rPr>
                <w:sz w:val="20"/>
                <w:szCs w:val="20"/>
              </w:rPr>
              <w:t>609</w:t>
            </w:r>
          </w:p>
        </w:tc>
      </w:tr>
      <w:tr w:rsidR="00DC06C4" w:rsidRPr="00DC06C4" w14:paraId="5EB63561" w14:textId="77777777" w:rsidTr="00C865B6">
        <w:tc>
          <w:tcPr>
            <w:tcW w:w="562" w:type="dxa"/>
            <w:noWrap/>
            <w:hideMark/>
          </w:tcPr>
          <w:p w14:paraId="2D451A7D" w14:textId="77777777" w:rsidR="00481FB1" w:rsidRPr="00DC06C4" w:rsidRDefault="00481FB1" w:rsidP="00DC06C4">
            <w:pPr>
              <w:pStyle w:val="TableCopy"/>
              <w:rPr>
                <w:rFonts w:eastAsia="Times New Roman"/>
                <w:sz w:val="20"/>
                <w:szCs w:val="20"/>
              </w:rPr>
            </w:pPr>
            <w:r w:rsidRPr="00DC06C4">
              <w:rPr>
                <w:rFonts w:eastAsia="Times New Roman"/>
                <w:sz w:val="20"/>
                <w:szCs w:val="20"/>
              </w:rPr>
              <w:t>2015</w:t>
            </w:r>
          </w:p>
        </w:tc>
        <w:tc>
          <w:tcPr>
            <w:tcW w:w="1762" w:type="dxa"/>
            <w:noWrap/>
            <w:hideMark/>
          </w:tcPr>
          <w:p w14:paraId="4F160035" w14:textId="77777777" w:rsidR="00481FB1" w:rsidRPr="00DC06C4" w:rsidRDefault="00481FB1" w:rsidP="00DC06C4">
            <w:pPr>
              <w:pStyle w:val="TableCopy"/>
              <w:rPr>
                <w:rFonts w:eastAsia="Times New Roman"/>
                <w:sz w:val="20"/>
                <w:szCs w:val="20"/>
              </w:rPr>
            </w:pPr>
            <w:r w:rsidRPr="00DC06C4">
              <w:rPr>
                <w:sz w:val="20"/>
                <w:szCs w:val="20"/>
              </w:rPr>
              <w:t>3322</w:t>
            </w:r>
          </w:p>
        </w:tc>
        <w:tc>
          <w:tcPr>
            <w:tcW w:w="1359" w:type="dxa"/>
            <w:noWrap/>
            <w:hideMark/>
          </w:tcPr>
          <w:p w14:paraId="1A12C015" w14:textId="77777777" w:rsidR="00481FB1" w:rsidRPr="00DC06C4" w:rsidRDefault="00481FB1" w:rsidP="00DC06C4">
            <w:pPr>
              <w:pStyle w:val="TableCopy"/>
              <w:rPr>
                <w:rFonts w:eastAsia="Times New Roman"/>
                <w:sz w:val="20"/>
                <w:szCs w:val="20"/>
              </w:rPr>
            </w:pPr>
            <w:r w:rsidRPr="00DC06C4">
              <w:rPr>
                <w:sz w:val="20"/>
                <w:szCs w:val="20"/>
              </w:rPr>
              <w:t>1214</w:t>
            </w:r>
          </w:p>
        </w:tc>
        <w:tc>
          <w:tcPr>
            <w:tcW w:w="1171" w:type="dxa"/>
            <w:noWrap/>
            <w:hideMark/>
          </w:tcPr>
          <w:p w14:paraId="5C5F9C66" w14:textId="77777777" w:rsidR="00481FB1" w:rsidRPr="00DC06C4" w:rsidRDefault="00481FB1" w:rsidP="00DC06C4">
            <w:pPr>
              <w:pStyle w:val="TableCopy"/>
              <w:rPr>
                <w:rFonts w:eastAsia="Times New Roman"/>
                <w:sz w:val="20"/>
                <w:szCs w:val="20"/>
              </w:rPr>
            </w:pPr>
            <w:r w:rsidRPr="00DC06C4">
              <w:rPr>
                <w:sz w:val="20"/>
                <w:szCs w:val="20"/>
              </w:rPr>
              <w:t>1028</w:t>
            </w:r>
          </w:p>
        </w:tc>
        <w:tc>
          <w:tcPr>
            <w:tcW w:w="1260" w:type="dxa"/>
            <w:noWrap/>
            <w:hideMark/>
          </w:tcPr>
          <w:p w14:paraId="5AFFECCA" w14:textId="77777777" w:rsidR="00481FB1" w:rsidRPr="00DC06C4" w:rsidRDefault="00481FB1" w:rsidP="00DC06C4">
            <w:pPr>
              <w:pStyle w:val="TableCopy"/>
              <w:rPr>
                <w:rFonts w:eastAsia="Times New Roman"/>
                <w:sz w:val="20"/>
                <w:szCs w:val="20"/>
              </w:rPr>
            </w:pPr>
            <w:r w:rsidRPr="00DC06C4">
              <w:rPr>
                <w:sz w:val="20"/>
                <w:szCs w:val="20"/>
              </w:rPr>
              <w:t>1660</w:t>
            </w:r>
          </w:p>
        </w:tc>
        <w:tc>
          <w:tcPr>
            <w:tcW w:w="1536" w:type="dxa"/>
            <w:noWrap/>
            <w:hideMark/>
          </w:tcPr>
          <w:p w14:paraId="272BE544" w14:textId="77777777" w:rsidR="00481FB1" w:rsidRPr="00DC06C4" w:rsidRDefault="00481FB1" w:rsidP="00DC06C4">
            <w:pPr>
              <w:pStyle w:val="TableCopy"/>
              <w:rPr>
                <w:rFonts w:eastAsia="Times New Roman"/>
                <w:sz w:val="20"/>
                <w:szCs w:val="20"/>
              </w:rPr>
            </w:pPr>
            <w:r w:rsidRPr="00DC06C4">
              <w:rPr>
                <w:sz w:val="20"/>
                <w:szCs w:val="20"/>
              </w:rPr>
              <w:t>1197</w:t>
            </w:r>
          </w:p>
        </w:tc>
        <w:tc>
          <w:tcPr>
            <w:tcW w:w="1555" w:type="dxa"/>
            <w:noWrap/>
            <w:hideMark/>
          </w:tcPr>
          <w:p w14:paraId="5A071A0C" w14:textId="77777777" w:rsidR="00481FB1" w:rsidRPr="00DC06C4" w:rsidRDefault="00481FB1" w:rsidP="00DC06C4">
            <w:pPr>
              <w:pStyle w:val="TableCopy"/>
              <w:rPr>
                <w:rFonts w:eastAsia="Times New Roman"/>
                <w:sz w:val="20"/>
                <w:szCs w:val="20"/>
              </w:rPr>
            </w:pPr>
            <w:r w:rsidRPr="00DC06C4">
              <w:rPr>
                <w:sz w:val="20"/>
                <w:szCs w:val="20"/>
              </w:rPr>
              <w:t>855</w:t>
            </w:r>
          </w:p>
        </w:tc>
        <w:tc>
          <w:tcPr>
            <w:tcW w:w="1105" w:type="dxa"/>
            <w:noWrap/>
            <w:hideMark/>
          </w:tcPr>
          <w:p w14:paraId="5D7F2EFA" w14:textId="77777777" w:rsidR="00481FB1" w:rsidRPr="00DC06C4" w:rsidRDefault="00481FB1" w:rsidP="00DC06C4">
            <w:pPr>
              <w:pStyle w:val="TableCopy"/>
              <w:rPr>
                <w:rFonts w:eastAsia="Times New Roman"/>
                <w:sz w:val="20"/>
                <w:szCs w:val="20"/>
              </w:rPr>
            </w:pPr>
            <w:r w:rsidRPr="00DC06C4">
              <w:rPr>
                <w:sz w:val="20"/>
                <w:szCs w:val="20"/>
              </w:rPr>
              <w:t>655</w:t>
            </w:r>
          </w:p>
        </w:tc>
        <w:tc>
          <w:tcPr>
            <w:tcW w:w="1543" w:type="dxa"/>
            <w:noWrap/>
            <w:hideMark/>
          </w:tcPr>
          <w:p w14:paraId="733A06E2" w14:textId="77777777" w:rsidR="00481FB1" w:rsidRPr="00DC06C4" w:rsidRDefault="00481FB1" w:rsidP="00DC06C4">
            <w:pPr>
              <w:pStyle w:val="TableCopy"/>
              <w:rPr>
                <w:rFonts w:eastAsia="Times New Roman"/>
                <w:sz w:val="20"/>
                <w:szCs w:val="20"/>
              </w:rPr>
            </w:pPr>
            <w:r w:rsidRPr="00DC06C4">
              <w:rPr>
                <w:sz w:val="20"/>
                <w:szCs w:val="20"/>
              </w:rPr>
              <w:t>745</w:t>
            </w:r>
          </w:p>
        </w:tc>
        <w:tc>
          <w:tcPr>
            <w:tcW w:w="1082" w:type="dxa"/>
            <w:noWrap/>
            <w:hideMark/>
          </w:tcPr>
          <w:p w14:paraId="1426F2AE" w14:textId="77777777" w:rsidR="00481FB1" w:rsidRPr="00DC06C4" w:rsidRDefault="00481FB1" w:rsidP="00DC06C4">
            <w:pPr>
              <w:pStyle w:val="TableCopy"/>
              <w:rPr>
                <w:rFonts w:eastAsia="Times New Roman"/>
                <w:sz w:val="20"/>
                <w:szCs w:val="20"/>
              </w:rPr>
            </w:pPr>
            <w:r w:rsidRPr="00DC06C4">
              <w:rPr>
                <w:sz w:val="20"/>
                <w:szCs w:val="20"/>
              </w:rPr>
              <w:t>523</w:t>
            </w:r>
          </w:p>
        </w:tc>
        <w:tc>
          <w:tcPr>
            <w:tcW w:w="1053" w:type="dxa"/>
            <w:noWrap/>
            <w:hideMark/>
          </w:tcPr>
          <w:p w14:paraId="3538CA50" w14:textId="77777777" w:rsidR="00481FB1" w:rsidRPr="00DC06C4" w:rsidRDefault="00481FB1" w:rsidP="00DC06C4">
            <w:pPr>
              <w:pStyle w:val="TableCopy"/>
              <w:rPr>
                <w:rFonts w:eastAsia="Times New Roman"/>
                <w:sz w:val="20"/>
                <w:szCs w:val="20"/>
              </w:rPr>
            </w:pPr>
            <w:r w:rsidRPr="00DC06C4">
              <w:rPr>
                <w:sz w:val="20"/>
                <w:szCs w:val="20"/>
              </w:rPr>
              <w:t>644</w:t>
            </w:r>
          </w:p>
        </w:tc>
      </w:tr>
      <w:tr w:rsidR="00DC06C4" w:rsidRPr="00DC06C4" w14:paraId="52E00363" w14:textId="77777777" w:rsidTr="00C865B6">
        <w:tc>
          <w:tcPr>
            <w:tcW w:w="562" w:type="dxa"/>
            <w:noWrap/>
            <w:hideMark/>
          </w:tcPr>
          <w:p w14:paraId="0F2AADAC" w14:textId="77777777" w:rsidR="00481FB1" w:rsidRPr="00DC06C4" w:rsidRDefault="00481FB1" w:rsidP="00DC06C4">
            <w:pPr>
              <w:pStyle w:val="TableCopy"/>
              <w:rPr>
                <w:rFonts w:eastAsia="Times New Roman"/>
                <w:sz w:val="20"/>
                <w:szCs w:val="20"/>
              </w:rPr>
            </w:pPr>
            <w:r w:rsidRPr="00DC06C4">
              <w:rPr>
                <w:rFonts w:eastAsia="Times New Roman"/>
                <w:sz w:val="20"/>
                <w:szCs w:val="20"/>
              </w:rPr>
              <w:t>2016</w:t>
            </w:r>
          </w:p>
        </w:tc>
        <w:tc>
          <w:tcPr>
            <w:tcW w:w="1762" w:type="dxa"/>
            <w:noWrap/>
            <w:hideMark/>
          </w:tcPr>
          <w:p w14:paraId="73555462" w14:textId="77777777" w:rsidR="00481FB1" w:rsidRPr="00DC06C4" w:rsidRDefault="00481FB1" w:rsidP="00DC06C4">
            <w:pPr>
              <w:pStyle w:val="TableCopy"/>
              <w:rPr>
                <w:rFonts w:eastAsia="Times New Roman"/>
                <w:sz w:val="20"/>
                <w:szCs w:val="20"/>
              </w:rPr>
            </w:pPr>
            <w:r w:rsidRPr="00DC06C4">
              <w:rPr>
                <w:sz w:val="20"/>
                <w:szCs w:val="20"/>
              </w:rPr>
              <w:t>3387</w:t>
            </w:r>
          </w:p>
        </w:tc>
        <w:tc>
          <w:tcPr>
            <w:tcW w:w="1359" w:type="dxa"/>
            <w:noWrap/>
            <w:hideMark/>
          </w:tcPr>
          <w:p w14:paraId="2B931695" w14:textId="77777777" w:rsidR="00481FB1" w:rsidRPr="00DC06C4" w:rsidRDefault="00481FB1" w:rsidP="00DC06C4">
            <w:pPr>
              <w:pStyle w:val="TableCopy"/>
              <w:rPr>
                <w:rFonts w:eastAsia="Times New Roman"/>
                <w:sz w:val="20"/>
                <w:szCs w:val="20"/>
              </w:rPr>
            </w:pPr>
            <w:r w:rsidRPr="00DC06C4">
              <w:rPr>
                <w:sz w:val="20"/>
                <w:szCs w:val="20"/>
              </w:rPr>
              <w:t>1188</w:t>
            </w:r>
          </w:p>
        </w:tc>
        <w:tc>
          <w:tcPr>
            <w:tcW w:w="1171" w:type="dxa"/>
            <w:noWrap/>
            <w:hideMark/>
          </w:tcPr>
          <w:p w14:paraId="44D62A05" w14:textId="77777777" w:rsidR="00481FB1" w:rsidRPr="00DC06C4" w:rsidRDefault="00481FB1" w:rsidP="00DC06C4">
            <w:pPr>
              <w:pStyle w:val="TableCopy"/>
              <w:rPr>
                <w:rFonts w:eastAsia="Times New Roman"/>
                <w:sz w:val="20"/>
                <w:szCs w:val="20"/>
              </w:rPr>
            </w:pPr>
            <w:r w:rsidRPr="00DC06C4">
              <w:rPr>
                <w:sz w:val="20"/>
                <w:szCs w:val="20"/>
              </w:rPr>
              <w:t>1067</w:t>
            </w:r>
          </w:p>
        </w:tc>
        <w:tc>
          <w:tcPr>
            <w:tcW w:w="1260" w:type="dxa"/>
            <w:noWrap/>
            <w:hideMark/>
          </w:tcPr>
          <w:p w14:paraId="6716DE20" w14:textId="77777777" w:rsidR="00481FB1" w:rsidRPr="00DC06C4" w:rsidRDefault="00481FB1" w:rsidP="00DC06C4">
            <w:pPr>
              <w:pStyle w:val="TableCopy"/>
              <w:rPr>
                <w:rFonts w:eastAsia="Times New Roman"/>
                <w:sz w:val="20"/>
                <w:szCs w:val="20"/>
              </w:rPr>
            </w:pPr>
            <w:r w:rsidRPr="00DC06C4">
              <w:rPr>
                <w:sz w:val="20"/>
                <w:szCs w:val="20"/>
              </w:rPr>
              <w:t>1395</w:t>
            </w:r>
          </w:p>
        </w:tc>
        <w:tc>
          <w:tcPr>
            <w:tcW w:w="1536" w:type="dxa"/>
            <w:noWrap/>
            <w:hideMark/>
          </w:tcPr>
          <w:p w14:paraId="7354696F" w14:textId="77777777" w:rsidR="00481FB1" w:rsidRPr="00DC06C4" w:rsidRDefault="00481FB1" w:rsidP="00DC06C4">
            <w:pPr>
              <w:pStyle w:val="TableCopy"/>
              <w:rPr>
                <w:rFonts w:eastAsia="Times New Roman"/>
                <w:sz w:val="20"/>
                <w:szCs w:val="20"/>
              </w:rPr>
            </w:pPr>
            <w:r w:rsidRPr="00DC06C4">
              <w:rPr>
                <w:sz w:val="20"/>
                <w:szCs w:val="20"/>
              </w:rPr>
              <w:t>1309</w:t>
            </w:r>
          </w:p>
        </w:tc>
        <w:tc>
          <w:tcPr>
            <w:tcW w:w="1555" w:type="dxa"/>
            <w:noWrap/>
            <w:hideMark/>
          </w:tcPr>
          <w:p w14:paraId="085DB22D" w14:textId="77777777" w:rsidR="00481FB1" w:rsidRPr="00DC06C4" w:rsidRDefault="00481FB1" w:rsidP="00DC06C4">
            <w:pPr>
              <w:pStyle w:val="TableCopy"/>
              <w:rPr>
                <w:rFonts w:eastAsia="Times New Roman"/>
                <w:sz w:val="20"/>
                <w:szCs w:val="20"/>
              </w:rPr>
            </w:pPr>
            <w:r w:rsidRPr="00DC06C4">
              <w:rPr>
                <w:sz w:val="20"/>
                <w:szCs w:val="20"/>
              </w:rPr>
              <w:t>830</w:t>
            </w:r>
          </w:p>
        </w:tc>
        <w:tc>
          <w:tcPr>
            <w:tcW w:w="1105" w:type="dxa"/>
            <w:noWrap/>
            <w:hideMark/>
          </w:tcPr>
          <w:p w14:paraId="0D891CBA" w14:textId="77777777" w:rsidR="00481FB1" w:rsidRPr="00DC06C4" w:rsidRDefault="00481FB1" w:rsidP="00DC06C4">
            <w:pPr>
              <w:pStyle w:val="TableCopy"/>
              <w:rPr>
                <w:rFonts w:eastAsia="Times New Roman"/>
                <w:sz w:val="20"/>
                <w:szCs w:val="20"/>
              </w:rPr>
            </w:pPr>
            <w:r w:rsidRPr="00DC06C4">
              <w:rPr>
                <w:sz w:val="20"/>
                <w:szCs w:val="20"/>
              </w:rPr>
              <w:t>648</w:t>
            </w:r>
          </w:p>
        </w:tc>
        <w:tc>
          <w:tcPr>
            <w:tcW w:w="1543" w:type="dxa"/>
            <w:noWrap/>
            <w:hideMark/>
          </w:tcPr>
          <w:p w14:paraId="601FBDC5" w14:textId="77777777" w:rsidR="00481FB1" w:rsidRPr="00DC06C4" w:rsidRDefault="00481FB1" w:rsidP="00DC06C4">
            <w:pPr>
              <w:pStyle w:val="TableCopy"/>
              <w:rPr>
                <w:rFonts w:eastAsia="Times New Roman"/>
                <w:sz w:val="20"/>
                <w:szCs w:val="20"/>
              </w:rPr>
            </w:pPr>
            <w:r w:rsidRPr="00DC06C4">
              <w:rPr>
                <w:sz w:val="20"/>
                <w:szCs w:val="20"/>
              </w:rPr>
              <w:t>783</w:t>
            </w:r>
          </w:p>
        </w:tc>
        <w:tc>
          <w:tcPr>
            <w:tcW w:w="1082" w:type="dxa"/>
            <w:noWrap/>
            <w:hideMark/>
          </w:tcPr>
          <w:p w14:paraId="3CC0233B" w14:textId="77777777" w:rsidR="00481FB1" w:rsidRPr="00DC06C4" w:rsidRDefault="00481FB1" w:rsidP="00DC06C4">
            <w:pPr>
              <w:pStyle w:val="TableCopy"/>
              <w:rPr>
                <w:rFonts w:eastAsia="Times New Roman"/>
                <w:sz w:val="20"/>
                <w:szCs w:val="20"/>
              </w:rPr>
            </w:pPr>
            <w:r w:rsidRPr="00DC06C4">
              <w:rPr>
                <w:sz w:val="20"/>
                <w:szCs w:val="20"/>
              </w:rPr>
              <w:t>577</w:t>
            </w:r>
          </w:p>
        </w:tc>
        <w:tc>
          <w:tcPr>
            <w:tcW w:w="1053" w:type="dxa"/>
            <w:noWrap/>
            <w:hideMark/>
          </w:tcPr>
          <w:p w14:paraId="32146128" w14:textId="77777777" w:rsidR="00481FB1" w:rsidRPr="00DC06C4" w:rsidRDefault="00481FB1" w:rsidP="00DC06C4">
            <w:pPr>
              <w:pStyle w:val="TableCopy"/>
              <w:rPr>
                <w:rFonts w:eastAsia="Times New Roman"/>
                <w:sz w:val="20"/>
                <w:szCs w:val="20"/>
              </w:rPr>
            </w:pPr>
            <w:r w:rsidRPr="00DC06C4">
              <w:rPr>
                <w:sz w:val="20"/>
                <w:szCs w:val="20"/>
              </w:rPr>
              <w:t>688</w:t>
            </w:r>
          </w:p>
        </w:tc>
      </w:tr>
      <w:tr w:rsidR="00DC06C4" w:rsidRPr="00DC06C4" w14:paraId="542DB82A" w14:textId="77777777" w:rsidTr="00C865B6">
        <w:tc>
          <w:tcPr>
            <w:tcW w:w="562" w:type="dxa"/>
            <w:noWrap/>
            <w:hideMark/>
          </w:tcPr>
          <w:p w14:paraId="76EECE38" w14:textId="77777777" w:rsidR="00481FB1" w:rsidRPr="00DC06C4" w:rsidRDefault="00481FB1" w:rsidP="00DC06C4">
            <w:pPr>
              <w:pStyle w:val="TableCopy"/>
              <w:rPr>
                <w:rFonts w:eastAsia="Times New Roman"/>
                <w:sz w:val="20"/>
                <w:szCs w:val="20"/>
              </w:rPr>
            </w:pPr>
            <w:r w:rsidRPr="00DC06C4">
              <w:rPr>
                <w:rFonts w:eastAsia="Times New Roman"/>
                <w:sz w:val="20"/>
                <w:szCs w:val="20"/>
              </w:rPr>
              <w:t>2017</w:t>
            </w:r>
          </w:p>
        </w:tc>
        <w:tc>
          <w:tcPr>
            <w:tcW w:w="1762" w:type="dxa"/>
            <w:noWrap/>
            <w:hideMark/>
          </w:tcPr>
          <w:p w14:paraId="426A31B4" w14:textId="77777777" w:rsidR="00481FB1" w:rsidRPr="00DC06C4" w:rsidRDefault="00481FB1" w:rsidP="00DC06C4">
            <w:pPr>
              <w:pStyle w:val="TableCopy"/>
              <w:rPr>
                <w:rFonts w:eastAsia="Times New Roman"/>
                <w:sz w:val="20"/>
                <w:szCs w:val="20"/>
              </w:rPr>
            </w:pPr>
            <w:r w:rsidRPr="00DC06C4">
              <w:rPr>
                <w:sz w:val="20"/>
                <w:szCs w:val="20"/>
              </w:rPr>
              <w:t>3829</w:t>
            </w:r>
          </w:p>
        </w:tc>
        <w:tc>
          <w:tcPr>
            <w:tcW w:w="1359" w:type="dxa"/>
            <w:noWrap/>
            <w:hideMark/>
          </w:tcPr>
          <w:p w14:paraId="7F01ADDD" w14:textId="77777777" w:rsidR="00481FB1" w:rsidRPr="00DC06C4" w:rsidRDefault="00481FB1" w:rsidP="00DC06C4">
            <w:pPr>
              <w:pStyle w:val="TableCopy"/>
              <w:rPr>
                <w:rFonts w:eastAsia="Times New Roman"/>
                <w:sz w:val="20"/>
                <w:szCs w:val="20"/>
              </w:rPr>
            </w:pPr>
            <w:r w:rsidRPr="00DC06C4">
              <w:rPr>
                <w:sz w:val="20"/>
                <w:szCs w:val="20"/>
              </w:rPr>
              <w:t>1136</w:t>
            </w:r>
          </w:p>
        </w:tc>
        <w:tc>
          <w:tcPr>
            <w:tcW w:w="1171" w:type="dxa"/>
            <w:noWrap/>
            <w:hideMark/>
          </w:tcPr>
          <w:p w14:paraId="7E77F191" w14:textId="77777777" w:rsidR="00481FB1" w:rsidRPr="00DC06C4" w:rsidRDefault="00481FB1" w:rsidP="00DC06C4">
            <w:pPr>
              <w:pStyle w:val="TableCopy"/>
              <w:rPr>
                <w:rFonts w:eastAsia="Times New Roman"/>
                <w:sz w:val="20"/>
                <w:szCs w:val="20"/>
              </w:rPr>
            </w:pPr>
            <w:r w:rsidRPr="00DC06C4">
              <w:rPr>
                <w:sz w:val="20"/>
                <w:szCs w:val="20"/>
              </w:rPr>
              <w:t>1059</w:t>
            </w:r>
          </w:p>
        </w:tc>
        <w:tc>
          <w:tcPr>
            <w:tcW w:w="1260" w:type="dxa"/>
            <w:noWrap/>
            <w:hideMark/>
          </w:tcPr>
          <w:p w14:paraId="5A7B324C" w14:textId="77777777" w:rsidR="00481FB1" w:rsidRPr="00DC06C4" w:rsidRDefault="00481FB1" w:rsidP="00DC06C4">
            <w:pPr>
              <w:pStyle w:val="TableCopy"/>
              <w:rPr>
                <w:rFonts w:eastAsia="Times New Roman"/>
                <w:sz w:val="20"/>
                <w:szCs w:val="20"/>
              </w:rPr>
            </w:pPr>
            <w:r w:rsidRPr="00DC06C4">
              <w:rPr>
                <w:sz w:val="20"/>
                <w:szCs w:val="20"/>
              </w:rPr>
              <w:t>1361</w:t>
            </w:r>
          </w:p>
        </w:tc>
        <w:tc>
          <w:tcPr>
            <w:tcW w:w="1536" w:type="dxa"/>
            <w:noWrap/>
            <w:hideMark/>
          </w:tcPr>
          <w:p w14:paraId="434579BB" w14:textId="77777777" w:rsidR="00481FB1" w:rsidRPr="00DC06C4" w:rsidRDefault="00481FB1" w:rsidP="00DC06C4">
            <w:pPr>
              <w:pStyle w:val="TableCopy"/>
              <w:rPr>
                <w:rFonts w:eastAsia="Times New Roman"/>
                <w:sz w:val="20"/>
                <w:szCs w:val="20"/>
              </w:rPr>
            </w:pPr>
            <w:r w:rsidRPr="00DC06C4">
              <w:rPr>
                <w:sz w:val="20"/>
                <w:szCs w:val="20"/>
              </w:rPr>
              <w:t>1224</w:t>
            </w:r>
          </w:p>
        </w:tc>
        <w:tc>
          <w:tcPr>
            <w:tcW w:w="1555" w:type="dxa"/>
            <w:noWrap/>
            <w:hideMark/>
          </w:tcPr>
          <w:p w14:paraId="5B5BD8E4" w14:textId="77777777" w:rsidR="00481FB1" w:rsidRPr="00DC06C4" w:rsidRDefault="00481FB1" w:rsidP="00DC06C4">
            <w:pPr>
              <w:pStyle w:val="TableCopy"/>
              <w:rPr>
                <w:rFonts w:eastAsia="Times New Roman"/>
                <w:sz w:val="20"/>
                <w:szCs w:val="20"/>
              </w:rPr>
            </w:pPr>
            <w:r w:rsidRPr="00DC06C4">
              <w:rPr>
                <w:sz w:val="20"/>
                <w:szCs w:val="20"/>
              </w:rPr>
              <w:t>820</w:t>
            </w:r>
          </w:p>
        </w:tc>
        <w:tc>
          <w:tcPr>
            <w:tcW w:w="1105" w:type="dxa"/>
            <w:noWrap/>
            <w:hideMark/>
          </w:tcPr>
          <w:p w14:paraId="6D9C9A7C" w14:textId="77777777" w:rsidR="00481FB1" w:rsidRPr="00DC06C4" w:rsidRDefault="00481FB1" w:rsidP="00DC06C4">
            <w:pPr>
              <w:pStyle w:val="TableCopy"/>
              <w:rPr>
                <w:rFonts w:eastAsia="Times New Roman"/>
                <w:sz w:val="20"/>
                <w:szCs w:val="20"/>
              </w:rPr>
            </w:pPr>
            <w:r w:rsidRPr="00DC06C4">
              <w:rPr>
                <w:sz w:val="20"/>
                <w:szCs w:val="20"/>
              </w:rPr>
              <w:t>666</w:t>
            </w:r>
          </w:p>
        </w:tc>
        <w:tc>
          <w:tcPr>
            <w:tcW w:w="1543" w:type="dxa"/>
            <w:noWrap/>
            <w:hideMark/>
          </w:tcPr>
          <w:p w14:paraId="2BDF8A53" w14:textId="77777777" w:rsidR="00481FB1" w:rsidRPr="00DC06C4" w:rsidRDefault="00481FB1" w:rsidP="00DC06C4">
            <w:pPr>
              <w:pStyle w:val="TableCopy"/>
              <w:rPr>
                <w:rFonts w:eastAsia="Times New Roman"/>
                <w:sz w:val="20"/>
                <w:szCs w:val="20"/>
              </w:rPr>
            </w:pPr>
            <w:r w:rsidRPr="00DC06C4">
              <w:rPr>
                <w:sz w:val="20"/>
                <w:szCs w:val="20"/>
              </w:rPr>
              <w:t>763</w:t>
            </w:r>
          </w:p>
        </w:tc>
        <w:tc>
          <w:tcPr>
            <w:tcW w:w="1082" w:type="dxa"/>
            <w:noWrap/>
            <w:hideMark/>
          </w:tcPr>
          <w:p w14:paraId="39CA4E9F" w14:textId="77777777" w:rsidR="00481FB1" w:rsidRPr="00DC06C4" w:rsidRDefault="00481FB1" w:rsidP="00DC06C4">
            <w:pPr>
              <w:pStyle w:val="TableCopy"/>
              <w:rPr>
                <w:rFonts w:eastAsia="Times New Roman"/>
                <w:sz w:val="20"/>
                <w:szCs w:val="20"/>
              </w:rPr>
            </w:pPr>
            <w:r w:rsidRPr="00DC06C4">
              <w:rPr>
                <w:sz w:val="20"/>
                <w:szCs w:val="20"/>
              </w:rPr>
              <w:t>605</w:t>
            </w:r>
          </w:p>
        </w:tc>
        <w:tc>
          <w:tcPr>
            <w:tcW w:w="1053" w:type="dxa"/>
            <w:noWrap/>
            <w:hideMark/>
          </w:tcPr>
          <w:p w14:paraId="2136F3A5" w14:textId="77777777" w:rsidR="00481FB1" w:rsidRPr="00DC06C4" w:rsidRDefault="00481FB1" w:rsidP="00DC06C4">
            <w:pPr>
              <w:pStyle w:val="TableCopy"/>
              <w:rPr>
                <w:rFonts w:eastAsia="Times New Roman"/>
                <w:sz w:val="20"/>
                <w:szCs w:val="20"/>
              </w:rPr>
            </w:pPr>
            <w:r w:rsidRPr="00DC06C4">
              <w:rPr>
                <w:sz w:val="20"/>
                <w:szCs w:val="20"/>
              </w:rPr>
              <w:t>742</w:t>
            </w:r>
          </w:p>
        </w:tc>
      </w:tr>
      <w:tr w:rsidR="00DC06C4" w:rsidRPr="00DC06C4" w14:paraId="408D772F" w14:textId="77777777" w:rsidTr="00C865B6">
        <w:tc>
          <w:tcPr>
            <w:tcW w:w="562" w:type="dxa"/>
            <w:noWrap/>
            <w:hideMark/>
          </w:tcPr>
          <w:p w14:paraId="78FEF813" w14:textId="77777777" w:rsidR="00481FB1" w:rsidRPr="00DC06C4" w:rsidRDefault="00481FB1" w:rsidP="00DC06C4">
            <w:pPr>
              <w:pStyle w:val="TableCopy"/>
              <w:rPr>
                <w:rFonts w:eastAsia="Times New Roman"/>
                <w:sz w:val="20"/>
                <w:szCs w:val="20"/>
              </w:rPr>
            </w:pPr>
            <w:r w:rsidRPr="00DC06C4">
              <w:rPr>
                <w:rFonts w:eastAsia="Times New Roman"/>
                <w:sz w:val="20"/>
                <w:szCs w:val="20"/>
              </w:rPr>
              <w:t>2018</w:t>
            </w:r>
          </w:p>
        </w:tc>
        <w:tc>
          <w:tcPr>
            <w:tcW w:w="1762" w:type="dxa"/>
            <w:noWrap/>
            <w:hideMark/>
          </w:tcPr>
          <w:p w14:paraId="687FE26B" w14:textId="77777777" w:rsidR="00481FB1" w:rsidRPr="00DC06C4" w:rsidRDefault="00481FB1" w:rsidP="00DC06C4">
            <w:pPr>
              <w:pStyle w:val="TableCopy"/>
              <w:rPr>
                <w:rFonts w:eastAsia="Times New Roman"/>
                <w:sz w:val="20"/>
                <w:szCs w:val="20"/>
              </w:rPr>
            </w:pPr>
            <w:r w:rsidRPr="00DC06C4">
              <w:rPr>
                <w:sz w:val="20"/>
                <w:szCs w:val="20"/>
              </w:rPr>
              <w:t>4154</w:t>
            </w:r>
          </w:p>
        </w:tc>
        <w:tc>
          <w:tcPr>
            <w:tcW w:w="1359" w:type="dxa"/>
            <w:noWrap/>
            <w:hideMark/>
          </w:tcPr>
          <w:p w14:paraId="0D1E03E8" w14:textId="77777777" w:rsidR="00481FB1" w:rsidRPr="00DC06C4" w:rsidRDefault="00481FB1" w:rsidP="00DC06C4">
            <w:pPr>
              <w:pStyle w:val="TableCopy"/>
              <w:rPr>
                <w:rFonts w:eastAsia="Times New Roman"/>
                <w:sz w:val="20"/>
                <w:szCs w:val="20"/>
              </w:rPr>
            </w:pPr>
            <w:r w:rsidRPr="00DC06C4">
              <w:rPr>
                <w:sz w:val="20"/>
                <w:szCs w:val="20"/>
              </w:rPr>
              <w:t>1122</w:t>
            </w:r>
          </w:p>
        </w:tc>
        <w:tc>
          <w:tcPr>
            <w:tcW w:w="1171" w:type="dxa"/>
            <w:noWrap/>
            <w:hideMark/>
          </w:tcPr>
          <w:p w14:paraId="5388975F" w14:textId="77777777" w:rsidR="00481FB1" w:rsidRPr="00DC06C4" w:rsidRDefault="00481FB1" w:rsidP="00DC06C4">
            <w:pPr>
              <w:pStyle w:val="TableCopy"/>
              <w:rPr>
                <w:rFonts w:eastAsia="Times New Roman"/>
                <w:sz w:val="20"/>
                <w:szCs w:val="20"/>
              </w:rPr>
            </w:pPr>
            <w:r w:rsidRPr="00DC06C4">
              <w:rPr>
                <w:sz w:val="20"/>
                <w:szCs w:val="20"/>
              </w:rPr>
              <w:t>1133</w:t>
            </w:r>
          </w:p>
        </w:tc>
        <w:tc>
          <w:tcPr>
            <w:tcW w:w="1260" w:type="dxa"/>
            <w:noWrap/>
            <w:hideMark/>
          </w:tcPr>
          <w:p w14:paraId="3A240B47" w14:textId="77777777" w:rsidR="00481FB1" w:rsidRPr="00DC06C4" w:rsidRDefault="00481FB1" w:rsidP="00DC06C4">
            <w:pPr>
              <w:pStyle w:val="TableCopy"/>
              <w:rPr>
                <w:rFonts w:eastAsia="Times New Roman"/>
                <w:sz w:val="20"/>
                <w:szCs w:val="20"/>
              </w:rPr>
            </w:pPr>
            <w:r w:rsidRPr="00DC06C4">
              <w:rPr>
                <w:sz w:val="20"/>
                <w:szCs w:val="20"/>
              </w:rPr>
              <w:t>1283</w:t>
            </w:r>
          </w:p>
        </w:tc>
        <w:tc>
          <w:tcPr>
            <w:tcW w:w="1536" w:type="dxa"/>
            <w:noWrap/>
            <w:hideMark/>
          </w:tcPr>
          <w:p w14:paraId="13D16EA0" w14:textId="77777777" w:rsidR="00481FB1" w:rsidRPr="00DC06C4" w:rsidRDefault="00481FB1" w:rsidP="00DC06C4">
            <w:pPr>
              <w:pStyle w:val="TableCopy"/>
              <w:rPr>
                <w:rFonts w:eastAsia="Times New Roman"/>
                <w:sz w:val="20"/>
                <w:szCs w:val="20"/>
              </w:rPr>
            </w:pPr>
            <w:r w:rsidRPr="00DC06C4">
              <w:rPr>
                <w:sz w:val="20"/>
                <w:szCs w:val="20"/>
              </w:rPr>
              <w:t>1074</w:t>
            </w:r>
          </w:p>
        </w:tc>
        <w:tc>
          <w:tcPr>
            <w:tcW w:w="1555" w:type="dxa"/>
            <w:noWrap/>
            <w:hideMark/>
          </w:tcPr>
          <w:p w14:paraId="648D9CB5" w14:textId="77777777" w:rsidR="00481FB1" w:rsidRPr="00DC06C4" w:rsidRDefault="00481FB1" w:rsidP="00DC06C4">
            <w:pPr>
              <w:pStyle w:val="TableCopy"/>
              <w:rPr>
                <w:rFonts w:eastAsia="Times New Roman"/>
                <w:sz w:val="20"/>
                <w:szCs w:val="20"/>
              </w:rPr>
            </w:pPr>
            <w:r w:rsidRPr="00DC06C4">
              <w:rPr>
                <w:sz w:val="20"/>
                <w:szCs w:val="20"/>
              </w:rPr>
              <w:t>893</w:t>
            </w:r>
          </w:p>
        </w:tc>
        <w:tc>
          <w:tcPr>
            <w:tcW w:w="1105" w:type="dxa"/>
            <w:noWrap/>
            <w:hideMark/>
          </w:tcPr>
          <w:p w14:paraId="27C1A884" w14:textId="77777777" w:rsidR="00481FB1" w:rsidRPr="00DC06C4" w:rsidRDefault="00481FB1" w:rsidP="00DC06C4">
            <w:pPr>
              <w:pStyle w:val="TableCopy"/>
              <w:rPr>
                <w:rFonts w:eastAsia="Times New Roman"/>
                <w:sz w:val="20"/>
                <w:szCs w:val="20"/>
              </w:rPr>
            </w:pPr>
            <w:r w:rsidRPr="00DC06C4">
              <w:rPr>
                <w:sz w:val="20"/>
                <w:szCs w:val="20"/>
              </w:rPr>
              <w:t>688</w:t>
            </w:r>
          </w:p>
        </w:tc>
        <w:tc>
          <w:tcPr>
            <w:tcW w:w="1543" w:type="dxa"/>
            <w:noWrap/>
            <w:hideMark/>
          </w:tcPr>
          <w:p w14:paraId="4B6AA4D9" w14:textId="77777777" w:rsidR="00481FB1" w:rsidRPr="00DC06C4" w:rsidRDefault="00481FB1" w:rsidP="00DC06C4">
            <w:pPr>
              <w:pStyle w:val="TableCopy"/>
              <w:rPr>
                <w:rFonts w:eastAsia="Times New Roman"/>
                <w:sz w:val="20"/>
                <w:szCs w:val="20"/>
              </w:rPr>
            </w:pPr>
            <w:r w:rsidRPr="00DC06C4">
              <w:rPr>
                <w:sz w:val="20"/>
                <w:szCs w:val="20"/>
              </w:rPr>
              <w:t>782</w:t>
            </w:r>
          </w:p>
        </w:tc>
        <w:tc>
          <w:tcPr>
            <w:tcW w:w="1082" w:type="dxa"/>
            <w:noWrap/>
            <w:hideMark/>
          </w:tcPr>
          <w:p w14:paraId="5542EAF4" w14:textId="77777777" w:rsidR="00481FB1" w:rsidRPr="00DC06C4" w:rsidRDefault="00481FB1" w:rsidP="00DC06C4">
            <w:pPr>
              <w:pStyle w:val="TableCopy"/>
              <w:rPr>
                <w:rFonts w:eastAsia="Times New Roman"/>
                <w:sz w:val="20"/>
                <w:szCs w:val="20"/>
              </w:rPr>
            </w:pPr>
            <w:r w:rsidRPr="00DC06C4">
              <w:rPr>
                <w:sz w:val="20"/>
                <w:szCs w:val="20"/>
              </w:rPr>
              <w:t>644</w:t>
            </w:r>
          </w:p>
        </w:tc>
        <w:tc>
          <w:tcPr>
            <w:tcW w:w="1053" w:type="dxa"/>
            <w:noWrap/>
            <w:hideMark/>
          </w:tcPr>
          <w:p w14:paraId="033C6F7B" w14:textId="77777777" w:rsidR="00481FB1" w:rsidRPr="00DC06C4" w:rsidRDefault="00481FB1" w:rsidP="00DC06C4">
            <w:pPr>
              <w:pStyle w:val="TableCopy"/>
              <w:rPr>
                <w:rFonts w:eastAsia="Times New Roman"/>
                <w:sz w:val="20"/>
                <w:szCs w:val="20"/>
              </w:rPr>
            </w:pPr>
            <w:r w:rsidRPr="00DC06C4">
              <w:rPr>
                <w:sz w:val="20"/>
                <w:szCs w:val="20"/>
              </w:rPr>
              <w:t>729</w:t>
            </w:r>
          </w:p>
        </w:tc>
      </w:tr>
      <w:tr w:rsidR="00DC06C4" w:rsidRPr="00DC06C4" w14:paraId="5A60E7DA" w14:textId="77777777" w:rsidTr="00C865B6">
        <w:tc>
          <w:tcPr>
            <w:tcW w:w="562" w:type="dxa"/>
            <w:noWrap/>
            <w:hideMark/>
          </w:tcPr>
          <w:p w14:paraId="0E221415" w14:textId="77777777" w:rsidR="00481FB1" w:rsidRPr="00DC06C4" w:rsidRDefault="00481FB1" w:rsidP="00DC06C4">
            <w:pPr>
              <w:pStyle w:val="TableCopy"/>
              <w:rPr>
                <w:rFonts w:eastAsia="Times New Roman"/>
                <w:sz w:val="20"/>
                <w:szCs w:val="20"/>
              </w:rPr>
            </w:pPr>
            <w:r w:rsidRPr="00DC06C4">
              <w:rPr>
                <w:rFonts w:eastAsia="Times New Roman"/>
                <w:sz w:val="20"/>
                <w:szCs w:val="20"/>
              </w:rPr>
              <w:t>2019</w:t>
            </w:r>
          </w:p>
        </w:tc>
        <w:tc>
          <w:tcPr>
            <w:tcW w:w="1762" w:type="dxa"/>
            <w:noWrap/>
            <w:hideMark/>
          </w:tcPr>
          <w:p w14:paraId="4C69111E" w14:textId="77777777" w:rsidR="00481FB1" w:rsidRPr="00DC06C4" w:rsidRDefault="00481FB1" w:rsidP="00DC06C4">
            <w:pPr>
              <w:pStyle w:val="TableCopy"/>
              <w:rPr>
                <w:rFonts w:eastAsia="Times New Roman"/>
                <w:sz w:val="20"/>
                <w:szCs w:val="20"/>
              </w:rPr>
            </w:pPr>
            <w:r w:rsidRPr="00DC06C4">
              <w:rPr>
                <w:sz w:val="20"/>
                <w:szCs w:val="20"/>
              </w:rPr>
              <w:t>3867</w:t>
            </w:r>
          </w:p>
        </w:tc>
        <w:tc>
          <w:tcPr>
            <w:tcW w:w="1359" w:type="dxa"/>
            <w:noWrap/>
            <w:hideMark/>
          </w:tcPr>
          <w:p w14:paraId="75C27B2B" w14:textId="77777777" w:rsidR="00481FB1" w:rsidRPr="00DC06C4" w:rsidRDefault="00481FB1" w:rsidP="00DC06C4">
            <w:pPr>
              <w:pStyle w:val="TableCopy"/>
              <w:rPr>
                <w:rFonts w:eastAsia="Times New Roman"/>
                <w:sz w:val="20"/>
                <w:szCs w:val="20"/>
              </w:rPr>
            </w:pPr>
            <w:r w:rsidRPr="00DC06C4">
              <w:rPr>
                <w:sz w:val="20"/>
                <w:szCs w:val="20"/>
              </w:rPr>
              <w:t>1217</w:t>
            </w:r>
          </w:p>
        </w:tc>
        <w:tc>
          <w:tcPr>
            <w:tcW w:w="1171" w:type="dxa"/>
            <w:noWrap/>
            <w:hideMark/>
          </w:tcPr>
          <w:p w14:paraId="40FC2791" w14:textId="77777777" w:rsidR="00481FB1" w:rsidRPr="00DC06C4" w:rsidRDefault="00481FB1" w:rsidP="00DC06C4">
            <w:pPr>
              <w:pStyle w:val="TableCopy"/>
              <w:rPr>
                <w:rFonts w:eastAsia="Times New Roman"/>
                <w:sz w:val="20"/>
                <w:szCs w:val="20"/>
              </w:rPr>
            </w:pPr>
            <w:r w:rsidRPr="00DC06C4">
              <w:rPr>
                <w:sz w:val="20"/>
                <w:szCs w:val="20"/>
              </w:rPr>
              <w:t>1235</w:t>
            </w:r>
          </w:p>
        </w:tc>
        <w:tc>
          <w:tcPr>
            <w:tcW w:w="1260" w:type="dxa"/>
            <w:noWrap/>
            <w:hideMark/>
          </w:tcPr>
          <w:p w14:paraId="2486C4C3" w14:textId="77777777" w:rsidR="00481FB1" w:rsidRPr="00DC06C4" w:rsidRDefault="00481FB1" w:rsidP="00DC06C4">
            <w:pPr>
              <w:pStyle w:val="TableCopy"/>
              <w:rPr>
                <w:rFonts w:eastAsia="Times New Roman"/>
                <w:sz w:val="20"/>
                <w:szCs w:val="20"/>
              </w:rPr>
            </w:pPr>
            <w:r w:rsidRPr="00DC06C4">
              <w:rPr>
                <w:sz w:val="20"/>
                <w:szCs w:val="20"/>
              </w:rPr>
              <w:t>1097</w:t>
            </w:r>
          </w:p>
        </w:tc>
        <w:tc>
          <w:tcPr>
            <w:tcW w:w="1536" w:type="dxa"/>
            <w:noWrap/>
            <w:hideMark/>
          </w:tcPr>
          <w:p w14:paraId="61373392" w14:textId="77777777" w:rsidR="00481FB1" w:rsidRPr="00DC06C4" w:rsidRDefault="00481FB1" w:rsidP="00DC06C4">
            <w:pPr>
              <w:pStyle w:val="TableCopy"/>
              <w:rPr>
                <w:rFonts w:eastAsia="Times New Roman"/>
                <w:sz w:val="20"/>
                <w:szCs w:val="20"/>
              </w:rPr>
            </w:pPr>
            <w:r w:rsidRPr="00DC06C4">
              <w:rPr>
                <w:sz w:val="20"/>
                <w:szCs w:val="20"/>
              </w:rPr>
              <w:t>1053</w:t>
            </w:r>
          </w:p>
        </w:tc>
        <w:tc>
          <w:tcPr>
            <w:tcW w:w="1555" w:type="dxa"/>
            <w:noWrap/>
            <w:hideMark/>
          </w:tcPr>
          <w:p w14:paraId="1DC253DD" w14:textId="77777777" w:rsidR="00481FB1" w:rsidRPr="00DC06C4" w:rsidRDefault="00481FB1" w:rsidP="00DC06C4">
            <w:pPr>
              <w:pStyle w:val="TableCopy"/>
              <w:rPr>
                <w:rFonts w:eastAsia="Times New Roman"/>
                <w:sz w:val="20"/>
                <w:szCs w:val="20"/>
              </w:rPr>
            </w:pPr>
            <w:r w:rsidRPr="00DC06C4">
              <w:rPr>
                <w:sz w:val="20"/>
                <w:szCs w:val="20"/>
              </w:rPr>
              <w:t>897</w:t>
            </w:r>
          </w:p>
        </w:tc>
        <w:tc>
          <w:tcPr>
            <w:tcW w:w="1105" w:type="dxa"/>
            <w:noWrap/>
            <w:hideMark/>
          </w:tcPr>
          <w:p w14:paraId="4318075F" w14:textId="77777777" w:rsidR="00481FB1" w:rsidRPr="00DC06C4" w:rsidRDefault="00481FB1" w:rsidP="00DC06C4">
            <w:pPr>
              <w:pStyle w:val="TableCopy"/>
              <w:rPr>
                <w:rFonts w:eastAsia="Times New Roman"/>
                <w:sz w:val="20"/>
                <w:szCs w:val="20"/>
              </w:rPr>
            </w:pPr>
            <w:r w:rsidRPr="00DC06C4">
              <w:rPr>
                <w:sz w:val="20"/>
                <w:szCs w:val="20"/>
              </w:rPr>
              <w:t>742</w:t>
            </w:r>
          </w:p>
        </w:tc>
        <w:tc>
          <w:tcPr>
            <w:tcW w:w="1543" w:type="dxa"/>
            <w:noWrap/>
            <w:hideMark/>
          </w:tcPr>
          <w:p w14:paraId="0BDFA94C" w14:textId="77777777" w:rsidR="00481FB1" w:rsidRPr="00DC06C4" w:rsidRDefault="00481FB1" w:rsidP="00DC06C4">
            <w:pPr>
              <w:pStyle w:val="TableCopy"/>
              <w:rPr>
                <w:rFonts w:eastAsia="Times New Roman"/>
                <w:sz w:val="20"/>
                <w:szCs w:val="20"/>
              </w:rPr>
            </w:pPr>
            <w:r w:rsidRPr="00DC06C4">
              <w:rPr>
                <w:sz w:val="20"/>
                <w:szCs w:val="20"/>
              </w:rPr>
              <w:t>806</w:t>
            </w:r>
          </w:p>
        </w:tc>
        <w:tc>
          <w:tcPr>
            <w:tcW w:w="1082" w:type="dxa"/>
            <w:noWrap/>
            <w:hideMark/>
          </w:tcPr>
          <w:p w14:paraId="1E6E7DA9" w14:textId="77777777" w:rsidR="00481FB1" w:rsidRPr="00DC06C4" w:rsidRDefault="00481FB1" w:rsidP="00DC06C4">
            <w:pPr>
              <w:pStyle w:val="TableCopy"/>
              <w:rPr>
                <w:rFonts w:eastAsia="Times New Roman"/>
                <w:sz w:val="20"/>
                <w:szCs w:val="20"/>
              </w:rPr>
            </w:pPr>
            <w:r w:rsidRPr="00DC06C4">
              <w:rPr>
                <w:sz w:val="20"/>
                <w:szCs w:val="20"/>
              </w:rPr>
              <w:t>684</w:t>
            </w:r>
          </w:p>
        </w:tc>
        <w:tc>
          <w:tcPr>
            <w:tcW w:w="1053" w:type="dxa"/>
            <w:noWrap/>
            <w:hideMark/>
          </w:tcPr>
          <w:p w14:paraId="0FD786F4" w14:textId="77777777" w:rsidR="00481FB1" w:rsidRPr="00DC06C4" w:rsidRDefault="00481FB1" w:rsidP="00DC06C4">
            <w:pPr>
              <w:pStyle w:val="TableCopy"/>
              <w:rPr>
                <w:rFonts w:eastAsia="Times New Roman"/>
                <w:sz w:val="20"/>
                <w:szCs w:val="20"/>
              </w:rPr>
            </w:pPr>
            <w:r w:rsidRPr="00DC06C4">
              <w:rPr>
                <w:sz w:val="20"/>
                <w:szCs w:val="20"/>
              </w:rPr>
              <w:t>685</w:t>
            </w:r>
          </w:p>
        </w:tc>
      </w:tr>
      <w:tr w:rsidR="00DC06C4" w:rsidRPr="00DC06C4" w14:paraId="753B93B1" w14:textId="77777777" w:rsidTr="00C865B6">
        <w:tc>
          <w:tcPr>
            <w:tcW w:w="562" w:type="dxa"/>
            <w:noWrap/>
            <w:hideMark/>
          </w:tcPr>
          <w:p w14:paraId="52AB6C49" w14:textId="77777777" w:rsidR="00481FB1" w:rsidRPr="00DC06C4" w:rsidRDefault="00481FB1" w:rsidP="00DC06C4">
            <w:pPr>
              <w:pStyle w:val="TableCopy"/>
              <w:rPr>
                <w:rFonts w:eastAsia="Times New Roman"/>
                <w:sz w:val="20"/>
                <w:szCs w:val="20"/>
              </w:rPr>
            </w:pPr>
            <w:r w:rsidRPr="00DC06C4">
              <w:rPr>
                <w:rFonts w:eastAsia="Times New Roman"/>
                <w:sz w:val="20"/>
                <w:szCs w:val="20"/>
              </w:rPr>
              <w:t>2020</w:t>
            </w:r>
          </w:p>
        </w:tc>
        <w:tc>
          <w:tcPr>
            <w:tcW w:w="1762" w:type="dxa"/>
            <w:noWrap/>
            <w:hideMark/>
          </w:tcPr>
          <w:p w14:paraId="15662169" w14:textId="77777777" w:rsidR="00481FB1" w:rsidRPr="00DC06C4" w:rsidRDefault="00481FB1" w:rsidP="00DC06C4">
            <w:pPr>
              <w:pStyle w:val="TableCopy"/>
              <w:rPr>
                <w:rFonts w:eastAsia="Times New Roman"/>
                <w:sz w:val="20"/>
                <w:szCs w:val="20"/>
              </w:rPr>
            </w:pPr>
            <w:r w:rsidRPr="00DC06C4">
              <w:rPr>
                <w:sz w:val="20"/>
                <w:szCs w:val="20"/>
              </w:rPr>
              <w:t>4306</w:t>
            </w:r>
          </w:p>
        </w:tc>
        <w:tc>
          <w:tcPr>
            <w:tcW w:w="1359" w:type="dxa"/>
            <w:noWrap/>
            <w:hideMark/>
          </w:tcPr>
          <w:p w14:paraId="0A1C7A69" w14:textId="77777777" w:rsidR="00481FB1" w:rsidRPr="00DC06C4" w:rsidRDefault="00481FB1" w:rsidP="00DC06C4">
            <w:pPr>
              <w:pStyle w:val="TableCopy"/>
              <w:rPr>
                <w:rFonts w:eastAsia="Times New Roman"/>
                <w:sz w:val="20"/>
                <w:szCs w:val="20"/>
              </w:rPr>
            </w:pPr>
            <w:r w:rsidRPr="00DC06C4">
              <w:rPr>
                <w:sz w:val="20"/>
                <w:szCs w:val="20"/>
              </w:rPr>
              <w:t>1364</w:t>
            </w:r>
          </w:p>
        </w:tc>
        <w:tc>
          <w:tcPr>
            <w:tcW w:w="1171" w:type="dxa"/>
            <w:noWrap/>
            <w:hideMark/>
          </w:tcPr>
          <w:p w14:paraId="0190C9A4" w14:textId="77777777" w:rsidR="00481FB1" w:rsidRPr="00DC06C4" w:rsidRDefault="00481FB1" w:rsidP="00DC06C4">
            <w:pPr>
              <w:pStyle w:val="TableCopy"/>
              <w:rPr>
                <w:rFonts w:eastAsia="Times New Roman"/>
                <w:sz w:val="20"/>
                <w:szCs w:val="20"/>
              </w:rPr>
            </w:pPr>
            <w:r w:rsidRPr="00DC06C4">
              <w:rPr>
                <w:sz w:val="20"/>
                <w:szCs w:val="20"/>
              </w:rPr>
              <w:t>1198</w:t>
            </w:r>
          </w:p>
        </w:tc>
        <w:tc>
          <w:tcPr>
            <w:tcW w:w="1260" w:type="dxa"/>
            <w:noWrap/>
            <w:hideMark/>
          </w:tcPr>
          <w:p w14:paraId="2A945499" w14:textId="77777777" w:rsidR="00481FB1" w:rsidRPr="00DC06C4" w:rsidRDefault="00481FB1" w:rsidP="00DC06C4">
            <w:pPr>
              <w:pStyle w:val="TableCopy"/>
              <w:rPr>
                <w:rFonts w:eastAsia="Times New Roman"/>
                <w:sz w:val="20"/>
                <w:szCs w:val="20"/>
              </w:rPr>
            </w:pPr>
            <w:r w:rsidRPr="00DC06C4">
              <w:rPr>
                <w:sz w:val="20"/>
                <w:szCs w:val="20"/>
              </w:rPr>
              <w:t>1001</w:t>
            </w:r>
          </w:p>
        </w:tc>
        <w:tc>
          <w:tcPr>
            <w:tcW w:w="1536" w:type="dxa"/>
            <w:noWrap/>
            <w:hideMark/>
          </w:tcPr>
          <w:p w14:paraId="177E3805" w14:textId="77777777" w:rsidR="00481FB1" w:rsidRPr="00DC06C4" w:rsidRDefault="00481FB1" w:rsidP="00DC06C4">
            <w:pPr>
              <w:pStyle w:val="TableCopy"/>
              <w:rPr>
                <w:rFonts w:eastAsia="Times New Roman"/>
                <w:sz w:val="20"/>
                <w:szCs w:val="20"/>
              </w:rPr>
            </w:pPr>
            <w:r w:rsidRPr="00DC06C4">
              <w:rPr>
                <w:sz w:val="20"/>
                <w:szCs w:val="20"/>
              </w:rPr>
              <w:t>976</w:t>
            </w:r>
          </w:p>
        </w:tc>
        <w:tc>
          <w:tcPr>
            <w:tcW w:w="1555" w:type="dxa"/>
            <w:noWrap/>
            <w:hideMark/>
          </w:tcPr>
          <w:p w14:paraId="6037CCE7" w14:textId="77777777" w:rsidR="00481FB1" w:rsidRPr="00DC06C4" w:rsidRDefault="00481FB1" w:rsidP="00DC06C4">
            <w:pPr>
              <w:pStyle w:val="TableCopy"/>
              <w:rPr>
                <w:rFonts w:eastAsia="Times New Roman"/>
                <w:sz w:val="20"/>
                <w:szCs w:val="20"/>
              </w:rPr>
            </w:pPr>
            <w:r w:rsidRPr="00DC06C4">
              <w:rPr>
                <w:sz w:val="20"/>
                <w:szCs w:val="20"/>
              </w:rPr>
              <w:t>870</w:t>
            </w:r>
          </w:p>
        </w:tc>
        <w:tc>
          <w:tcPr>
            <w:tcW w:w="1105" w:type="dxa"/>
            <w:noWrap/>
            <w:hideMark/>
          </w:tcPr>
          <w:p w14:paraId="57BC9B23" w14:textId="77777777" w:rsidR="00481FB1" w:rsidRPr="00DC06C4" w:rsidRDefault="00481FB1" w:rsidP="00DC06C4">
            <w:pPr>
              <w:pStyle w:val="TableCopy"/>
              <w:rPr>
                <w:rFonts w:eastAsia="Times New Roman"/>
                <w:sz w:val="20"/>
                <w:szCs w:val="20"/>
              </w:rPr>
            </w:pPr>
            <w:r w:rsidRPr="00DC06C4">
              <w:rPr>
                <w:sz w:val="20"/>
                <w:szCs w:val="20"/>
              </w:rPr>
              <w:t>824</w:t>
            </w:r>
          </w:p>
        </w:tc>
        <w:tc>
          <w:tcPr>
            <w:tcW w:w="1543" w:type="dxa"/>
            <w:noWrap/>
            <w:hideMark/>
          </w:tcPr>
          <w:p w14:paraId="79986E5F" w14:textId="77777777" w:rsidR="00481FB1" w:rsidRPr="00DC06C4" w:rsidRDefault="00481FB1" w:rsidP="00DC06C4">
            <w:pPr>
              <w:pStyle w:val="TableCopy"/>
              <w:rPr>
                <w:rFonts w:eastAsia="Times New Roman"/>
                <w:sz w:val="20"/>
                <w:szCs w:val="20"/>
              </w:rPr>
            </w:pPr>
            <w:r w:rsidRPr="00DC06C4">
              <w:rPr>
                <w:sz w:val="20"/>
                <w:szCs w:val="20"/>
              </w:rPr>
              <w:t>805</w:t>
            </w:r>
          </w:p>
        </w:tc>
        <w:tc>
          <w:tcPr>
            <w:tcW w:w="1082" w:type="dxa"/>
            <w:noWrap/>
            <w:hideMark/>
          </w:tcPr>
          <w:p w14:paraId="67CF187D" w14:textId="77777777" w:rsidR="00481FB1" w:rsidRPr="00DC06C4" w:rsidRDefault="00481FB1" w:rsidP="00DC06C4">
            <w:pPr>
              <w:pStyle w:val="TableCopy"/>
              <w:rPr>
                <w:rFonts w:eastAsia="Times New Roman"/>
                <w:sz w:val="20"/>
                <w:szCs w:val="20"/>
              </w:rPr>
            </w:pPr>
            <w:r w:rsidRPr="00DC06C4">
              <w:rPr>
                <w:sz w:val="20"/>
                <w:szCs w:val="20"/>
              </w:rPr>
              <w:t>719</w:t>
            </w:r>
          </w:p>
        </w:tc>
        <w:tc>
          <w:tcPr>
            <w:tcW w:w="1053" w:type="dxa"/>
            <w:noWrap/>
            <w:hideMark/>
          </w:tcPr>
          <w:p w14:paraId="0EEB557F" w14:textId="77777777" w:rsidR="00481FB1" w:rsidRPr="00DC06C4" w:rsidRDefault="00481FB1" w:rsidP="00DC06C4">
            <w:pPr>
              <w:pStyle w:val="TableCopy"/>
              <w:rPr>
                <w:rFonts w:eastAsia="Times New Roman"/>
                <w:sz w:val="20"/>
                <w:szCs w:val="20"/>
              </w:rPr>
            </w:pPr>
            <w:r w:rsidRPr="00DC06C4">
              <w:rPr>
                <w:sz w:val="20"/>
                <w:szCs w:val="20"/>
              </w:rPr>
              <w:t>677</w:t>
            </w:r>
          </w:p>
        </w:tc>
      </w:tr>
    </w:tbl>
    <w:p w14:paraId="099DF41A" w14:textId="0D00BCF3" w:rsidR="00481FB1" w:rsidRDefault="00000000" w:rsidP="00481FB1">
      <w:pPr>
        <w:rPr>
          <w:sz w:val="20"/>
          <w:szCs w:val="20"/>
        </w:rPr>
      </w:pPr>
      <w:hyperlink w:anchor="Fig_4" w:history="1">
        <w:r w:rsidR="00C865B6" w:rsidRPr="00D36855">
          <w:rPr>
            <w:rStyle w:val="Hyperlink"/>
          </w:rPr>
          <w:t>Click here to return to document</w:t>
        </w:r>
      </w:hyperlink>
    </w:p>
    <w:p w14:paraId="56CE3D64" w14:textId="77777777" w:rsidR="00DC06C4" w:rsidRDefault="00DC06C4" w:rsidP="00481FB1">
      <w:pPr>
        <w:keepNext/>
        <w:keepLines/>
        <w:spacing w:before="200"/>
        <w:outlineLvl w:val="2"/>
        <w:rPr>
          <w:rFonts w:eastAsia="MS Gothic"/>
          <w:b/>
          <w:bCs/>
          <w:sz w:val="28"/>
        </w:rPr>
        <w:sectPr w:rsidR="00DC06C4" w:rsidSect="00DC06C4">
          <w:pgSz w:w="16838" w:h="11906" w:orient="landscape"/>
          <w:pgMar w:top="1440" w:right="1440" w:bottom="1440" w:left="1440" w:header="720" w:footer="720" w:gutter="0"/>
          <w:cols w:space="720"/>
          <w:noEndnote/>
          <w:docGrid w:linePitch="326"/>
        </w:sectPr>
      </w:pPr>
    </w:p>
    <w:p w14:paraId="0BAA343C" w14:textId="77777777" w:rsidR="00481FB1" w:rsidRDefault="00481FB1" w:rsidP="00DC06C4">
      <w:pPr>
        <w:pStyle w:val="Heading2"/>
      </w:pPr>
      <w:bookmarkStart w:id="129" w:name="_Figure_5_Gippsland"/>
      <w:bookmarkStart w:id="130" w:name="_Toc118405150"/>
      <w:bookmarkEnd w:id="129"/>
      <w:r>
        <w:lastRenderedPageBreak/>
        <w:t>Figure 5 Gippsland</w:t>
      </w:r>
      <w:r w:rsidRPr="00B92CE2">
        <w:t xml:space="preserve"> industry employment location quotient and growth </w:t>
      </w:r>
      <w:r>
        <w:t>– Long Alternate Text</w:t>
      </w:r>
      <w:bookmarkEnd w:id="130"/>
    </w:p>
    <w:p w14:paraId="1BA28A69" w14:textId="77777777" w:rsidR="00481FB1" w:rsidRDefault="00481FB1" w:rsidP="001E748E">
      <w:r w:rsidRPr="00EA1944">
        <w:t xml:space="preserve">The graph is divided into four quadrants. </w:t>
      </w:r>
    </w:p>
    <w:p w14:paraId="45A4A2DB" w14:textId="77777777" w:rsidR="00481FB1" w:rsidRPr="00EA1944" w:rsidRDefault="00481FB1" w:rsidP="001E748E">
      <w:pPr>
        <w:rPr>
          <w:color w:val="343841"/>
        </w:rPr>
      </w:pPr>
      <w:r w:rsidRPr="00EA1944">
        <w:t xml:space="preserve">The first quadrant identifies the industries that are a) </w:t>
      </w:r>
      <w:r w:rsidRPr="00EA1944">
        <w:rPr>
          <w:color w:val="343841"/>
        </w:rPr>
        <w:t>experiencing slower employment</w:t>
      </w:r>
      <w:r>
        <w:rPr>
          <w:color w:val="343841"/>
        </w:rPr>
        <w:t xml:space="preserve"> </w:t>
      </w:r>
      <w:r w:rsidRPr="00EA1944">
        <w:rPr>
          <w:color w:val="343841"/>
        </w:rPr>
        <w:t>growth (or faster declines) than state averages</w:t>
      </w:r>
      <w:r w:rsidRPr="00EA1944">
        <w:t xml:space="preserve"> and b) have higher levels of employment </w:t>
      </w:r>
      <w:r>
        <w:t>specialisation</w:t>
      </w:r>
      <w:r w:rsidRPr="00EA1944">
        <w:t xml:space="preserve"> than state averages </w:t>
      </w:r>
    </w:p>
    <w:p w14:paraId="580874B0" w14:textId="77777777" w:rsidR="00481FB1" w:rsidRPr="00EA1944" w:rsidRDefault="00481FB1" w:rsidP="001E748E">
      <w:r w:rsidRPr="00EA1944">
        <w:t>The following industries are in quadrant 1:</w:t>
      </w:r>
    </w:p>
    <w:p w14:paraId="57716891" w14:textId="77777777" w:rsidR="00481FB1" w:rsidRPr="00EA1944" w:rsidRDefault="00481FB1" w:rsidP="001E748E">
      <w:pPr>
        <w:pStyle w:val="Bullet"/>
      </w:pPr>
      <w:r w:rsidRPr="00EA1944">
        <w:t>Agriculture, Forestry and Fishing</w:t>
      </w:r>
    </w:p>
    <w:p w14:paraId="34C55A58" w14:textId="77777777" w:rsidR="00481FB1" w:rsidRPr="00EA1944" w:rsidRDefault="00481FB1" w:rsidP="001E748E">
      <w:pPr>
        <w:pStyle w:val="Bullet"/>
      </w:pPr>
      <w:r w:rsidRPr="00EA1944">
        <w:t>Electricity Supply</w:t>
      </w:r>
    </w:p>
    <w:p w14:paraId="1227A961" w14:textId="77777777" w:rsidR="00481FB1" w:rsidRPr="00EA1944" w:rsidRDefault="00481FB1" w:rsidP="001E748E">
      <w:pPr>
        <w:pStyle w:val="Bullet"/>
      </w:pPr>
      <w:r w:rsidRPr="00EA1944">
        <w:t>Heavy and Civil Construction</w:t>
      </w:r>
    </w:p>
    <w:p w14:paraId="1699A5B0" w14:textId="77777777" w:rsidR="00481FB1" w:rsidRPr="00EA1944" w:rsidRDefault="00481FB1" w:rsidP="001E748E">
      <w:pPr>
        <w:pStyle w:val="Bullet"/>
      </w:pPr>
      <w:r w:rsidRPr="00EA1944">
        <w:t>Residential Care Services</w:t>
      </w:r>
    </w:p>
    <w:p w14:paraId="1F76144D" w14:textId="77777777" w:rsidR="00481FB1" w:rsidRPr="00EA1944" w:rsidRDefault="00481FB1" w:rsidP="001E748E">
      <w:pPr>
        <w:pStyle w:val="Bullet"/>
      </w:pPr>
      <w:r w:rsidRPr="00EA1944">
        <w:t>Accommodation and Food Services</w:t>
      </w:r>
    </w:p>
    <w:p w14:paraId="0FF58CC4" w14:textId="77777777" w:rsidR="00481FB1" w:rsidRPr="00EA1944" w:rsidRDefault="00481FB1" w:rsidP="001E748E">
      <w:pPr>
        <w:pStyle w:val="Bullet"/>
      </w:pPr>
      <w:r w:rsidRPr="00EA1944">
        <w:t>Public Administration and Safety</w:t>
      </w:r>
    </w:p>
    <w:p w14:paraId="5A25F6EB" w14:textId="77777777" w:rsidR="00481FB1" w:rsidRPr="00EA1944" w:rsidRDefault="00481FB1" w:rsidP="001E748E">
      <w:r w:rsidRPr="00EA1944">
        <w:t xml:space="preserve">The second quadrant identifies the industries that are a) </w:t>
      </w:r>
      <w:r w:rsidRPr="00EA1944">
        <w:rPr>
          <w:color w:val="343841"/>
        </w:rPr>
        <w:t>experiencing faster employment</w:t>
      </w:r>
      <w:r>
        <w:rPr>
          <w:color w:val="343841"/>
        </w:rPr>
        <w:t xml:space="preserve"> </w:t>
      </w:r>
      <w:r w:rsidRPr="00EA1944">
        <w:rPr>
          <w:color w:val="343841"/>
        </w:rPr>
        <w:t>growth (or slower declines) than state averages</w:t>
      </w:r>
      <w:r w:rsidRPr="00EA1944">
        <w:t xml:space="preserve"> and b) have higher levels of employment </w:t>
      </w:r>
      <w:r>
        <w:t>specialisation</w:t>
      </w:r>
      <w:r w:rsidRPr="00EA1944">
        <w:t xml:space="preserve"> than state averages.</w:t>
      </w:r>
    </w:p>
    <w:p w14:paraId="7D7E8CA7" w14:textId="77777777" w:rsidR="00481FB1" w:rsidRPr="00EA1944" w:rsidRDefault="00481FB1" w:rsidP="001E748E">
      <w:r w:rsidRPr="00EA1944">
        <w:t>The following industries are in quadrant 2:</w:t>
      </w:r>
    </w:p>
    <w:p w14:paraId="7AE6E976" w14:textId="77777777" w:rsidR="00481FB1" w:rsidRPr="00EA1944" w:rsidRDefault="00481FB1" w:rsidP="001E748E">
      <w:pPr>
        <w:pStyle w:val="Bullet"/>
      </w:pPr>
      <w:r w:rsidRPr="00EA1944">
        <w:t>Sports and Recreation Activities</w:t>
      </w:r>
    </w:p>
    <w:p w14:paraId="07974B62" w14:textId="77777777" w:rsidR="00481FB1" w:rsidRPr="00EA1944" w:rsidRDefault="00481FB1" w:rsidP="001E748E">
      <w:pPr>
        <w:pStyle w:val="Bullet"/>
      </w:pPr>
      <w:r w:rsidRPr="00EA1944">
        <w:t>Preschool and School Education</w:t>
      </w:r>
    </w:p>
    <w:p w14:paraId="52339749" w14:textId="77777777" w:rsidR="00481FB1" w:rsidRPr="00EA1944" w:rsidRDefault="00481FB1" w:rsidP="001E748E">
      <w:pPr>
        <w:pStyle w:val="Bullet"/>
      </w:pPr>
      <w:r w:rsidRPr="00EA1944">
        <w:t>Medical and Other Healthcare Services</w:t>
      </w:r>
    </w:p>
    <w:p w14:paraId="203FBD90" w14:textId="40FEF9BF" w:rsidR="00481FB1" w:rsidRPr="00EA1944" w:rsidRDefault="00481FB1" w:rsidP="001E748E">
      <w:pPr>
        <w:pStyle w:val="Bullet"/>
      </w:pPr>
      <w:r w:rsidRPr="00EA1944">
        <w:t>Education and Training</w:t>
      </w:r>
    </w:p>
    <w:p w14:paraId="48580252" w14:textId="77777777" w:rsidR="00481FB1" w:rsidRPr="00EA1944" w:rsidRDefault="00481FB1" w:rsidP="001E748E">
      <w:r w:rsidRPr="00EA1944">
        <w:t>The third quadrant the industries that are a) experiencing slower employment</w:t>
      </w:r>
      <w:r>
        <w:t xml:space="preserve"> </w:t>
      </w:r>
      <w:r w:rsidRPr="00EA1944">
        <w:t xml:space="preserve">growth (or faster declines) than state averages and b) have lower levels of employment </w:t>
      </w:r>
      <w:r>
        <w:t>specialisation</w:t>
      </w:r>
      <w:r w:rsidRPr="00EA1944">
        <w:t xml:space="preserve"> than state averages.</w:t>
      </w:r>
    </w:p>
    <w:p w14:paraId="735DE8CA" w14:textId="77777777" w:rsidR="00481FB1" w:rsidRPr="00EA1944" w:rsidRDefault="00481FB1" w:rsidP="001E748E">
      <w:r w:rsidRPr="00EA1944">
        <w:t>There are no industries in the third quadrant.</w:t>
      </w:r>
    </w:p>
    <w:p w14:paraId="74B887E3" w14:textId="77777777" w:rsidR="00481FB1" w:rsidRPr="00EA1944" w:rsidRDefault="00481FB1" w:rsidP="001E748E">
      <w:r w:rsidRPr="00EA1944">
        <w:t>The fourth quadrant identifies industries that are a) experiencing faster employment</w:t>
      </w:r>
      <w:r>
        <w:t xml:space="preserve"> </w:t>
      </w:r>
      <w:r w:rsidRPr="00EA1944">
        <w:t xml:space="preserve">growth (or slower declines) than state averages an b) have lower levels of employment </w:t>
      </w:r>
      <w:r>
        <w:t>specialisation</w:t>
      </w:r>
      <w:r w:rsidRPr="00EA1944">
        <w:t xml:space="preserve"> than state averages.</w:t>
      </w:r>
    </w:p>
    <w:p w14:paraId="0F48E5E8" w14:textId="77777777" w:rsidR="00481FB1" w:rsidRPr="00EA1944" w:rsidRDefault="00481FB1" w:rsidP="001E748E">
      <w:r w:rsidRPr="00EA1944">
        <w:t>The following industries are in quadrant 4:</w:t>
      </w:r>
    </w:p>
    <w:p w14:paraId="7AA8A9E1" w14:textId="77777777" w:rsidR="00481FB1" w:rsidRPr="00EA1944" w:rsidRDefault="00481FB1" w:rsidP="001E748E">
      <w:pPr>
        <w:pStyle w:val="Bullet"/>
      </w:pPr>
      <w:r w:rsidRPr="00EA1944">
        <w:t>Manufacturing</w:t>
      </w:r>
    </w:p>
    <w:p w14:paraId="338A0A36" w14:textId="77777777" w:rsidR="00481FB1" w:rsidRPr="00EA1944" w:rsidRDefault="00481FB1" w:rsidP="001E748E">
      <w:pPr>
        <w:pStyle w:val="Bullet"/>
      </w:pPr>
      <w:r w:rsidRPr="00EA1944">
        <w:t>Tertiary Education</w:t>
      </w:r>
    </w:p>
    <w:p w14:paraId="433459EE" w14:textId="4921D9A6" w:rsidR="00FD1560" w:rsidRDefault="00000000" w:rsidP="00FD1560">
      <w:pPr>
        <w:rPr>
          <w:sz w:val="20"/>
          <w:szCs w:val="20"/>
        </w:rPr>
      </w:pPr>
      <w:hyperlink w:anchor="Fig_5" w:history="1">
        <w:r w:rsidR="00FD1560" w:rsidRPr="00D36855">
          <w:rPr>
            <w:rStyle w:val="Hyperlink"/>
          </w:rPr>
          <w:t>Click here to return to document</w:t>
        </w:r>
      </w:hyperlink>
    </w:p>
    <w:p w14:paraId="60B1AA4D" w14:textId="77777777" w:rsidR="00481FB1" w:rsidRDefault="00481FB1" w:rsidP="001E748E">
      <w:pPr>
        <w:pStyle w:val="Heading2"/>
      </w:pPr>
      <w:bookmarkStart w:id="131" w:name="_Figure_6_Gippsland"/>
      <w:bookmarkStart w:id="132" w:name="_Toc118405151"/>
      <w:bookmarkEnd w:id="131"/>
      <w:r>
        <w:lastRenderedPageBreak/>
        <w:t>Figure 6 Gippsland</w:t>
      </w:r>
      <w:r w:rsidRPr="001922A9">
        <w:t xml:space="preserve"> industry output (GVA) location quotient and growth </w:t>
      </w:r>
      <w:r>
        <w:t>– Long Alternate Text</w:t>
      </w:r>
      <w:bookmarkEnd w:id="132"/>
    </w:p>
    <w:p w14:paraId="1ADF2B82" w14:textId="77777777" w:rsidR="00481FB1" w:rsidRPr="00EA1944" w:rsidRDefault="00481FB1" w:rsidP="001E748E">
      <w:r w:rsidRPr="00EA1944">
        <w:t xml:space="preserve">The first quadrant identifies the industries that are a) </w:t>
      </w:r>
      <w:r w:rsidRPr="00EA1944">
        <w:rPr>
          <w:color w:val="343841"/>
        </w:rPr>
        <w:t>experiencing slower GVA</w:t>
      </w:r>
      <w:r>
        <w:rPr>
          <w:color w:val="343841"/>
        </w:rPr>
        <w:t xml:space="preserve"> </w:t>
      </w:r>
      <w:r w:rsidRPr="00EA1944">
        <w:rPr>
          <w:color w:val="343841"/>
        </w:rPr>
        <w:t>growth (or faster declines) than state averages</w:t>
      </w:r>
      <w:r w:rsidRPr="00EA1944">
        <w:t xml:space="preserve"> and b) have higher levels of GVA </w:t>
      </w:r>
      <w:r>
        <w:t>specialisation</w:t>
      </w:r>
      <w:r w:rsidRPr="00EA1944">
        <w:t xml:space="preserve"> than state averages </w:t>
      </w:r>
    </w:p>
    <w:p w14:paraId="7E94E467" w14:textId="77777777" w:rsidR="00481FB1" w:rsidRPr="00EA1944" w:rsidRDefault="00481FB1" w:rsidP="001E748E">
      <w:r w:rsidRPr="00EA1944">
        <w:t>The following industries are in quadrant 1:</w:t>
      </w:r>
    </w:p>
    <w:p w14:paraId="310B3CE1" w14:textId="77777777" w:rsidR="00481FB1" w:rsidRPr="00EA1944" w:rsidRDefault="00481FB1" w:rsidP="001E748E">
      <w:pPr>
        <w:pStyle w:val="Bullet"/>
      </w:pPr>
      <w:r w:rsidRPr="00EA1944">
        <w:t>Agriculture, Forestry and Fishing</w:t>
      </w:r>
    </w:p>
    <w:p w14:paraId="172B4827" w14:textId="77777777" w:rsidR="00481FB1" w:rsidRPr="00EA1944" w:rsidRDefault="00481FB1" w:rsidP="001E748E">
      <w:pPr>
        <w:pStyle w:val="Bullet"/>
      </w:pPr>
      <w:r w:rsidRPr="00EA1944">
        <w:t>Electricity Supply</w:t>
      </w:r>
    </w:p>
    <w:p w14:paraId="727BAD6C" w14:textId="77777777" w:rsidR="00481FB1" w:rsidRPr="00EA1944" w:rsidRDefault="00481FB1" w:rsidP="001E748E">
      <w:pPr>
        <w:pStyle w:val="Bullet"/>
      </w:pPr>
      <w:r w:rsidRPr="00EA1944">
        <w:t>Heavy and Civil Engineering construction</w:t>
      </w:r>
    </w:p>
    <w:p w14:paraId="0DB8FD5A" w14:textId="77777777" w:rsidR="00481FB1" w:rsidRPr="00EA1944" w:rsidRDefault="00481FB1" w:rsidP="001E748E">
      <w:pPr>
        <w:pStyle w:val="Bullet"/>
      </w:pPr>
      <w:r w:rsidRPr="00EA1944">
        <w:t>Electricity, Gas, Water and Waste Services</w:t>
      </w:r>
    </w:p>
    <w:p w14:paraId="0CDC1594" w14:textId="77777777" w:rsidR="00481FB1" w:rsidRPr="00EA1944" w:rsidRDefault="00481FB1" w:rsidP="001E748E">
      <w:r w:rsidRPr="00EA1944">
        <w:t xml:space="preserve">The second quadrant identifies the industries that are a) </w:t>
      </w:r>
      <w:r w:rsidRPr="00EA1944">
        <w:rPr>
          <w:color w:val="343841"/>
        </w:rPr>
        <w:t>experiencing faster GVA</w:t>
      </w:r>
      <w:r>
        <w:rPr>
          <w:color w:val="343841"/>
        </w:rPr>
        <w:t xml:space="preserve"> </w:t>
      </w:r>
      <w:r w:rsidRPr="00EA1944">
        <w:rPr>
          <w:color w:val="343841"/>
        </w:rPr>
        <w:t>growth (or slower declines) than state averages</w:t>
      </w:r>
      <w:r w:rsidRPr="00EA1944">
        <w:t xml:space="preserve"> and b) have higher levels of GVA </w:t>
      </w:r>
      <w:r>
        <w:t>specialisation</w:t>
      </w:r>
      <w:r w:rsidRPr="00EA1944">
        <w:t xml:space="preserve"> than state averages.</w:t>
      </w:r>
    </w:p>
    <w:p w14:paraId="723484DC" w14:textId="77777777" w:rsidR="00481FB1" w:rsidRPr="00EA1944" w:rsidRDefault="00481FB1" w:rsidP="001E748E">
      <w:r w:rsidRPr="00EA1944">
        <w:t>The following industries are in quadrant 2:</w:t>
      </w:r>
    </w:p>
    <w:p w14:paraId="63D9F1AB" w14:textId="77777777" w:rsidR="00481FB1" w:rsidRPr="00EA1944" w:rsidRDefault="00481FB1" w:rsidP="001E748E">
      <w:pPr>
        <w:pStyle w:val="Bullet"/>
      </w:pPr>
      <w:r w:rsidRPr="00EA1944">
        <w:t>Water Supply, Sewerage and Drainage Services</w:t>
      </w:r>
    </w:p>
    <w:p w14:paraId="3B190FCD" w14:textId="77777777" w:rsidR="00481FB1" w:rsidRPr="00EA1944" w:rsidRDefault="00481FB1" w:rsidP="001E748E">
      <w:pPr>
        <w:pStyle w:val="Bullet"/>
      </w:pPr>
      <w:r w:rsidRPr="00EA1944">
        <w:t>Preschool and School Education</w:t>
      </w:r>
    </w:p>
    <w:p w14:paraId="4B800DC7" w14:textId="77777777" w:rsidR="00481FB1" w:rsidRPr="00083367" w:rsidRDefault="00481FB1" w:rsidP="001E748E">
      <w:pPr>
        <w:pStyle w:val="Bullet"/>
      </w:pPr>
      <w:r w:rsidRPr="00EA1944">
        <w:t>Medical and other healthcare services</w:t>
      </w:r>
    </w:p>
    <w:p w14:paraId="0A9D7120" w14:textId="77777777" w:rsidR="00481FB1" w:rsidRPr="00EA1944" w:rsidRDefault="00481FB1" w:rsidP="001E748E">
      <w:r w:rsidRPr="00EA1944">
        <w:t xml:space="preserve">The third quadrant the industries that are a) </w:t>
      </w:r>
      <w:r w:rsidRPr="00EA1944">
        <w:rPr>
          <w:color w:val="343841"/>
        </w:rPr>
        <w:t>experiencing slower GVA</w:t>
      </w:r>
      <w:r>
        <w:rPr>
          <w:color w:val="343841"/>
        </w:rPr>
        <w:t xml:space="preserve"> </w:t>
      </w:r>
      <w:r w:rsidRPr="00EA1944">
        <w:rPr>
          <w:color w:val="343841"/>
        </w:rPr>
        <w:t>growth (or faster declines) than state averages</w:t>
      </w:r>
      <w:r w:rsidRPr="00EA1944">
        <w:t xml:space="preserve"> and b) have lower levels of GVA </w:t>
      </w:r>
      <w:r>
        <w:t>specialisation</w:t>
      </w:r>
      <w:r w:rsidRPr="00EA1944">
        <w:t xml:space="preserve"> than state averages.</w:t>
      </w:r>
    </w:p>
    <w:p w14:paraId="55098655" w14:textId="77777777" w:rsidR="00481FB1" w:rsidRPr="00EA1944" w:rsidRDefault="00481FB1" w:rsidP="001E748E">
      <w:r w:rsidRPr="00EA1944">
        <w:t>The following industries are in quadrant 3:</w:t>
      </w:r>
    </w:p>
    <w:p w14:paraId="69733D13" w14:textId="77777777" w:rsidR="00481FB1" w:rsidRPr="00EA1944" w:rsidRDefault="00481FB1" w:rsidP="001E748E">
      <w:pPr>
        <w:pStyle w:val="Bullet"/>
      </w:pPr>
      <w:r w:rsidRPr="00EA1944">
        <w:t>Construction</w:t>
      </w:r>
    </w:p>
    <w:p w14:paraId="04FAE5B6" w14:textId="77777777" w:rsidR="00481FB1" w:rsidRPr="00EA1944" w:rsidRDefault="00481FB1" w:rsidP="001E748E">
      <w:pPr>
        <w:pStyle w:val="Bullet"/>
      </w:pPr>
      <w:r w:rsidRPr="00EA1944">
        <w:t>Health Care and Social Assistance</w:t>
      </w:r>
    </w:p>
    <w:p w14:paraId="284B287F" w14:textId="77777777" w:rsidR="00481FB1" w:rsidRPr="00083367" w:rsidRDefault="00481FB1" w:rsidP="001E748E">
      <w:pPr>
        <w:pStyle w:val="Bullet"/>
      </w:pPr>
      <w:r w:rsidRPr="00EA1944">
        <w:t>Public Administration and Safety</w:t>
      </w:r>
    </w:p>
    <w:p w14:paraId="665D5E82" w14:textId="77777777" w:rsidR="00481FB1" w:rsidRPr="00EA1944" w:rsidRDefault="00481FB1" w:rsidP="00481FB1">
      <w:r w:rsidRPr="00EA1944">
        <w:t xml:space="preserve">The fourth quadrant identifies industries that are a) </w:t>
      </w:r>
      <w:r w:rsidRPr="00EA1944">
        <w:rPr>
          <w:color w:val="343841"/>
        </w:rPr>
        <w:t>experiencing faster GVA</w:t>
      </w:r>
      <w:r>
        <w:rPr>
          <w:color w:val="343841"/>
        </w:rPr>
        <w:t xml:space="preserve"> </w:t>
      </w:r>
      <w:r w:rsidRPr="00EA1944">
        <w:rPr>
          <w:color w:val="343841"/>
        </w:rPr>
        <w:t>growth (or slower declines) than state averages</w:t>
      </w:r>
      <w:r w:rsidRPr="00EA1944">
        <w:t xml:space="preserve"> an b) have lower levels of GVA </w:t>
      </w:r>
      <w:r>
        <w:t>specialisation</w:t>
      </w:r>
      <w:r w:rsidRPr="00EA1944">
        <w:t xml:space="preserve"> than state averages.</w:t>
      </w:r>
    </w:p>
    <w:p w14:paraId="26FFA148" w14:textId="77777777" w:rsidR="00481FB1" w:rsidRPr="00EA1944" w:rsidRDefault="00481FB1" w:rsidP="00481FB1">
      <w:r w:rsidRPr="00EA1944">
        <w:t>The following industries are in quadrant 4:</w:t>
      </w:r>
    </w:p>
    <w:p w14:paraId="37DB0AE4" w14:textId="77777777" w:rsidR="00481FB1" w:rsidRPr="00EA1944" w:rsidRDefault="00481FB1" w:rsidP="001E748E">
      <w:pPr>
        <w:pStyle w:val="Bullet"/>
      </w:pPr>
      <w:r w:rsidRPr="00EA1944">
        <w:t>Manufacturing</w:t>
      </w:r>
    </w:p>
    <w:p w14:paraId="693DAE75" w14:textId="77777777" w:rsidR="00481FB1" w:rsidRPr="00EA1944" w:rsidRDefault="00481FB1" w:rsidP="001E748E">
      <w:pPr>
        <w:pStyle w:val="Bullet"/>
      </w:pPr>
      <w:r w:rsidRPr="00EA1944">
        <w:t>Education and Training</w:t>
      </w:r>
    </w:p>
    <w:p w14:paraId="7E5AB257" w14:textId="77777777" w:rsidR="00481FB1" w:rsidRDefault="00481FB1" w:rsidP="001E748E">
      <w:pPr>
        <w:pStyle w:val="Bullet"/>
      </w:pPr>
      <w:r w:rsidRPr="00EA1944">
        <w:t>Finance</w:t>
      </w:r>
    </w:p>
    <w:p w14:paraId="2D5CD933" w14:textId="3F9AC8A6" w:rsidR="00E168AC" w:rsidRDefault="00000000" w:rsidP="00E168AC">
      <w:pPr>
        <w:rPr>
          <w:sz w:val="20"/>
          <w:szCs w:val="20"/>
        </w:rPr>
      </w:pPr>
      <w:hyperlink w:anchor="Fig_6" w:history="1">
        <w:r w:rsidR="00E168AC" w:rsidRPr="00D36855">
          <w:rPr>
            <w:rStyle w:val="Hyperlink"/>
          </w:rPr>
          <w:t>Click here to return to document</w:t>
        </w:r>
      </w:hyperlink>
    </w:p>
    <w:p w14:paraId="7878ACC3" w14:textId="77777777" w:rsidR="00481FB1" w:rsidRDefault="00481FB1" w:rsidP="001E748E">
      <w:pPr>
        <w:pStyle w:val="Heading2"/>
      </w:pPr>
      <w:bookmarkStart w:id="133" w:name="_Figure_7_GVA"/>
      <w:bookmarkStart w:id="134" w:name="_Toc118405152"/>
      <w:bookmarkEnd w:id="133"/>
      <w:r>
        <w:lastRenderedPageBreak/>
        <w:t>Figure 7 GVA of mining and energy industries 2001-20</w:t>
      </w:r>
      <w:r w:rsidRPr="008F1A6F">
        <w:t xml:space="preserve"> </w:t>
      </w:r>
      <w:r>
        <w:t>– Long Alternate Text</w:t>
      </w:r>
      <w:bookmarkEnd w:id="134"/>
    </w:p>
    <w:p w14:paraId="4888AA1A" w14:textId="77777777" w:rsidR="00481FB1" w:rsidRDefault="00481FB1" w:rsidP="00481FB1">
      <w:pPr>
        <w:rPr>
          <w:rFonts w:eastAsia="MS Gothic"/>
        </w:rPr>
      </w:pPr>
      <w:r w:rsidRPr="00C21E53">
        <w:rPr>
          <w:rFonts w:eastAsia="MS Gothic"/>
        </w:rPr>
        <w:t>The mining subi</w:t>
      </w:r>
      <w:r>
        <w:rPr>
          <w:rFonts w:eastAsia="MS Gothic"/>
        </w:rPr>
        <w:t>ndustries with the largest GVA in 2020 in descending order are; Coal Mining, Oil and Gas Extraction, Non-Metallic Mineral Mining and Quarrying,</w:t>
      </w:r>
      <w:r w:rsidRPr="00C21E53">
        <w:rPr>
          <w:rFonts w:eastAsia="MS Gothic"/>
        </w:rPr>
        <w:t xml:space="preserve"> </w:t>
      </w:r>
      <w:r>
        <w:rPr>
          <w:rFonts w:eastAsia="MS Gothic"/>
        </w:rPr>
        <w:t xml:space="preserve">Exportation of Other Mining Support Services and Metal Ore Mining. </w:t>
      </w:r>
    </w:p>
    <w:p w14:paraId="3DF28BA0" w14:textId="77777777" w:rsidR="00481FB1" w:rsidRDefault="00481FB1" w:rsidP="00481FB1">
      <w:pPr>
        <w:rPr>
          <w:rFonts w:eastAsia="MS Gothic"/>
        </w:rPr>
      </w:pPr>
      <w:r>
        <w:rPr>
          <w:rFonts w:eastAsia="MS Gothic"/>
        </w:rPr>
        <w:t>Coal Mining and Oil and Gas Extraction has declined between 2001 and 2020 whilst Metal Ore Mining, Non-Metallic Mineral Mining and Quarrying and</w:t>
      </w:r>
      <w:r w:rsidRPr="00C21E53">
        <w:rPr>
          <w:rFonts w:eastAsia="MS Gothic"/>
        </w:rPr>
        <w:t xml:space="preserve"> </w:t>
      </w:r>
      <w:r>
        <w:rPr>
          <w:rFonts w:eastAsia="MS Gothic"/>
        </w:rPr>
        <w:t>Exportation of Other Mining Support Services have grown over the same period.</w:t>
      </w:r>
    </w:p>
    <w:p w14:paraId="1CE34D59" w14:textId="77777777" w:rsidR="00481FB1" w:rsidRPr="009072C6" w:rsidRDefault="00481FB1" w:rsidP="00481FB1">
      <w:r w:rsidRPr="00E63E3E">
        <w:t>Simplified Table of data for mining subindustry GVA 2001-20. Data in this table is in ($) millions.</w:t>
      </w:r>
      <w:r>
        <w:t xml:space="preserve"> </w:t>
      </w:r>
    </w:p>
    <w:tbl>
      <w:tblPr>
        <w:tblStyle w:val="TableGrid"/>
        <w:tblW w:w="9027" w:type="dxa"/>
        <w:tblCellMar>
          <w:top w:w="0" w:type="dxa"/>
          <w:bottom w:w="0" w:type="dxa"/>
        </w:tblCellMar>
        <w:tblLook w:val="04A0" w:firstRow="1" w:lastRow="0" w:firstColumn="1" w:lastColumn="0" w:noHBand="0" w:noVBand="1"/>
      </w:tblPr>
      <w:tblGrid>
        <w:gridCol w:w="1220"/>
        <w:gridCol w:w="1164"/>
        <w:gridCol w:w="1288"/>
        <w:gridCol w:w="1164"/>
        <w:gridCol w:w="1963"/>
        <w:gridCol w:w="2228"/>
      </w:tblGrid>
      <w:tr w:rsidR="00481FB1" w:rsidRPr="00BC2669" w14:paraId="6C188B95" w14:textId="77777777" w:rsidTr="005E2B70">
        <w:trPr>
          <w:trHeight w:val="290"/>
          <w:tblHeader/>
        </w:trPr>
        <w:tc>
          <w:tcPr>
            <w:tcW w:w="1220" w:type="dxa"/>
            <w:noWrap/>
            <w:hideMark/>
          </w:tcPr>
          <w:p w14:paraId="571B091A" w14:textId="77777777" w:rsidR="00481FB1" w:rsidRPr="00BC2669" w:rsidRDefault="00481FB1" w:rsidP="001E748E">
            <w:pPr>
              <w:pStyle w:val="TableHeading"/>
              <w:rPr>
                <w:rFonts w:eastAsia="Times New Roman"/>
              </w:rPr>
            </w:pPr>
            <w:r w:rsidRPr="00BC2669">
              <w:rPr>
                <w:rFonts w:eastAsia="Times New Roman"/>
              </w:rPr>
              <w:t>Year</w:t>
            </w:r>
          </w:p>
        </w:tc>
        <w:tc>
          <w:tcPr>
            <w:tcW w:w="1164" w:type="dxa"/>
            <w:noWrap/>
            <w:hideMark/>
          </w:tcPr>
          <w:p w14:paraId="43390602" w14:textId="77777777" w:rsidR="00481FB1" w:rsidRPr="00BC2669" w:rsidRDefault="00481FB1" w:rsidP="001E748E">
            <w:pPr>
              <w:pStyle w:val="TableHeading"/>
              <w:rPr>
                <w:rFonts w:eastAsia="Times New Roman"/>
              </w:rPr>
            </w:pPr>
            <w:r w:rsidRPr="00BC2669">
              <w:rPr>
                <w:rFonts w:eastAsia="Times New Roman"/>
              </w:rPr>
              <w:t>Coal Mining</w:t>
            </w:r>
          </w:p>
        </w:tc>
        <w:tc>
          <w:tcPr>
            <w:tcW w:w="1288" w:type="dxa"/>
            <w:noWrap/>
            <w:hideMark/>
          </w:tcPr>
          <w:p w14:paraId="7DA85337" w14:textId="77777777" w:rsidR="00481FB1" w:rsidRPr="00BC2669" w:rsidRDefault="00481FB1" w:rsidP="001E748E">
            <w:pPr>
              <w:pStyle w:val="TableHeading"/>
              <w:rPr>
                <w:rFonts w:eastAsia="Times New Roman"/>
              </w:rPr>
            </w:pPr>
            <w:r w:rsidRPr="00BC2669">
              <w:rPr>
                <w:rFonts w:eastAsia="Times New Roman"/>
              </w:rPr>
              <w:t>Oil and Gas Extraction</w:t>
            </w:r>
          </w:p>
        </w:tc>
        <w:tc>
          <w:tcPr>
            <w:tcW w:w="1164" w:type="dxa"/>
            <w:noWrap/>
            <w:hideMark/>
          </w:tcPr>
          <w:p w14:paraId="3D8D52AD" w14:textId="77777777" w:rsidR="00481FB1" w:rsidRPr="00BC2669" w:rsidRDefault="00481FB1" w:rsidP="001E748E">
            <w:pPr>
              <w:pStyle w:val="TableHeading"/>
              <w:rPr>
                <w:rFonts w:eastAsia="Times New Roman"/>
              </w:rPr>
            </w:pPr>
            <w:r w:rsidRPr="00BC2669">
              <w:rPr>
                <w:rFonts w:eastAsia="Times New Roman"/>
              </w:rPr>
              <w:t>Metal Ore Mining</w:t>
            </w:r>
          </w:p>
        </w:tc>
        <w:tc>
          <w:tcPr>
            <w:tcW w:w="1963" w:type="dxa"/>
            <w:noWrap/>
            <w:hideMark/>
          </w:tcPr>
          <w:p w14:paraId="71A98DB0" w14:textId="77777777" w:rsidR="00481FB1" w:rsidRPr="00BC2669" w:rsidRDefault="00481FB1" w:rsidP="001E748E">
            <w:pPr>
              <w:pStyle w:val="TableHeading"/>
              <w:rPr>
                <w:rFonts w:eastAsia="Times New Roman"/>
              </w:rPr>
            </w:pPr>
            <w:r w:rsidRPr="00BC2669">
              <w:rPr>
                <w:rFonts w:eastAsia="Times New Roman"/>
              </w:rPr>
              <w:t>Non-Metallic Mineral Mining and Quarrying</w:t>
            </w:r>
          </w:p>
        </w:tc>
        <w:tc>
          <w:tcPr>
            <w:tcW w:w="2228" w:type="dxa"/>
            <w:noWrap/>
            <w:hideMark/>
          </w:tcPr>
          <w:p w14:paraId="10AD86C9" w14:textId="77777777" w:rsidR="00481FB1" w:rsidRPr="00BC2669" w:rsidRDefault="00481FB1" w:rsidP="001E748E">
            <w:pPr>
              <w:pStyle w:val="TableHeading"/>
              <w:rPr>
                <w:rFonts w:eastAsia="Times New Roman"/>
              </w:rPr>
            </w:pPr>
            <w:r w:rsidRPr="00BC2669">
              <w:rPr>
                <w:rFonts w:eastAsia="Times New Roman"/>
              </w:rPr>
              <w:t>Exploration and Other Mining Support Services</w:t>
            </w:r>
          </w:p>
        </w:tc>
      </w:tr>
      <w:tr w:rsidR="00481FB1" w:rsidRPr="00BC2669" w14:paraId="53F66741" w14:textId="77777777" w:rsidTr="005E2B70">
        <w:trPr>
          <w:trHeight w:val="290"/>
        </w:trPr>
        <w:tc>
          <w:tcPr>
            <w:tcW w:w="1220" w:type="dxa"/>
            <w:noWrap/>
            <w:hideMark/>
          </w:tcPr>
          <w:p w14:paraId="04AFC6AC" w14:textId="77777777" w:rsidR="00481FB1" w:rsidRPr="00BC2669" w:rsidRDefault="00481FB1" w:rsidP="001E748E">
            <w:pPr>
              <w:pStyle w:val="TableCopy"/>
              <w:rPr>
                <w:rFonts w:eastAsia="Times New Roman"/>
              </w:rPr>
            </w:pPr>
            <w:r w:rsidRPr="00BC2669">
              <w:rPr>
                <w:rFonts w:eastAsia="Times New Roman"/>
              </w:rPr>
              <w:t>2001</w:t>
            </w:r>
          </w:p>
        </w:tc>
        <w:tc>
          <w:tcPr>
            <w:tcW w:w="1164" w:type="dxa"/>
            <w:noWrap/>
            <w:hideMark/>
          </w:tcPr>
          <w:p w14:paraId="66656B8E" w14:textId="77777777" w:rsidR="00481FB1" w:rsidRPr="00BC2669" w:rsidRDefault="00481FB1" w:rsidP="001E748E">
            <w:pPr>
              <w:pStyle w:val="TableCopy"/>
              <w:rPr>
                <w:rFonts w:eastAsia="Times New Roman"/>
              </w:rPr>
            </w:pPr>
            <w:r>
              <w:t>2795.5</w:t>
            </w:r>
          </w:p>
        </w:tc>
        <w:tc>
          <w:tcPr>
            <w:tcW w:w="1288" w:type="dxa"/>
            <w:noWrap/>
            <w:hideMark/>
          </w:tcPr>
          <w:p w14:paraId="5BDC13D4" w14:textId="77777777" w:rsidR="00481FB1" w:rsidRPr="00BC2669" w:rsidRDefault="00481FB1" w:rsidP="001E748E">
            <w:pPr>
              <w:pStyle w:val="TableCopy"/>
              <w:rPr>
                <w:rFonts w:eastAsia="Times New Roman"/>
              </w:rPr>
            </w:pPr>
            <w:r>
              <w:t>1651.2</w:t>
            </w:r>
          </w:p>
        </w:tc>
        <w:tc>
          <w:tcPr>
            <w:tcW w:w="1164" w:type="dxa"/>
            <w:noWrap/>
            <w:hideMark/>
          </w:tcPr>
          <w:p w14:paraId="24F1A5C7" w14:textId="77777777" w:rsidR="00481FB1" w:rsidRPr="00BC2669" w:rsidRDefault="00481FB1" w:rsidP="001E748E">
            <w:pPr>
              <w:pStyle w:val="TableCopy"/>
              <w:rPr>
                <w:rFonts w:eastAsia="Times New Roman"/>
              </w:rPr>
            </w:pPr>
            <w:r>
              <w:t>1.5</w:t>
            </w:r>
          </w:p>
        </w:tc>
        <w:tc>
          <w:tcPr>
            <w:tcW w:w="1963" w:type="dxa"/>
            <w:noWrap/>
            <w:hideMark/>
          </w:tcPr>
          <w:p w14:paraId="65717D23" w14:textId="77777777" w:rsidR="00481FB1" w:rsidRPr="00BC2669" w:rsidRDefault="00481FB1" w:rsidP="001E748E">
            <w:pPr>
              <w:pStyle w:val="TableCopy"/>
              <w:rPr>
                <w:rFonts w:eastAsia="Times New Roman"/>
              </w:rPr>
            </w:pPr>
            <w:r>
              <w:t>8.7</w:t>
            </w:r>
          </w:p>
        </w:tc>
        <w:tc>
          <w:tcPr>
            <w:tcW w:w="2228" w:type="dxa"/>
            <w:noWrap/>
            <w:hideMark/>
          </w:tcPr>
          <w:p w14:paraId="4DDA8A3F" w14:textId="77777777" w:rsidR="00481FB1" w:rsidRPr="00BC2669" w:rsidRDefault="00481FB1" w:rsidP="001E748E">
            <w:pPr>
              <w:pStyle w:val="TableCopy"/>
              <w:rPr>
                <w:rFonts w:eastAsia="Times New Roman"/>
              </w:rPr>
            </w:pPr>
            <w:r>
              <w:t>43.1</w:t>
            </w:r>
          </w:p>
        </w:tc>
      </w:tr>
      <w:tr w:rsidR="00481FB1" w:rsidRPr="00BC2669" w14:paraId="0B887F7C" w14:textId="77777777" w:rsidTr="005E2B70">
        <w:trPr>
          <w:trHeight w:val="290"/>
        </w:trPr>
        <w:tc>
          <w:tcPr>
            <w:tcW w:w="1220" w:type="dxa"/>
            <w:noWrap/>
            <w:hideMark/>
          </w:tcPr>
          <w:p w14:paraId="2EE416AF" w14:textId="77777777" w:rsidR="00481FB1" w:rsidRPr="00BC2669" w:rsidRDefault="00481FB1" w:rsidP="001E748E">
            <w:pPr>
              <w:pStyle w:val="TableCopy"/>
              <w:rPr>
                <w:rFonts w:eastAsia="Times New Roman"/>
              </w:rPr>
            </w:pPr>
            <w:r w:rsidRPr="00BC2669">
              <w:rPr>
                <w:rFonts w:eastAsia="Times New Roman"/>
              </w:rPr>
              <w:t>2002</w:t>
            </w:r>
          </w:p>
        </w:tc>
        <w:tc>
          <w:tcPr>
            <w:tcW w:w="1164" w:type="dxa"/>
            <w:noWrap/>
            <w:hideMark/>
          </w:tcPr>
          <w:p w14:paraId="7F470AE4" w14:textId="77777777" w:rsidR="00481FB1" w:rsidRPr="00BC2669" w:rsidRDefault="00481FB1" w:rsidP="001E748E">
            <w:pPr>
              <w:pStyle w:val="TableCopy"/>
              <w:rPr>
                <w:rFonts w:eastAsia="Times New Roman"/>
              </w:rPr>
            </w:pPr>
            <w:r>
              <w:t>3050.7</w:t>
            </w:r>
          </w:p>
        </w:tc>
        <w:tc>
          <w:tcPr>
            <w:tcW w:w="1288" w:type="dxa"/>
            <w:noWrap/>
            <w:hideMark/>
          </w:tcPr>
          <w:p w14:paraId="6379CC6E" w14:textId="77777777" w:rsidR="00481FB1" w:rsidRPr="00BC2669" w:rsidRDefault="00481FB1" w:rsidP="001E748E">
            <w:pPr>
              <w:pStyle w:val="TableCopy"/>
              <w:rPr>
                <w:rFonts w:eastAsia="Times New Roman"/>
              </w:rPr>
            </w:pPr>
            <w:r>
              <w:t>1465.3</w:t>
            </w:r>
          </w:p>
        </w:tc>
        <w:tc>
          <w:tcPr>
            <w:tcW w:w="1164" w:type="dxa"/>
            <w:noWrap/>
            <w:hideMark/>
          </w:tcPr>
          <w:p w14:paraId="52A47EB0" w14:textId="77777777" w:rsidR="00481FB1" w:rsidRPr="00BC2669" w:rsidRDefault="00481FB1" w:rsidP="001E748E">
            <w:pPr>
              <w:pStyle w:val="TableCopy"/>
              <w:rPr>
                <w:rFonts w:eastAsia="Times New Roman"/>
              </w:rPr>
            </w:pPr>
            <w:r>
              <w:t>1.9</w:t>
            </w:r>
          </w:p>
        </w:tc>
        <w:tc>
          <w:tcPr>
            <w:tcW w:w="1963" w:type="dxa"/>
            <w:noWrap/>
            <w:hideMark/>
          </w:tcPr>
          <w:p w14:paraId="0B9D00E7" w14:textId="77777777" w:rsidR="00481FB1" w:rsidRPr="00BC2669" w:rsidRDefault="00481FB1" w:rsidP="001E748E">
            <w:pPr>
              <w:pStyle w:val="TableCopy"/>
              <w:rPr>
                <w:rFonts w:eastAsia="Times New Roman"/>
              </w:rPr>
            </w:pPr>
            <w:r>
              <w:t>12.4</w:t>
            </w:r>
          </w:p>
        </w:tc>
        <w:tc>
          <w:tcPr>
            <w:tcW w:w="2228" w:type="dxa"/>
            <w:noWrap/>
            <w:hideMark/>
          </w:tcPr>
          <w:p w14:paraId="21386507" w14:textId="77777777" w:rsidR="00481FB1" w:rsidRPr="00BC2669" w:rsidRDefault="00481FB1" w:rsidP="001E748E">
            <w:pPr>
              <w:pStyle w:val="TableCopy"/>
              <w:rPr>
                <w:rFonts w:eastAsia="Times New Roman"/>
              </w:rPr>
            </w:pPr>
            <w:r>
              <w:t>34.9</w:t>
            </w:r>
          </w:p>
        </w:tc>
      </w:tr>
      <w:tr w:rsidR="00481FB1" w:rsidRPr="00BC2669" w14:paraId="4D535BF9" w14:textId="77777777" w:rsidTr="005E2B70">
        <w:trPr>
          <w:trHeight w:val="290"/>
        </w:trPr>
        <w:tc>
          <w:tcPr>
            <w:tcW w:w="1220" w:type="dxa"/>
            <w:noWrap/>
            <w:hideMark/>
          </w:tcPr>
          <w:p w14:paraId="0E8F6588" w14:textId="77777777" w:rsidR="00481FB1" w:rsidRPr="00BC2669" w:rsidRDefault="00481FB1" w:rsidP="001E748E">
            <w:pPr>
              <w:pStyle w:val="TableCopy"/>
              <w:rPr>
                <w:rFonts w:eastAsia="Times New Roman"/>
              </w:rPr>
            </w:pPr>
            <w:r w:rsidRPr="00BC2669">
              <w:rPr>
                <w:rFonts w:eastAsia="Times New Roman"/>
              </w:rPr>
              <w:t>2003</w:t>
            </w:r>
          </w:p>
        </w:tc>
        <w:tc>
          <w:tcPr>
            <w:tcW w:w="1164" w:type="dxa"/>
            <w:noWrap/>
            <w:hideMark/>
          </w:tcPr>
          <w:p w14:paraId="2E36CFB3" w14:textId="77777777" w:rsidR="00481FB1" w:rsidRPr="00BC2669" w:rsidRDefault="00481FB1" w:rsidP="001E748E">
            <w:pPr>
              <w:pStyle w:val="TableCopy"/>
              <w:rPr>
                <w:rFonts w:eastAsia="Times New Roman"/>
              </w:rPr>
            </w:pPr>
            <w:r>
              <w:t>3136.6</w:t>
            </w:r>
          </w:p>
        </w:tc>
        <w:tc>
          <w:tcPr>
            <w:tcW w:w="1288" w:type="dxa"/>
            <w:noWrap/>
            <w:hideMark/>
          </w:tcPr>
          <w:p w14:paraId="07CACFD6" w14:textId="77777777" w:rsidR="00481FB1" w:rsidRPr="00BC2669" w:rsidRDefault="00481FB1" w:rsidP="001E748E">
            <w:pPr>
              <w:pStyle w:val="TableCopy"/>
              <w:rPr>
                <w:rFonts w:eastAsia="Times New Roman"/>
              </w:rPr>
            </w:pPr>
            <w:r>
              <w:t>1183.2</w:t>
            </w:r>
          </w:p>
        </w:tc>
        <w:tc>
          <w:tcPr>
            <w:tcW w:w="1164" w:type="dxa"/>
            <w:noWrap/>
            <w:hideMark/>
          </w:tcPr>
          <w:p w14:paraId="0A93F500" w14:textId="77777777" w:rsidR="00481FB1" w:rsidRPr="00BC2669" w:rsidRDefault="00481FB1" w:rsidP="001E748E">
            <w:pPr>
              <w:pStyle w:val="TableCopy"/>
              <w:rPr>
                <w:rFonts w:eastAsia="Times New Roman"/>
              </w:rPr>
            </w:pPr>
            <w:r>
              <w:t>2.2</w:t>
            </w:r>
          </w:p>
        </w:tc>
        <w:tc>
          <w:tcPr>
            <w:tcW w:w="1963" w:type="dxa"/>
            <w:noWrap/>
            <w:hideMark/>
          </w:tcPr>
          <w:p w14:paraId="692AB393" w14:textId="77777777" w:rsidR="00481FB1" w:rsidRPr="00BC2669" w:rsidRDefault="00481FB1" w:rsidP="001E748E">
            <w:pPr>
              <w:pStyle w:val="TableCopy"/>
              <w:rPr>
                <w:rFonts w:eastAsia="Times New Roman"/>
              </w:rPr>
            </w:pPr>
            <w:r>
              <w:t>19.7</w:t>
            </w:r>
          </w:p>
        </w:tc>
        <w:tc>
          <w:tcPr>
            <w:tcW w:w="2228" w:type="dxa"/>
            <w:noWrap/>
            <w:hideMark/>
          </w:tcPr>
          <w:p w14:paraId="2637FF8C" w14:textId="77777777" w:rsidR="00481FB1" w:rsidRPr="00BC2669" w:rsidRDefault="00481FB1" w:rsidP="001E748E">
            <w:pPr>
              <w:pStyle w:val="TableCopy"/>
              <w:rPr>
                <w:rFonts w:eastAsia="Times New Roman"/>
              </w:rPr>
            </w:pPr>
            <w:r>
              <w:t>34.9</w:t>
            </w:r>
          </w:p>
        </w:tc>
      </w:tr>
      <w:tr w:rsidR="00481FB1" w:rsidRPr="00BC2669" w14:paraId="7B914E8A" w14:textId="77777777" w:rsidTr="005E2B70">
        <w:trPr>
          <w:trHeight w:val="290"/>
        </w:trPr>
        <w:tc>
          <w:tcPr>
            <w:tcW w:w="1220" w:type="dxa"/>
            <w:noWrap/>
            <w:hideMark/>
          </w:tcPr>
          <w:p w14:paraId="11FC4F8E" w14:textId="77777777" w:rsidR="00481FB1" w:rsidRPr="00BC2669" w:rsidRDefault="00481FB1" w:rsidP="001E748E">
            <w:pPr>
              <w:pStyle w:val="TableCopy"/>
              <w:rPr>
                <w:rFonts w:eastAsia="Times New Roman"/>
              </w:rPr>
            </w:pPr>
            <w:r w:rsidRPr="00BC2669">
              <w:rPr>
                <w:rFonts w:eastAsia="Times New Roman"/>
              </w:rPr>
              <w:t>2004</w:t>
            </w:r>
          </w:p>
        </w:tc>
        <w:tc>
          <w:tcPr>
            <w:tcW w:w="1164" w:type="dxa"/>
            <w:noWrap/>
            <w:hideMark/>
          </w:tcPr>
          <w:p w14:paraId="1784A3E0" w14:textId="77777777" w:rsidR="00481FB1" w:rsidRPr="00BC2669" w:rsidRDefault="00481FB1" w:rsidP="001E748E">
            <w:pPr>
              <w:pStyle w:val="TableCopy"/>
              <w:rPr>
                <w:rFonts w:eastAsia="Times New Roman"/>
              </w:rPr>
            </w:pPr>
            <w:r>
              <w:t>2955.5</w:t>
            </w:r>
          </w:p>
        </w:tc>
        <w:tc>
          <w:tcPr>
            <w:tcW w:w="1288" w:type="dxa"/>
            <w:noWrap/>
            <w:hideMark/>
          </w:tcPr>
          <w:p w14:paraId="568F7F12" w14:textId="77777777" w:rsidR="00481FB1" w:rsidRPr="00BC2669" w:rsidRDefault="00481FB1" w:rsidP="001E748E">
            <w:pPr>
              <w:pStyle w:val="TableCopy"/>
              <w:rPr>
                <w:rFonts w:eastAsia="Times New Roman"/>
              </w:rPr>
            </w:pPr>
            <w:r>
              <w:t>1171.5</w:t>
            </w:r>
          </w:p>
        </w:tc>
        <w:tc>
          <w:tcPr>
            <w:tcW w:w="1164" w:type="dxa"/>
            <w:noWrap/>
            <w:hideMark/>
          </w:tcPr>
          <w:p w14:paraId="5A0AC64E" w14:textId="77777777" w:rsidR="00481FB1" w:rsidRPr="00BC2669" w:rsidRDefault="00481FB1" w:rsidP="001E748E">
            <w:pPr>
              <w:pStyle w:val="TableCopy"/>
              <w:rPr>
                <w:rFonts w:eastAsia="Times New Roman"/>
              </w:rPr>
            </w:pPr>
            <w:r>
              <w:t>1.7</w:t>
            </w:r>
          </w:p>
        </w:tc>
        <w:tc>
          <w:tcPr>
            <w:tcW w:w="1963" w:type="dxa"/>
            <w:noWrap/>
            <w:hideMark/>
          </w:tcPr>
          <w:p w14:paraId="6A668656" w14:textId="77777777" w:rsidR="00481FB1" w:rsidRPr="00BC2669" w:rsidRDefault="00481FB1" w:rsidP="001E748E">
            <w:pPr>
              <w:pStyle w:val="TableCopy"/>
              <w:rPr>
                <w:rFonts w:eastAsia="Times New Roman"/>
              </w:rPr>
            </w:pPr>
            <w:r>
              <w:t>19.3</w:t>
            </w:r>
          </w:p>
        </w:tc>
        <w:tc>
          <w:tcPr>
            <w:tcW w:w="2228" w:type="dxa"/>
            <w:noWrap/>
            <w:hideMark/>
          </w:tcPr>
          <w:p w14:paraId="7A3C6F93" w14:textId="77777777" w:rsidR="00481FB1" w:rsidRPr="00BC2669" w:rsidRDefault="00481FB1" w:rsidP="001E748E">
            <w:pPr>
              <w:pStyle w:val="TableCopy"/>
              <w:rPr>
                <w:rFonts w:eastAsia="Times New Roman"/>
              </w:rPr>
            </w:pPr>
            <w:r>
              <w:t>40.9</w:t>
            </w:r>
          </w:p>
        </w:tc>
      </w:tr>
      <w:tr w:rsidR="00481FB1" w:rsidRPr="00BC2669" w14:paraId="08A4D3F1" w14:textId="77777777" w:rsidTr="005E2B70">
        <w:trPr>
          <w:trHeight w:val="290"/>
        </w:trPr>
        <w:tc>
          <w:tcPr>
            <w:tcW w:w="1220" w:type="dxa"/>
            <w:noWrap/>
            <w:hideMark/>
          </w:tcPr>
          <w:p w14:paraId="107EF2F4" w14:textId="77777777" w:rsidR="00481FB1" w:rsidRPr="00BC2669" w:rsidRDefault="00481FB1" w:rsidP="001E748E">
            <w:pPr>
              <w:pStyle w:val="TableCopy"/>
              <w:rPr>
                <w:rFonts w:eastAsia="Times New Roman"/>
              </w:rPr>
            </w:pPr>
            <w:r w:rsidRPr="00BC2669">
              <w:rPr>
                <w:rFonts w:eastAsia="Times New Roman"/>
              </w:rPr>
              <w:t>2005</w:t>
            </w:r>
          </w:p>
        </w:tc>
        <w:tc>
          <w:tcPr>
            <w:tcW w:w="1164" w:type="dxa"/>
            <w:noWrap/>
            <w:hideMark/>
          </w:tcPr>
          <w:p w14:paraId="713B46FD" w14:textId="77777777" w:rsidR="00481FB1" w:rsidRPr="00BC2669" w:rsidRDefault="00481FB1" w:rsidP="001E748E">
            <w:pPr>
              <w:pStyle w:val="TableCopy"/>
              <w:rPr>
                <w:rFonts w:eastAsia="Times New Roman"/>
              </w:rPr>
            </w:pPr>
            <w:r>
              <w:t>3199.8</w:t>
            </w:r>
          </w:p>
        </w:tc>
        <w:tc>
          <w:tcPr>
            <w:tcW w:w="1288" w:type="dxa"/>
            <w:noWrap/>
            <w:hideMark/>
          </w:tcPr>
          <w:p w14:paraId="0A1F5BA3" w14:textId="77777777" w:rsidR="00481FB1" w:rsidRPr="00BC2669" w:rsidRDefault="00481FB1" w:rsidP="001E748E">
            <w:pPr>
              <w:pStyle w:val="TableCopy"/>
              <w:rPr>
                <w:rFonts w:eastAsia="Times New Roman"/>
              </w:rPr>
            </w:pPr>
            <w:r>
              <w:t>866.5</w:t>
            </w:r>
          </w:p>
        </w:tc>
        <w:tc>
          <w:tcPr>
            <w:tcW w:w="1164" w:type="dxa"/>
            <w:noWrap/>
            <w:hideMark/>
          </w:tcPr>
          <w:p w14:paraId="700B3C47" w14:textId="77777777" w:rsidR="00481FB1" w:rsidRPr="00BC2669" w:rsidRDefault="00481FB1" w:rsidP="001E748E">
            <w:pPr>
              <w:pStyle w:val="TableCopy"/>
              <w:rPr>
                <w:rFonts w:eastAsia="Times New Roman"/>
              </w:rPr>
            </w:pPr>
            <w:r>
              <w:t>1.5</w:t>
            </w:r>
          </w:p>
        </w:tc>
        <w:tc>
          <w:tcPr>
            <w:tcW w:w="1963" w:type="dxa"/>
            <w:noWrap/>
            <w:hideMark/>
          </w:tcPr>
          <w:p w14:paraId="7A14553E" w14:textId="77777777" w:rsidR="00481FB1" w:rsidRPr="00BC2669" w:rsidRDefault="00481FB1" w:rsidP="001E748E">
            <w:pPr>
              <w:pStyle w:val="TableCopy"/>
              <w:rPr>
                <w:rFonts w:eastAsia="Times New Roman"/>
              </w:rPr>
            </w:pPr>
            <w:r>
              <w:t>18.4</w:t>
            </w:r>
          </w:p>
        </w:tc>
        <w:tc>
          <w:tcPr>
            <w:tcW w:w="2228" w:type="dxa"/>
            <w:noWrap/>
            <w:hideMark/>
          </w:tcPr>
          <w:p w14:paraId="791729A0" w14:textId="77777777" w:rsidR="00481FB1" w:rsidRPr="00BC2669" w:rsidRDefault="00481FB1" w:rsidP="001E748E">
            <w:pPr>
              <w:pStyle w:val="TableCopy"/>
              <w:rPr>
                <w:rFonts w:eastAsia="Times New Roman"/>
              </w:rPr>
            </w:pPr>
            <w:r>
              <w:t>65.0</w:t>
            </w:r>
          </w:p>
        </w:tc>
      </w:tr>
      <w:tr w:rsidR="00481FB1" w:rsidRPr="00BC2669" w14:paraId="78277F23" w14:textId="77777777" w:rsidTr="005E2B70">
        <w:trPr>
          <w:trHeight w:val="290"/>
        </w:trPr>
        <w:tc>
          <w:tcPr>
            <w:tcW w:w="1220" w:type="dxa"/>
            <w:noWrap/>
            <w:hideMark/>
          </w:tcPr>
          <w:p w14:paraId="36637EEC" w14:textId="77777777" w:rsidR="00481FB1" w:rsidRPr="00BC2669" w:rsidRDefault="00481FB1" w:rsidP="001E748E">
            <w:pPr>
              <w:pStyle w:val="TableCopy"/>
              <w:rPr>
                <w:rFonts w:eastAsia="Times New Roman"/>
              </w:rPr>
            </w:pPr>
            <w:r w:rsidRPr="00BC2669">
              <w:rPr>
                <w:rFonts w:eastAsia="Times New Roman"/>
              </w:rPr>
              <w:t>2006</w:t>
            </w:r>
          </w:p>
        </w:tc>
        <w:tc>
          <w:tcPr>
            <w:tcW w:w="1164" w:type="dxa"/>
            <w:noWrap/>
            <w:hideMark/>
          </w:tcPr>
          <w:p w14:paraId="2208EA52" w14:textId="77777777" w:rsidR="00481FB1" w:rsidRPr="00BC2669" w:rsidRDefault="00481FB1" w:rsidP="001E748E">
            <w:pPr>
              <w:pStyle w:val="TableCopy"/>
              <w:rPr>
                <w:rFonts w:eastAsia="Times New Roman"/>
              </w:rPr>
            </w:pPr>
            <w:r>
              <w:t>3914.2</w:t>
            </w:r>
          </w:p>
        </w:tc>
        <w:tc>
          <w:tcPr>
            <w:tcW w:w="1288" w:type="dxa"/>
            <w:noWrap/>
            <w:hideMark/>
          </w:tcPr>
          <w:p w14:paraId="4B120350" w14:textId="77777777" w:rsidR="00481FB1" w:rsidRPr="00BC2669" w:rsidRDefault="00481FB1" w:rsidP="001E748E">
            <w:pPr>
              <w:pStyle w:val="TableCopy"/>
              <w:rPr>
                <w:rFonts w:eastAsia="Times New Roman"/>
              </w:rPr>
            </w:pPr>
            <w:r>
              <w:t>750.4</w:t>
            </w:r>
          </w:p>
        </w:tc>
        <w:tc>
          <w:tcPr>
            <w:tcW w:w="1164" w:type="dxa"/>
            <w:noWrap/>
            <w:hideMark/>
          </w:tcPr>
          <w:p w14:paraId="0D15DE65" w14:textId="77777777" w:rsidR="00481FB1" w:rsidRPr="00BC2669" w:rsidRDefault="00481FB1" w:rsidP="001E748E">
            <w:pPr>
              <w:pStyle w:val="TableCopy"/>
              <w:rPr>
                <w:rFonts w:eastAsia="Times New Roman"/>
              </w:rPr>
            </w:pPr>
            <w:r>
              <w:t>2.5</w:t>
            </w:r>
          </w:p>
        </w:tc>
        <w:tc>
          <w:tcPr>
            <w:tcW w:w="1963" w:type="dxa"/>
            <w:noWrap/>
            <w:hideMark/>
          </w:tcPr>
          <w:p w14:paraId="1B01835D" w14:textId="77777777" w:rsidR="00481FB1" w:rsidRPr="00BC2669" w:rsidRDefault="00481FB1" w:rsidP="001E748E">
            <w:pPr>
              <w:pStyle w:val="TableCopy"/>
              <w:rPr>
                <w:rFonts w:eastAsia="Times New Roman"/>
              </w:rPr>
            </w:pPr>
            <w:r>
              <w:t>15.0</w:t>
            </w:r>
          </w:p>
        </w:tc>
        <w:tc>
          <w:tcPr>
            <w:tcW w:w="2228" w:type="dxa"/>
            <w:noWrap/>
            <w:hideMark/>
          </w:tcPr>
          <w:p w14:paraId="241942E1" w14:textId="77777777" w:rsidR="00481FB1" w:rsidRPr="00BC2669" w:rsidRDefault="00481FB1" w:rsidP="001E748E">
            <w:pPr>
              <w:pStyle w:val="TableCopy"/>
              <w:rPr>
                <w:rFonts w:eastAsia="Times New Roman"/>
              </w:rPr>
            </w:pPr>
            <w:r>
              <w:t>60.9</w:t>
            </w:r>
          </w:p>
        </w:tc>
      </w:tr>
      <w:tr w:rsidR="00481FB1" w:rsidRPr="00BC2669" w14:paraId="29607513" w14:textId="77777777" w:rsidTr="005E2B70">
        <w:trPr>
          <w:trHeight w:val="290"/>
        </w:trPr>
        <w:tc>
          <w:tcPr>
            <w:tcW w:w="1220" w:type="dxa"/>
            <w:noWrap/>
            <w:hideMark/>
          </w:tcPr>
          <w:p w14:paraId="1E4553E8" w14:textId="77777777" w:rsidR="00481FB1" w:rsidRPr="00BC2669" w:rsidRDefault="00481FB1" w:rsidP="001E748E">
            <w:pPr>
              <w:pStyle w:val="TableCopy"/>
              <w:rPr>
                <w:rFonts w:eastAsia="Times New Roman"/>
              </w:rPr>
            </w:pPr>
            <w:r w:rsidRPr="00BC2669">
              <w:rPr>
                <w:rFonts w:eastAsia="Times New Roman"/>
              </w:rPr>
              <w:t>2007</w:t>
            </w:r>
          </w:p>
        </w:tc>
        <w:tc>
          <w:tcPr>
            <w:tcW w:w="1164" w:type="dxa"/>
            <w:noWrap/>
            <w:hideMark/>
          </w:tcPr>
          <w:p w14:paraId="64B0BE3A" w14:textId="77777777" w:rsidR="00481FB1" w:rsidRPr="00BC2669" w:rsidRDefault="00481FB1" w:rsidP="001E748E">
            <w:pPr>
              <w:pStyle w:val="TableCopy"/>
              <w:rPr>
                <w:rFonts w:eastAsia="Times New Roman"/>
              </w:rPr>
            </w:pPr>
            <w:r>
              <w:t>3802.7</w:t>
            </w:r>
          </w:p>
        </w:tc>
        <w:tc>
          <w:tcPr>
            <w:tcW w:w="1288" w:type="dxa"/>
            <w:noWrap/>
            <w:hideMark/>
          </w:tcPr>
          <w:p w14:paraId="6B7E93D4" w14:textId="77777777" w:rsidR="00481FB1" w:rsidRPr="00BC2669" w:rsidRDefault="00481FB1" w:rsidP="001E748E">
            <w:pPr>
              <w:pStyle w:val="TableCopy"/>
              <w:rPr>
                <w:rFonts w:eastAsia="Times New Roman"/>
              </w:rPr>
            </w:pPr>
            <w:r>
              <w:t>660.8</w:t>
            </w:r>
          </w:p>
        </w:tc>
        <w:tc>
          <w:tcPr>
            <w:tcW w:w="1164" w:type="dxa"/>
            <w:noWrap/>
            <w:hideMark/>
          </w:tcPr>
          <w:p w14:paraId="71FA2745" w14:textId="77777777" w:rsidR="00481FB1" w:rsidRPr="00BC2669" w:rsidRDefault="00481FB1" w:rsidP="001E748E">
            <w:pPr>
              <w:pStyle w:val="TableCopy"/>
              <w:rPr>
                <w:rFonts w:eastAsia="Times New Roman"/>
              </w:rPr>
            </w:pPr>
            <w:r>
              <w:t>3.5</w:t>
            </w:r>
          </w:p>
        </w:tc>
        <w:tc>
          <w:tcPr>
            <w:tcW w:w="1963" w:type="dxa"/>
            <w:noWrap/>
            <w:hideMark/>
          </w:tcPr>
          <w:p w14:paraId="24C17AA1" w14:textId="77777777" w:rsidR="00481FB1" w:rsidRPr="00BC2669" w:rsidRDefault="00481FB1" w:rsidP="001E748E">
            <w:pPr>
              <w:pStyle w:val="TableCopy"/>
              <w:rPr>
                <w:rFonts w:eastAsia="Times New Roman"/>
              </w:rPr>
            </w:pPr>
            <w:r>
              <w:t>22.9</w:t>
            </w:r>
          </w:p>
        </w:tc>
        <w:tc>
          <w:tcPr>
            <w:tcW w:w="2228" w:type="dxa"/>
            <w:noWrap/>
            <w:hideMark/>
          </w:tcPr>
          <w:p w14:paraId="2D8A3002" w14:textId="77777777" w:rsidR="00481FB1" w:rsidRPr="00BC2669" w:rsidRDefault="00481FB1" w:rsidP="001E748E">
            <w:pPr>
              <w:pStyle w:val="TableCopy"/>
              <w:rPr>
                <w:rFonts w:eastAsia="Times New Roman"/>
              </w:rPr>
            </w:pPr>
            <w:r>
              <w:t>41.1</w:t>
            </w:r>
          </w:p>
        </w:tc>
      </w:tr>
      <w:tr w:rsidR="00481FB1" w:rsidRPr="00BC2669" w14:paraId="0BB6046A" w14:textId="77777777" w:rsidTr="005E2B70">
        <w:trPr>
          <w:trHeight w:val="290"/>
        </w:trPr>
        <w:tc>
          <w:tcPr>
            <w:tcW w:w="1220" w:type="dxa"/>
            <w:noWrap/>
            <w:hideMark/>
          </w:tcPr>
          <w:p w14:paraId="74782427" w14:textId="77777777" w:rsidR="00481FB1" w:rsidRPr="00BC2669" w:rsidRDefault="00481FB1" w:rsidP="001E748E">
            <w:pPr>
              <w:pStyle w:val="TableCopy"/>
              <w:rPr>
                <w:rFonts w:eastAsia="Times New Roman"/>
              </w:rPr>
            </w:pPr>
            <w:r w:rsidRPr="00BC2669">
              <w:rPr>
                <w:rFonts w:eastAsia="Times New Roman"/>
              </w:rPr>
              <w:t>2008</w:t>
            </w:r>
          </w:p>
        </w:tc>
        <w:tc>
          <w:tcPr>
            <w:tcW w:w="1164" w:type="dxa"/>
            <w:noWrap/>
            <w:hideMark/>
          </w:tcPr>
          <w:p w14:paraId="400FEC98" w14:textId="77777777" w:rsidR="00481FB1" w:rsidRPr="00BC2669" w:rsidRDefault="00481FB1" w:rsidP="001E748E">
            <w:pPr>
              <w:pStyle w:val="TableCopy"/>
              <w:rPr>
                <w:rFonts w:eastAsia="Times New Roman"/>
              </w:rPr>
            </w:pPr>
            <w:r>
              <w:t>3432.1</w:t>
            </w:r>
          </w:p>
        </w:tc>
        <w:tc>
          <w:tcPr>
            <w:tcW w:w="1288" w:type="dxa"/>
            <w:noWrap/>
            <w:hideMark/>
          </w:tcPr>
          <w:p w14:paraId="3DF469F2" w14:textId="77777777" w:rsidR="00481FB1" w:rsidRPr="00BC2669" w:rsidRDefault="00481FB1" w:rsidP="001E748E">
            <w:pPr>
              <w:pStyle w:val="TableCopy"/>
              <w:rPr>
                <w:rFonts w:eastAsia="Times New Roman"/>
              </w:rPr>
            </w:pPr>
            <w:r>
              <w:t>793.4</w:t>
            </w:r>
          </w:p>
        </w:tc>
        <w:tc>
          <w:tcPr>
            <w:tcW w:w="1164" w:type="dxa"/>
            <w:noWrap/>
            <w:hideMark/>
          </w:tcPr>
          <w:p w14:paraId="649143E0" w14:textId="77777777" w:rsidR="00481FB1" w:rsidRPr="00BC2669" w:rsidRDefault="00481FB1" w:rsidP="001E748E">
            <w:pPr>
              <w:pStyle w:val="TableCopy"/>
              <w:rPr>
                <w:rFonts w:eastAsia="Times New Roman"/>
              </w:rPr>
            </w:pPr>
            <w:r>
              <w:t>5.5</w:t>
            </w:r>
          </w:p>
        </w:tc>
        <w:tc>
          <w:tcPr>
            <w:tcW w:w="1963" w:type="dxa"/>
            <w:noWrap/>
            <w:hideMark/>
          </w:tcPr>
          <w:p w14:paraId="33E5D5D9" w14:textId="77777777" w:rsidR="00481FB1" w:rsidRPr="00BC2669" w:rsidRDefault="00481FB1" w:rsidP="001E748E">
            <w:pPr>
              <w:pStyle w:val="TableCopy"/>
              <w:rPr>
                <w:rFonts w:eastAsia="Times New Roman"/>
              </w:rPr>
            </w:pPr>
            <w:r>
              <w:t>19.9</w:t>
            </w:r>
          </w:p>
        </w:tc>
        <w:tc>
          <w:tcPr>
            <w:tcW w:w="2228" w:type="dxa"/>
            <w:noWrap/>
            <w:hideMark/>
          </w:tcPr>
          <w:p w14:paraId="1349A7C6" w14:textId="77777777" w:rsidR="00481FB1" w:rsidRPr="00BC2669" w:rsidRDefault="00481FB1" w:rsidP="001E748E">
            <w:pPr>
              <w:pStyle w:val="TableCopy"/>
              <w:rPr>
                <w:rFonts w:eastAsia="Times New Roman"/>
              </w:rPr>
            </w:pPr>
            <w:r>
              <w:t>37.2</w:t>
            </w:r>
          </w:p>
        </w:tc>
      </w:tr>
      <w:tr w:rsidR="00481FB1" w:rsidRPr="00BC2669" w14:paraId="642F1616" w14:textId="77777777" w:rsidTr="005E2B70">
        <w:trPr>
          <w:trHeight w:val="290"/>
        </w:trPr>
        <w:tc>
          <w:tcPr>
            <w:tcW w:w="1220" w:type="dxa"/>
            <w:noWrap/>
            <w:hideMark/>
          </w:tcPr>
          <w:p w14:paraId="60D413CC" w14:textId="77777777" w:rsidR="00481FB1" w:rsidRPr="00BC2669" w:rsidRDefault="00481FB1" w:rsidP="001E748E">
            <w:pPr>
              <w:pStyle w:val="TableCopy"/>
              <w:rPr>
                <w:rFonts w:eastAsia="Times New Roman"/>
              </w:rPr>
            </w:pPr>
            <w:r w:rsidRPr="00BC2669">
              <w:rPr>
                <w:rFonts w:eastAsia="Times New Roman"/>
              </w:rPr>
              <w:t>2009</w:t>
            </w:r>
          </w:p>
        </w:tc>
        <w:tc>
          <w:tcPr>
            <w:tcW w:w="1164" w:type="dxa"/>
            <w:noWrap/>
            <w:hideMark/>
          </w:tcPr>
          <w:p w14:paraId="43086947" w14:textId="77777777" w:rsidR="00481FB1" w:rsidRPr="00BC2669" w:rsidRDefault="00481FB1" w:rsidP="001E748E">
            <w:pPr>
              <w:pStyle w:val="TableCopy"/>
              <w:rPr>
                <w:rFonts w:eastAsia="Times New Roman"/>
              </w:rPr>
            </w:pPr>
            <w:r>
              <w:t>3860.7</w:t>
            </w:r>
          </w:p>
        </w:tc>
        <w:tc>
          <w:tcPr>
            <w:tcW w:w="1288" w:type="dxa"/>
            <w:noWrap/>
            <w:hideMark/>
          </w:tcPr>
          <w:p w14:paraId="34BB9F69" w14:textId="77777777" w:rsidR="00481FB1" w:rsidRPr="00BC2669" w:rsidRDefault="00481FB1" w:rsidP="001E748E">
            <w:pPr>
              <w:pStyle w:val="TableCopy"/>
              <w:rPr>
                <w:rFonts w:eastAsia="Times New Roman"/>
              </w:rPr>
            </w:pPr>
            <w:r>
              <w:t>865.6</w:t>
            </w:r>
          </w:p>
        </w:tc>
        <w:tc>
          <w:tcPr>
            <w:tcW w:w="1164" w:type="dxa"/>
            <w:noWrap/>
            <w:hideMark/>
          </w:tcPr>
          <w:p w14:paraId="1CDF5816" w14:textId="77777777" w:rsidR="00481FB1" w:rsidRPr="00BC2669" w:rsidRDefault="00481FB1" w:rsidP="001E748E">
            <w:pPr>
              <w:pStyle w:val="TableCopy"/>
              <w:rPr>
                <w:rFonts w:eastAsia="Times New Roman"/>
              </w:rPr>
            </w:pPr>
            <w:r>
              <w:t>5.2</w:t>
            </w:r>
          </w:p>
        </w:tc>
        <w:tc>
          <w:tcPr>
            <w:tcW w:w="1963" w:type="dxa"/>
            <w:noWrap/>
            <w:hideMark/>
          </w:tcPr>
          <w:p w14:paraId="3F430EC5" w14:textId="77777777" w:rsidR="00481FB1" w:rsidRPr="00BC2669" w:rsidRDefault="00481FB1" w:rsidP="001E748E">
            <w:pPr>
              <w:pStyle w:val="TableCopy"/>
              <w:rPr>
                <w:rFonts w:eastAsia="Times New Roman"/>
              </w:rPr>
            </w:pPr>
            <w:r>
              <w:t>19.2</w:t>
            </w:r>
          </w:p>
        </w:tc>
        <w:tc>
          <w:tcPr>
            <w:tcW w:w="2228" w:type="dxa"/>
            <w:noWrap/>
            <w:hideMark/>
          </w:tcPr>
          <w:p w14:paraId="0A9A800D" w14:textId="77777777" w:rsidR="00481FB1" w:rsidRPr="00BC2669" w:rsidRDefault="00481FB1" w:rsidP="001E748E">
            <w:pPr>
              <w:pStyle w:val="TableCopy"/>
              <w:rPr>
                <w:rFonts w:eastAsia="Times New Roman"/>
              </w:rPr>
            </w:pPr>
            <w:r>
              <w:t>49.9</w:t>
            </w:r>
          </w:p>
        </w:tc>
      </w:tr>
      <w:tr w:rsidR="00481FB1" w:rsidRPr="00BC2669" w14:paraId="663260BB" w14:textId="77777777" w:rsidTr="005E2B70">
        <w:trPr>
          <w:trHeight w:val="290"/>
        </w:trPr>
        <w:tc>
          <w:tcPr>
            <w:tcW w:w="1220" w:type="dxa"/>
            <w:noWrap/>
            <w:hideMark/>
          </w:tcPr>
          <w:p w14:paraId="7D6F4000" w14:textId="77777777" w:rsidR="00481FB1" w:rsidRPr="00BC2669" w:rsidRDefault="00481FB1" w:rsidP="001E748E">
            <w:pPr>
              <w:pStyle w:val="TableCopy"/>
              <w:rPr>
                <w:rFonts w:eastAsia="Times New Roman"/>
              </w:rPr>
            </w:pPr>
            <w:r w:rsidRPr="00BC2669">
              <w:rPr>
                <w:rFonts w:eastAsia="Times New Roman"/>
              </w:rPr>
              <w:t>2010</w:t>
            </w:r>
          </w:p>
        </w:tc>
        <w:tc>
          <w:tcPr>
            <w:tcW w:w="1164" w:type="dxa"/>
            <w:noWrap/>
            <w:hideMark/>
          </w:tcPr>
          <w:p w14:paraId="2FF7436D" w14:textId="77777777" w:rsidR="00481FB1" w:rsidRPr="00BC2669" w:rsidRDefault="00481FB1" w:rsidP="001E748E">
            <w:pPr>
              <w:pStyle w:val="TableCopy"/>
              <w:rPr>
                <w:rFonts w:eastAsia="Times New Roman"/>
              </w:rPr>
            </w:pPr>
            <w:r>
              <w:t>3380.7</w:t>
            </w:r>
          </w:p>
        </w:tc>
        <w:tc>
          <w:tcPr>
            <w:tcW w:w="1288" w:type="dxa"/>
            <w:noWrap/>
            <w:hideMark/>
          </w:tcPr>
          <w:p w14:paraId="3BE27727" w14:textId="77777777" w:rsidR="00481FB1" w:rsidRPr="00BC2669" w:rsidRDefault="00481FB1" w:rsidP="001E748E">
            <w:pPr>
              <w:pStyle w:val="TableCopy"/>
              <w:rPr>
                <w:rFonts w:eastAsia="Times New Roman"/>
              </w:rPr>
            </w:pPr>
            <w:r>
              <w:t>604.3</w:t>
            </w:r>
          </w:p>
        </w:tc>
        <w:tc>
          <w:tcPr>
            <w:tcW w:w="1164" w:type="dxa"/>
            <w:noWrap/>
            <w:hideMark/>
          </w:tcPr>
          <w:p w14:paraId="7A01E2BD" w14:textId="77777777" w:rsidR="00481FB1" w:rsidRPr="00BC2669" w:rsidRDefault="00481FB1" w:rsidP="001E748E">
            <w:pPr>
              <w:pStyle w:val="TableCopy"/>
              <w:rPr>
                <w:rFonts w:eastAsia="Times New Roman"/>
              </w:rPr>
            </w:pPr>
            <w:r>
              <w:t>5.7</w:t>
            </w:r>
          </w:p>
        </w:tc>
        <w:tc>
          <w:tcPr>
            <w:tcW w:w="1963" w:type="dxa"/>
            <w:noWrap/>
            <w:hideMark/>
          </w:tcPr>
          <w:p w14:paraId="3564691E" w14:textId="77777777" w:rsidR="00481FB1" w:rsidRPr="00BC2669" w:rsidRDefault="00481FB1" w:rsidP="001E748E">
            <w:pPr>
              <w:pStyle w:val="TableCopy"/>
              <w:rPr>
                <w:rFonts w:eastAsia="Times New Roman"/>
              </w:rPr>
            </w:pPr>
            <w:r>
              <w:t>19.1</w:t>
            </w:r>
          </w:p>
        </w:tc>
        <w:tc>
          <w:tcPr>
            <w:tcW w:w="2228" w:type="dxa"/>
            <w:noWrap/>
            <w:hideMark/>
          </w:tcPr>
          <w:p w14:paraId="6821727F" w14:textId="77777777" w:rsidR="00481FB1" w:rsidRPr="00BC2669" w:rsidRDefault="00481FB1" w:rsidP="001E748E">
            <w:pPr>
              <w:pStyle w:val="TableCopy"/>
              <w:rPr>
                <w:rFonts w:eastAsia="Times New Roman"/>
              </w:rPr>
            </w:pPr>
            <w:r>
              <w:t>33.3</w:t>
            </w:r>
          </w:p>
        </w:tc>
      </w:tr>
      <w:tr w:rsidR="00481FB1" w:rsidRPr="00BC2669" w14:paraId="0078AA9E" w14:textId="77777777" w:rsidTr="005E2B70">
        <w:trPr>
          <w:trHeight w:val="290"/>
        </w:trPr>
        <w:tc>
          <w:tcPr>
            <w:tcW w:w="1220" w:type="dxa"/>
            <w:noWrap/>
            <w:hideMark/>
          </w:tcPr>
          <w:p w14:paraId="35B5C3AB" w14:textId="77777777" w:rsidR="00481FB1" w:rsidRPr="00BC2669" w:rsidRDefault="00481FB1" w:rsidP="001E748E">
            <w:pPr>
              <w:pStyle w:val="TableCopy"/>
              <w:rPr>
                <w:rFonts w:eastAsia="Times New Roman"/>
              </w:rPr>
            </w:pPr>
            <w:r w:rsidRPr="00BC2669">
              <w:rPr>
                <w:rFonts w:eastAsia="Times New Roman"/>
              </w:rPr>
              <w:t>2011</w:t>
            </w:r>
          </w:p>
        </w:tc>
        <w:tc>
          <w:tcPr>
            <w:tcW w:w="1164" w:type="dxa"/>
            <w:noWrap/>
            <w:hideMark/>
          </w:tcPr>
          <w:p w14:paraId="192059E1" w14:textId="77777777" w:rsidR="00481FB1" w:rsidRPr="00BC2669" w:rsidRDefault="00481FB1" w:rsidP="001E748E">
            <w:pPr>
              <w:pStyle w:val="TableCopy"/>
              <w:rPr>
                <w:rFonts w:eastAsia="Times New Roman"/>
              </w:rPr>
            </w:pPr>
            <w:r>
              <w:t>3389.5</w:t>
            </w:r>
          </w:p>
        </w:tc>
        <w:tc>
          <w:tcPr>
            <w:tcW w:w="1288" w:type="dxa"/>
            <w:noWrap/>
            <w:hideMark/>
          </w:tcPr>
          <w:p w14:paraId="0924CFA7" w14:textId="77777777" w:rsidR="00481FB1" w:rsidRPr="00BC2669" w:rsidRDefault="00481FB1" w:rsidP="001E748E">
            <w:pPr>
              <w:pStyle w:val="TableCopy"/>
              <w:rPr>
                <w:rFonts w:eastAsia="Times New Roman"/>
              </w:rPr>
            </w:pPr>
            <w:r>
              <w:t>534.2</w:t>
            </w:r>
          </w:p>
        </w:tc>
        <w:tc>
          <w:tcPr>
            <w:tcW w:w="1164" w:type="dxa"/>
            <w:noWrap/>
            <w:hideMark/>
          </w:tcPr>
          <w:p w14:paraId="643EF502" w14:textId="77777777" w:rsidR="00481FB1" w:rsidRPr="00BC2669" w:rsidRDefault="00481FB1" w:rsidP="001E748E">
            <w:pPr>
              <w:pStyle w:val="TableCopy"/>
              <w:rPr>
                <w:rFonts w:eastAsia="Times New Roman"/>
              </w:rPr>
            </w:pPr>
            <w:r>
              <w:t>8.3</w:t>
            </w:r>
          </w:p>
        </w:tc>
        <w:tc>
          <w:tcPr>
            <w:tcW w:w="1963" w:type="dxa"/>
            <w:noWrap/>
            <w:hideMark/>
          </w:tcPr>
          <w:p w14:paraId="5E4A4888" w14:textId="77777777" w:rsidR="00481FB1" w:rsidRPr="00BC2669" w:rsidRDefault="00481FB1" w:rsidP="001E748E">
            <w:pPr>
              <w:pStyle w:val="TableCopy"/>
              <w:rPr>
                <w:rFonts w:eastAsia="Times New Roman"/>
              </w:rPr>
            </w:pPr>
            <w:r>
              <w:t>23.4</w:t>
            </w:r>
          </w:p>
        </w:tc>
        <w:tc>
          <w:tcPr>
            <w:tcW w:w="2228" w:type="dxa"/>
            <w:noWrap/>
            <w:hideMark/>
          </w:tcPr>
          <w:p w14:paraId="62CD7E71" w14:textId="77777777" w:rsidR="00481FB1" w:rsidRPr="00BC2669" w:rsidRDefault="00481FB1" w:rsidP="001E748E">
            <w:pPr>
              <w:pStyle w:val="TableCopy"/>
              <w:rPr>
                <w:rFonts w:eastAsia="Times New Roman"/>
              </w:rPr>
            </w:pPr>
            <w:r>
              <w:t>41.6</w:t>
            </w:r>
          </w:p>
        </w:tc>
      </w:tr>
      <w:tr w:rsidR="00481FB1" w:rsidRPr="00BC2669" w14:paraId="3B2887BE" w14:textId="77777777" w:rsidTr="005E2B70">
        <w:trPr>
          <w:trHeight w:val="290"/>
        </w:trPr>
        <w:tc>
          <w:tcPr>
            <w:tcW w:w="1220" w:type="dxa"/>
            <w:noWrap/>
            <w:hideMark/>
          </w:tcPr>
          <w:p w14:paraId="303622A7" w14:textId="77777777" w:rsidR="00481FB1" w:rsidRPr="00BC2669" w:rsidRDefault="00481FB1" w:rsidP="001E748E">
            <w:pPr>
              <w:pStyle w:val="TableCopy"/>
              <w:rPr>
                <w:rFonts w:eastAsia="Times New Roman"/>
              </w:rPr>
            </w:pPr>
            <w:r w:rsidRPr="00BC2669">
              <w:rPr>
                <w:rFonts w:eastAsia="Times New Roman"/>
              </w:rPr>
              <w:t>2012</w:t>
            </w:r>
          </w:p>
        </w:tc>
        <w:tc>
          <w:tcPr>
            <w:tcW w:w="1164" w:type="dxa"/>
            <w:noWrap/>
            <w:hideMark/>
          </w:tcPr>
          <w:p w14:paraId="27DC1D70" w14:textId="77777777" w:rsidR="00481FB1" w:rsidRPr="00BC2669" w:rsidRDefault="00481FB1" w:rsidP="001E748E">
            <w:pPr>
              <w:pStyle w:val="TableCopy"/>
              <w:rPr>
                <w:rFonts w:eastAsia="Times New Roman"/>
              </w:rPr>
            </w:pPr>
            <w:r>
              <w:t>3711.8</w:t>
            </w:r>
          </w:p>
        </w:tc>
        <w:tc>
          <w:tcPr>
            <w:tcW w:w="1288" w:type="dxa"/>
            <w:noWrap/>
            <w:hideMark/>
          </w:tcPr>
          <w:p w14:paraId="42621C94" w14:textId="77777777" w:rsidR="00481FB1" w:rsidRPr="00BC2669" w:rsidRDefault="00481FB1" w:rsidP="001E748E">
            <w:pPr>
              <w:pStyle w:val="TableCopy"/>
              <w:rPr>
                <w:rFonts w:eastAsia="Times New Roman"/>
              </w:rPr>
            </w:pPr>
            <w:r>
              <w:t>599.1</w:t>
            </w:r>
          </w:p>
        </w:tc>
        <w:tc>
          <w:tcPr>
            <w:tcW w:w="1164" w:type="dxa"/>
            <w:noWrap/>
            <w:hideMark/>
          </w:tcPr>
          <w:p w14:paraId="48EF3584" w14:textId="77777777" w:rsidR="00481FB1" w:rsidRPr="00BC2669" w:rsidRDefault="00481FB1" w:rsidP="001E748E">
            <w:pPr>
              <w:pStyle w:val="TableCopy"/>
              <w:rPr>
                <w:rFonts w:eastAsia="Times New Roman"/>
              </w:rPr>
            </w:pPr>
            <w:r>
              <w:t>6.5</w:t>
            </w:r>
          </w:p>
        </w:tc>
        <w:tc>
          <w:tcPr>
            <w:tcW w:w="1963" w:type="dxa"/>
            <w:noWrap/>
            <w:hideMark/>
          </w:tcPr>
          <w:p w14:paraId="1BE4DFB9" w14:textId="77777777" w:rsidR="00481FB1" w:rsidRPr="00BC2669" w:rsidRDefault="00481FB1" w:rsidP="001E748E">
            <w:pPr>
              <w:pStyle w:val="TableCopy"/>
              <w:rPr>
                <w:rFonts w:eastAsia="Times New Roman"/>
              </w:rPr>
            </w:pPr>
            <w:r>
              <w:t>17.2</w:t>
            </w:r>
          </w:p>
        </w:tc>
        <w:tc>
          <w:tcPr>
            <w:tcW w:w="2228" w:type="dxa"/>
            <w:noWrap/>
            <w:hideMark/>
          </w:tcPr>
          <w:p w14:paraId="36677CB9" w14:textId="77777777" w:rsidR="00481FB1" w:rsidRPr="00BC2669" w:rsidRDefault="00481FB1" w:rsidP="001E748E">
            <w:pPr>
              <w:pStyle w:val="TableCopy"/>
              <w:rPr>
                <w:rFonts w:eastAsia="Times New Roman"/>
              </w:rPr>
            </w:pPr>
            <w:r>
              <w:t>54.4</w:t>
            </w:r>
          </w:p>
        </w:tc>
      </w:tr>
      <w:tr w:rsidR="00481FB1" w:rsidRPr="00BC2669" w14:paraId="7F4EDA4D" w14:textId="77777777" w:rsidTr="005E2B70">
        <w:trPr>
          <w:trHeight w:val="290"/>
        </w:trPr>
        <w:tc>
          <w:tcPr>
            <w:tcW w:w="1220" w:type="dxa"/>
            <w:noWrap/>
            <w:hideMark/>
          </w:tcPr>
          <w:p w14:paraId="1CEC6941" w14:textId="77777777" w:rsidR="00481FB1" w:rsidRPr="00BC2669" w:rsidRDefault="00481FB1" w:rsidP="001E748E">
            <w:pPr>
              <w:pStyle w:val="TableCopy"/>
              <w:rPr>
                <w:rFonts w:eastAsia="Times New Roman"/>
              </w:rPr>
            </w:pPr>
            <w:r w:rsidRPr="00BC2669">
              <w:rPr>
                <w:rFonts w:eastAsia="Times New Roman"/>
              </w:rPr>
              <w:t>2013</w:t>
            </w:r>
          </w:p>
        </w:tc>
        <w:tc>
          <w:tcPr>
            <w:tcW w:w="1164" w:type="dxa"/>
            <w:noWrap/>
            <w:hideMark/>
          </w:tcPr>
          <w:p w14:paraId="348EA54D" w14:textId="77777777" w:rsidR="00481FB1" w:rsidRPr="00BC2669" w:rsidRDefault="00481FB1" w:rsidP="001E748E">
            <w:pPr>
              <w:pStyle w:val="TableCopy"/>
              <w:rPr>
                <w:rFonts w:eastAsia="Times New Roman"/>
              </w:rPr>
            </w:pPr>
            <w:r>
              <w:t>3045.3</w:t>
            </w:r>
          </w:p>
        </w:tc>
        <w:tc>
          <w:tcPr>
            <w:tcW w:w="1288" w:type="dxa"/>
            <w:noWrap/>
            <w:hideMark/>
          </w:tcPr>
          <w:p w14:paraId="5F6847C6" w14:textId="77777777" w:rsidR="00481FB1" w:rsidRPr="00BC2669" w:rsidRDefault="00481FB1" w:rsidP="001E748E">
            <w:pPr>
              <w:pStyle w:val="TableCopy"/>
              <w:rPr>
                <w:rFonts w:eastAsia="Times New Roman"/>
              </w:rPr>
            </w:pPr>
            <w:r>
              <w:t>725.3</w:t>
            </w:r>
          </w:p>
        </w:tc>
        <w:tc>
          <w:tcPr>
            <w:tcW w:w="1164" w:type="dxa"/>
            <w:noWrap/>
            <w:hideMark/>
          </w:tcPr>
          <w:p w14:paraId="3E9657BD" w14:textId="77777777" w:rsidR="00481FB1" w:rsidRPr="00BC2669" w:rsidRDefault="00481FB1" w:rsidP="001E748E">
            <w:pPr>
              <w:pStyle w:val="TableCopy"/>
              <w:rPr>
                <w:rFonts w:eastAsia="Times New Roman"/>
              </w:rPr>
            </w:pPr>
            <w:r>
              <w:t>5.1</w:t>
            </w:r>
          </w:p>
        </w:tc>
        <w:tc>
          <w:tcPr>
            <w:tcW w:w="1963" w:type="dxa"/>
            <w:noWrap/>
            <w:hideMark/>
          </w:tcPr>
          <w:p w14:paraId="28B0BB36" w14:textId="77777777" w:rsidR="00481FB1" w:rsidRPr="00BC2669" w:rsidRDefault="00481FB1" w:rsidP="001E748E">
            <w:pPr>
              <w:pStyle w:val="TableCopy"/>
              <w:rPr>
                <w:rFonts w:eastAsia="Times New Roman"/>
              </w:rPr>
            </w:pPr>
            <w:r>
              <w:t>15.0</w:t>
            </w:r>
          </w:p>
        </w:tc>
        <w:tc>
          <w:tcPr>
            <w:tcW w:w="2228" w:type="dxa"/>
            <w:noWrap/>
            <w:hideMark/>
          </w:tcPr>
          <w:p w14:paraId="1F0AE062" w14:textId="77777777" w:rsidR="00481FB1" w:rsidRPr="00BC2669" w:rsidRDefault="00481FB1" w:rsidP="001E748E">
            <w:pPr>
              <w:pStyle w:val="TableCopy"/>
              <w:rPr>
                <w:rFonts w:eastAsia="Times New Roman"/>
              </w:rPr>
            </w:pPr>
            <w:r>
              <w:t>46.1</w:t>
            </w:r>
          </w:p>
        </w:tc>
      </w:tr>
      <w:tr w:rsidR="00481FB1" w:rsidRPr="00BC2669" w14:paraId="3C94C036" w14:textId="77777777" w:rsidTr="005E2B70">
        <w:trPr>
          <w:trHeight w:val="290"/>
        </w:trPr>
        <w:tc>
          <w:tcPr>
            <w:tcW w:w="1220" w:type="dxa"/>
            <w:noWrap/>
            <w:hideMark/>
          </w:tcPr>
          <w:p w14:paraId="0F19BFDA" w14:textId="77777777" w:rsidR="00481FB1" w:rsidRPr="00BC2669" w:rsidRDefault="00481FB1" w:rsidP="001E748E">
            <w:pPr>
              <w:pStyle w:val="TableCopy"/>
              <w:rPr>
                <w:rFonts w:eastAsia="Times New Roman"/>
              </w:rPr>
            </w:pPr>
            <w:r w:rsidRPr="00BC2669">
              <w:rPr>
                <w:rFonts w:eastAsia="Times New Roman"/>
              </w:rPr>
              <w:t>2014</w:t>
            </w:r>
          </w:p>
        </w:tc>
        <w:tc>
          <w:tcPr>
            <w:tcW w:w="1164" w:type="dxa"/>
            <w:noWrap/>
            <w:hideMark/>
          </w:tcPr>
          <w:p w14:paraId="69E1B5AE" w14:textId="77777777" w:rsidR="00481FB1" w:rsidRPr="00BC2669" w:rsidRDefault="00481FB1" w:rsidP="001E748E">
            <w:pPr>
              <w:pStyle w:val="TableCopy"/>
              <w:rPr>
                <w:rFonts w:eastAsia="Times New Roman"/>
              </w:rPr>
            </w:pPr>
            <w:r>
              <w:t>2464.4</w:t>
            </w:r>
          </w:p>
        </w:tc>
        <w:tc>
          <w:tcPr>
            <w:tcW w:w="1288" w:type="dxa"/>
            <w:noWrap/>
            <w:hideMark/>
          </w:tcPr>
          <w:p w14:paraId="1303C9DA" w14:textId="77777777" w:rsidR="00481FB1" w:rsidRPr="00BC2669" w:rsidRDefault="00481FB1" w:rsidP="001E748E">
            <w:pPr>
              <w:pStyle w:val="TableCopy"/>
              <w:rPr>
                <w:rFonts w:eastAsia="Times New Roman"/>
              </w:rPr>
            </w:pPr>
            <w:r>
              <w:t>670.0</w:t>
            </w:r>
          </w:p>
        </w:tc>
        <w:tc>
          <w:tcPr>
            <w:tcW w:w="1164" w:type="dxa"/>
            <w:noWrap/>
            <w:hideMark/>
          </w:tcPr>
          <w:p w14:paraId="13636A6B" w14:textId="77777777" w:rsidR="00481FB1" w:rsidRPr="00BC2669" w:rsidRDefault="00481FB1" w:rsidP="001E748E">
            <w:pPr>
              <w:pStyle w:val="TableCopy"/>
              <w:rPr>
                <w:rFonts w:eastAsia="Times New Roman"/>
              </w:rPr>
            </w:pPr>
            <w:r>
              <w:t>7.8</w:t>
            </w:r>
          </w:p>
        </w:tc>
        <w:tc>
          <w:tcPr>
            <w:tcW w:w="1963" w:type="dxa"/>
            <w:noWrap/>
            <w:hideMark/>
          </w:tcPr>
          <w:p w14:paraId="67F64384" w14:textId="77777777" w:rsidR="00481FB1" w:rsidRPr="00BC2669" w:rsidRDefault="00481FB1" w:rsidP="001E748E">
            <w:pPr>
              <w:pStyle w:val="TableCopy"/>
              <w:rPr>
                <w:rFonts w:eastAsia="Times New Roman"/>
              </w:rPr>
            </w:pPr>
            <w:r>
              <w:t>15.7</w:t>
            </w:r>
          </w:p>
        </w:tc>
        <w:tc>
          <w:tcPr>
            <w:tcW w:w="2228" w:type="dxa"/>
            <w:noWrap/>
            <w:hideMark/>
          </w:tcPr>
          <w:p w14:paraId="6D890514" w14:textId="77777777" w:rsidR="00481FB1" w:rsidRPr="00BC2669" w:rsidRDefault="00481FB1" w:rsidP="001E748E">
            <w:pPr>
              <w:pStyle w:val="TableCopy"/>
              <w:rPr>
                <w:rFonts w:eastAsia="Times New Roman"/>
              </w:rPr>
            </w:pPr>
            <w:r>
              <w:t>29.1</w:t>
            </w:r>
          </w:p>
        </w:tc>
      </w:tr>
      <w:tr w:rsidR="00481FB1" w:rsidRPr="00BC2669" w14:paraId="085A3B40" w14:textId="77777777" w:rsidTr="005E2B70">
        <w:trPr>
          <w:trHeight w:val="290"/>
        </w:trPr>
        <w:tc>
          <w:tcPr>
            <w:tcW w:w="1220" w:type="dxa"/>
            <w:noWrap/>
            <w:hideMark/>
          </w:tcPr>
          <w:p w14:paraId="319E997B" w14:textId="77777777" w:rsidR="00481FB1" w:rsidRPr="00BC2669" w:rsidRDefault="00481FB1" w:rsidP="001E748E">
            <w:pPr>
              <w:pStyle w:val="TableCopy"/>
              <w:rPr>
                <w:rFonts w:eastAsia="Times New Roman"/>
              </w:rPr>
            </w:pPr>
            <w:r w:rsidRPr="00BC2669">
              <w:rPr>
                <w:rFonts w:eastAsia="Times New Roman"/>
              </w:rPr>
              <w:t>2015</w:t>
            </w:r>
          </w:p>
        </w:tc>
        <w:tc>
          <w:tcPr>
            <w:tcW w:w="1164" w:type="dxa"/>
            <w:noWrap/>
            <w:hideMark/>
          </w:tcPr>
          <w:p w14:paraId="2C72D090" w14:textId="77777777" w:rsidR="00481FB1" w:rsidRPr="00BC2669" w:rsidRDefault="00481FB1" w:rsidP="001E748E">
            <w:pPr>
              <w:pStyle w:val="TableCopy"/>
              <w:rPr>
                <w:rFonts w:eastAsia="Times New Roman"/>
              </w:rPr>
            </w:pPr>
            <w:r>
              <w:t>2447.3</w:t>
            </w:r>
          </w:p>
        </w:tc>
        <w:tc>
          <w:tcPr>
            <w:tcW w:w="1288" w:type="dxa"/>
            <w:noWrap/>
            <w:hideMark/>
          </w:tcPr>
          <w:p w14:paraId="4BB7E5B9" w14:textId="77777777" w:rsidR="00481FB1" w:rsidRPr="00BC2669" w:rsidRDefault="00481FB1" w:rsidP="001E748E">
            <w:pPr>
              <w:pStyle w:val="TableCopy"/>
              <w:rPr>
                <w:rFonts w:eastAsia="Times New Roman"/>
              </w:rPr>
            </w:pPr>
            <w:r>
              <w:t>829.9</w:t>
            </w:r>
          </w:p>
        </w:tc>
        <w:tc>
          <w:tcPr>
            <w:tcW w:w="1164" w:type="dxa"/>
            <w:noWrap/>
            <w:hideMark/>
          </w:tcPr>
          <w:p w14:paraId="68F4D9FF" w14:textId="77777777" w:rsidR="00481FB1" w:rsidRPr="00BC2669" w:rsidRDefault="00481FB1" w:rsidP="001E748E">
            <w:pPr>
              <w:pStyle w:val="TableCopy"/>
              <w:rPr>
                <w:rFonts w:eastAsia="Times New Roman"/>
              </w:rPr>
            </w:pPr>
            <w:r>
              <w:t>7.3</w:t>
            </w:r>
          </w:p>
        </w:tc>
        <w:tc>
          <w:tcPr>
            <w:tcW w:w="1963" w:type="dxa"/>
            <w:noWrap/>
            <w:hideMark/>
          </w:tcPr>
          <w:p w14:paraId="145C0C24" w14:textId="77777777" w:rsidR="00481FB1" w:rsidRPr="00BC2669" w:rsidRDefault="00481FB1" w:rsidP="001E748E">
            <w:pPr>
              <w:pStyle w:val="TableCopy"/>
              <w:rPr>
                <w:rFonts w:eastAsia="Times New Roman"/>
              </w:rPr>
            </w:pPr>
            <w:r>
              <w:t>20.8</w:t>
            </w:r>
          </w:p>
        </w:tc>
        <w:tc>
          <w:tcPr>
            <w:tcW w:w="2228" w:type="dxa"/>
            <w:noWrap/>
            <w:hideMark/>
          </w:tcPr>
          <w:p w14:paraId="2A4A8843" w14:textId="77777777" w:rsidR="00481FB1" w:rsidRPr="00BC2669" w:rsidRDefault="00481FB1" w:rsidP="001E748E">
            <w:pPr>
              <w:pStyle w:val="TableCopy"/>
              <w:rPr>
                <w:rFonts w:eastAsia="Times New Roman"/>
              </w:rPr>
            </w:pPr>
            <w:r>
              <w:t>17.0</w:t>
            </w:r>
          </w:p>
        </w:tc>
      </w:tr>
      <w:tr w:rsidR="00481FB1" w:rsidRPr="00BC2669" w14:paraId="1E9C970A" w14:textId="77777777" w:rsidTr="005E2B70">
        <w:trPr>
          <w:trHeight w:val="290"/>
        </w:trPr>
        <w:tc>
          <w:tcPr>
            <w:tcW w:w="1220" w:type="dxa"/>
            <w:noWrap/>
            <w:hideMark/>
          </w:tcPr>
          <w:p w14:paraId="089FAF9D" w14:textId="77777777" w:rsidR="00481FB1" w:rsidRPr="00BC2669" w:rsidRDefault="00481FB1" w:rsidP="001E748E">
            <w:pPr>
              <w:pStyle w:val="TableCopy"/>
              <w:rPr>
                <w:rFonts w:eastAsia="Times New Roman"/>
              </w:rPr>
            </w:pPr>
            <w:r w:rsidRPr="00BC2669">
              <w:rPr>
                <w:rFonts w:eastAsia="Times New Roman"/>
              </w:rPr>
              <w:t>2016</w:t>
            </w:r>
          </w:p>
        </w:tc>
        <w:tc>
          <w:tcPr>
            <w:tcW w:w="1164" w:type="dxa"/>
            <w:noWrap/>
            <w:hideMark/>
          </w:tcPr>
          <w:p w14:paraId="7120D7B3" w14:textId="77777777" w:rsidR="00481FB1" w:rsidRPr="00BC2669" w:rsidRDefault="00481FB1" w:rsidP="001E748E">
            <w:pPr>
              <w:pStyle w:val="TableCopy"/>
              <w:rPr>
                <w:rFonts w:eastAsia="Times New Roman"/>
              </w:rPr>
            </w:pPr>
            <w:r>
              <w:t>2306.5</w:t>
            </w:r>
          </w:p>
        </w:tc>
        <w:tc>
          <w:tcPr>
            <w:tcW w:w="1288" w:type="dxa"/>
            <w:noWrap/>
            <w:hideMark/>
          </w:tcPr>
          <w:p w14:paraId="13FFDAAD" w14:textId="77777777" w:rsidR="00481FB1" w:rsidRPr="00BC2669" w:rsidRDefault="00481FB1" w:rsidP="001E748E">
            <w:pPr>
              <w:pStyle w:val="TableCopy"/>
              <w:rPr>
                <w:rFonts w:eastAsia="Times New Roman"/>
              </w:rPr>
            </w:pPr>
            <w:r>
              <w:t>1029.7</w:t>
            </w:r>
          </w:p>
        </w:tc>
        <w:tc>
          <w:tcPr>
            <w:tcW w:w="1164" w:type="dxa"/>
            <w:noWrap/>
            <w:hideMark/>
          </w:tcPr>
          <w:p w14:paraId="5974E102" w14:textId="77777777" w:rsidR="00481FB1" w:rsidRPr="00BC2669" w:rsidRDefault="00481FB1" w:rsidP="001E748E">
            <w:pPr>
              <w:pStyle w:val="TableCopy"/>
              <w:rPr>
                <w:rFonts w:eastAsia="Times New Roman"/>
              </w:rPr>
            </w:pPr>
            <w:r>
              <w:t>9.6</w:t>
            </w:r>
          </w:p>
        </w:tc>
        <w:tc>
          <w:tcPr>
            <w:tcW w:w="1963" w:type="dxa"/>
            <w:noWrap/>
            <w:hideMark/>
          </w:tcPr>
          <w:p w14:paraId="73E8F279" w14:textId="77777777" w:rsidR="00481FB1" w:rsidRPr="00BC2669" w:rsidRDefault="00481FB1" w:rsidP="001E748E">
            <w:pPr>
              <w:pStyle w:val="TableCopy"/>
              <w:rPr>
                <w:rFonts w:eastAsia="Times New Roman"/>
              </w:rPr>
            </w:pPr>
            <w:r>
              <w:t>27.1</w:t>
            </w:r>
          </w:p>
        </w:tc>
        <w:tc>
          <w:tcPr>
            <w:tcW w:w="2228" w:type="dxa"/>
            <w:noWrap/>
            <w:hideMark/>
          </w:tcPr>
          <w:p w14:paraId="4AAB099D" w14:textId="77777777" w:rsidR="00481FB1" w:rsidRPr="00BC2669" w:rsidRDefault="00481FB1" w:rsidP="001E748E">
            <w:pPr>
              <w:pStyle w:val="TableCopy"/>
              <w:rPr>
                <w:rFonts w:eastAsia="Times New Roman"/>
              </w:rPr>
            </w:pPr>
            <w:r>
              <w:t>14.3</w:t>
            </w:r>
          </w:p>
        </w:tc>
      </w:tr>
      <w:tr w:rsidR="00481FB1" w:rsidRPr="00BC2669" w14:paraId="5907D528" w14:textId="77777777" w:rsidTr="005E2B70">
        <w:trPr>
          <w:trHeight w:val="290"/>
        </w:trPr>
        <w:tc>
          <w:tcPr>
            <w:tcW w:w="1220" w:type="dxa"/>
            <w:noWrap/>
            <w:hideMark/>
          </w:tcPr>
          <w:p w14:paraId="785B2DA6" w14:textId="77777777" w:rsidR="00481FB1" w:rsidRPr="00BC2669" w:rsidRDefault="00481FB1" w:rsidP="001E748E">
            <w:pPr>
              <w:pStyle w:val="TableCopy"/>
              <w:rPr>
                <w:rFonts w:eastAsia="Times New Roman"/>
              </w:rPr>
            </w:pPr>
            <w:r w:rsidRPr="00BC2669">
              <w:rPr>
                <w:rFonts w:eastAsia="Times New Roman"/>
              </w:rPr>
              <w:t>2017</w:t>
            </w:r>
          </w:p>
        </w:tc>
        <w:tc>
          <w:tcPr>
            <w:tcW w:w="1164" w:type="dxa"/>
            <w:noWrap/>
            <w:hideMark/>
          </w:tcPr>
          <w:p w14:paraId="5CF34365" w14:textId="77777777" w:rsidR="00481FB1" w:rsidRPr="00BC2669" w:rsidRDefault="00481FB1" w:rsidP="001E748E">
            <w:pPr>
              <w:pStyle w:val="TableCopy"/>
              <w:rPr>
                <w:rFonts w:eastAsia="Times New Roman"/>
              </w:rPr>
            </w:pPr>
            <w:r>
              <w:t>2621.7</w:t>
            </w:r>
          </w:p>
        </w:tc>
        <w:tc>
          <w:tcPr>
            <w:tcW w:w="1288" w:type="dxa"/>
            <w:noWrap/>
            <w:hideMark/>
          </w:tcPr>
          <w:p w14:paraId="7B6D70E6" w14:textId="77777777" w:rsidR="00481FB1" w:rsidRPr="00BC2669" w:rsidRDefault="00481FB1" w:rsidP="001E748E">
            <w:pPr>
              <w:pStyle w:val="TableCopy"/>
              <w:rPr>
                <w:rFonts w:eastAsia="Times New Roman"/>
              </w:rPr>
            </w:pPr>
            <w:r>
              <w:t>1142.1</w:t>
            </w:r>
          </w:p>
        </w:tc>
        <w:tc>
          <w:tcPr>
            <w:tcW w:w="1164" w:type="dxa"/>
            <w:noWrap/>
            <w:hideMark/>
          </w:tcPr>
          <w:p w14:paraId="30912762" w14:textId="77777777" w:rsidR="00481FB1" w:rsidRPr="00BC2669" w:rsidRDefault="00481FB1" w:rsidP="001E748E">
            <w:pPr>
              <w:pStyle w:val="TableCopy"/>
              <w:rPr>
                <w:rFonts w:eastAsia="Times New Roman"/>
              </w:rPr>
            </w:pPr>
            <w:r>
              <w:t>3.7</w:t>
            </w:r>
          </w:p>
        </w:tc>
        <w:tc>
          <w:tcPr>
            <w:tcW w:w="1963" w:type="dxa"/>
            <w:noWrap/>
            <w:hideMark/>
          </w:tcPr>
          <w:p w14:paraId="4BA0AFF2" w14:textId="77777777" w:rsidR="00481FB1" w:rsidRPr="00BC2669" w:rsidRDefault="00481FB1" w:rsidP="001E748E">
            <w:pPr>
              <w:pStyle w:val="TableCopy"/>
              <w:rPr>
                <w:rFonts w:eastAsia="Times New Roman"/>
              </w:rPr>
            </w:pPr>
            <w:r>
              <w:t>41.8</w:t>
            </w:r>
          </w:p>
        </w:tc>
        <w:tc>
          <w:tcPr>
            <w:tcW w:w="2228" w:type="dxa"/>
            <w:noWrap/>
            <w:hideMark/>
          </w:tcPr>
          <w:p w14:paraId="6E8AAC7B" w14:textId="77777777" w:rsidR="00481FB1" w:rsidRPr="00BC2669" w:rsidRDefault="00481FB1" w:rsidP="001E748E">
            <w:pPr>
              <w:pStyle w:val="TableCopy"/>
              <w:rPr>
                <w:rFonts w:eastAsia="Times New Roman"/>
              </w:rPr>
            </w:pPr>
            <w:r>
              <w:t>19.4</w:t>
            </w:r>
          </w:p>
        </w:tc>
      </w:tr>
      <w:tr w:rsidR="00481FB1" w:rsidRPr="00BC2669" w14:paraId="58E55B7B" w14:textId="77777777" w:rsidTr="005E2B70">
        <w:trPr>
          <w:trHeight w:val="290"/>
        </w:trPr>
        <w:tc>
          <w:tcPr>
            <w:tcW w:w="1220" w:type="dxa"/>
            <w:noWrap/>
            <w:hideMark/>
          </w:tcPr>
          <w:p w14:paraId="1C893DB8" w14:textId="77777777" w:rsidR="00481FB1" w:rsidRPr="00BC2669" w:rsidRDefault="00481FB1" w:rsidP="001E748E">
            <w:pPr>
              <w:pStyle w:val="TableCopy"/>
              <w:rPr>
                <w:rFonts w:eastAsia="Times New Roman"/>
              </w:rPr>
            </w:pPr>
            <w:r w:rsidRPr="00BC2669">
              <w:rPr>
                <w:rFonts w:eastAsia="Times New Roman"/>
              </w:rPr>
              <w:t>2018</w:t>
            </w:r>
          </w:p>
        </w:tc>
        <w:tc>
          <w:tcPr>
            <w:tcW w:w="1164" w:type="dxa"/>
            <w:noWrap/>
            <w:hideMark/>
          </w:tcPr>
          <w:p w14:paraId="58117BAE" w14:textId="77777777" w:rsidR="00481FB1" w:rsidRPr="00BC2669" w:rsidRDefault="00481FB1" w:rsidP="001E748E">
            <w:pPr>
              <w:pStyle w:val="TableCopy"/>
              <w:rPr>
                <w:rFonts w:eastAsia="Times New Roman"/>
              </w:rPr>
            </w:pPr>
            <w:r>
              <w:t>2706.7</w:t>
            </w:r>
          </w:p>
        </w:tc>
        <w:tc>
          <w:tcPr>
            <w:tcW w:w="1288" w:type="dxa"/>
            <w:noWrap/>
            <w:hideMark/>
          </w:tcPr>
          <w:p w14:paraId="31C2B920" w14:textId="77777777" w:rsidR="00481FB1" w:rsidRPr="00BC2669" w:rsidRDefault="00481FB1" w:rsidP="001E748E">
            <w:pPr>
              <w:pStyle w:val="TableCopy"/>
              <w:rPr>
                <w:rFonts w:eastAsia="Times New Roman"/>
              </w:rPr>
            </w:pPr>
            <w:r>
              <w:t>1338.0</w:t>
            </w:r>
          </w:p>
        </w:tc>
        <w:tc>
          <w:tcPr>
            <w:tcW w:w="1164" w:type="dxa"/>
            <w:noWrap/>
            <w:hideMark/>
          </w:tcPr>
          <w:p w14:paraId="1644BE38" w14:textId="77777777" w:rsidR="00481FB1" w:rsidRPr="00BC2669" w:rsidRDefault="00481FB1" w:rsidP="001E748E">
            <w:pPr>
              <w:pStyle w:val="TableCopy"/>
              <w:rPr>
                <w:rFonts w:eastAsia="Times New Roman"/>
              </w:rPr>
            </w:pPr>
            <w:r>
              <w:t>5.7</w:t>
            </w:r>
          </w:p>
        </w:tc>
        <w:tc>
          <w:tcPr>
            <w:tcW w:w="1963" w:type="dxa"/>
            <w:noWrap/>
            <w:hideMark/>
          </w:tcPr>
          <w:p w14:paraId="664229A8" w14:textId="77777777" w:rsidR="00481FB1" w:rsidRPr="00BC2669" w:rsidRDefault="00481FB1" w:rsidP="001E748E">
            <w:pPr>
              <w:pStyle w:val="TableCopy"/>
              <w:rPr>
                <w:rFonts w:eastAsia="Times New Roman"/>
              </w:rPr>
            </w:pPr>
            <w:r>
              <w:t>77.0</w:t>
            </w:r>
          </w:p>
        </w:tc>
        <w:tc>
          <w:tcPr>
            <w:tcW w:w="2228" w:type="dxa"/>
            <w:noWrap/>
            <w:hideMark/>
          </w:tcPr>
          <w:p w14:paraId="1344FE88" w14:textId="77777777" w:rsidR="00481FB1" w:rsidRPr="00BC2669" w:rsidRDefault="00481FB1" w:rsidP="001E748E">
            <w:pPr>
              <w:pStyle w:val="TableCopy"/>
              <w:rPr>
                <w:rFonts w:eastAsia="Times New Roman"/>
              </w:rPr>
            </w:pPr>
            <w:r>
              <w:t>26.5</w:t>
            </w:r>
          </w:p>
        </w:tc>
      </w:tr>
      <w:tr w:rsidR="00481FB1" w:rsidRPr="00BC2669" w14:paraId="6DEA9ED9" w14:textId="77777777" w:rsidTr="005E2B70">
        <w:trPr>
          <w:trHeight w:val="290"/>
        </w:trPr>
        <w:tc>
          <w:tcPr>
            <w:tcW w:w="1220" w:type="dxa"/>
            <w:noWrap/>
            <w:hideMark/>
          </w:tcPr>
          <w:p w14:paraId="71F360BC" w14:textId="77777777" w:rsidR="00481FB1" w:rsidRPr="00BC2669" w:rsidRDefault="00481FB1" w:rsidP="001E748E">
            <w:pPr>
              <w:pStyle w:val="TableCopy"/>
              <w:rPr>
                <w:rFonts w:eastAsia="Times New Roman"/>
              </w:rPr>
            </w:pPr>
            <w:r w:rsidRPr="00BC2669">
              <w:rPr>
                <w:rFonts w:eastAsia="Times New Roman"/>
              </w:rPr>
              <w:t>2019</w:t>
            </w:r>
          </w:p>
        </w:tc>
        <w:tc>
          <w:tcPr>
            <w:tcW w:w="1164" w:type="dxa"/>
            <w:noWrap/>
            <w:hideMark/>
          </w:tcPr>
          <w:p w14:paraId="20D31172" w14:textId="77777777" w:rsidR="00481FB1" w:rsidRPr="00BC2669" w:rsidRDefault="00481FB1" w:rsidP="001E748E">
            <w:pPr>
              <w:pStyle w:val="TableCopy"/>
              <w:rPr>
                <w:rFonts w:eastAsia="Times New Roman"/>
              </w:rPr>
            </w:pPr>
            <w:r>
              <w:t>2397.2</w:t>
            </w:r>
          </w:p>
        </w:tc>
        <w:tc>
          <w:tcPr>
            <w:tcW w:w="1288" w:type="dxa"/>
            <w:noWrap/>
            <w:hideMark/>
          </w:tcPr>
          <w:p w14:paraId="5C5113B6" w14:textId="77777777" w:rsidR="00481FB1" w:rsidRPr="00BC2669" w:rsidRDefault="00481FB1" w:rsidP="001E748E">
            <w:pPr>
              <w:pStyle w:val="TableCopy"/>
              <w:rPr>
                <w:rFonts w:eastAsia="Times New Roman"/>
              </w:rPr>
            </w:pPr>
            <w:r>
              <w:t>1306.8</w:t>
            </w:r>
          </w:p>
        </w:tc>
        <w:tc>
          <w:tcPr>
            <w:tcW w:w="1164" w:type="dxa"/>
            <w:noWrap/>
            <w:hideMark/>
          </w:tcPr>
          <w:p w14:paraId="2D6E0A08" w14:textId="77777777" w:rsidR="00481FB1" w:rsidRPr="00BC2669" w:rsidRDefault="00481FB1" w:rsidP="001E748E">
            <w:pPr>
              <w:pStyle w:val="TableCopy"/>
              <w:rPr>
                <w:rFonts w:eastAsia="Times New Roman"/>
              </w:rPr>
            </w:pPr>
            <w:r>
              <w:t>13.8</w:t>
            </w:r>
          </w:p>
        </w:tc>
        <w:tc>
          <w:tcPr>
            <w:tcW w:w="1963" w:type="dxa"/>
            <w:noWrap/>
            <w:hideMark/>
          </w:tcPr>
          <w:p w14:paraId="7183915F" w14:textId="77777777" w:rsidR="00481FB1" w:rsidRPr="00BC2669" w:rsidRDefault="00481FB1" w:rsidP="001E748E">
            <w:pPr>
              <w:pStyle w:val="TableCopy"/>
              <w:rPr>
                <w:rFonts w:eastAsia="Times New Roman"/>
              </w:rPr>
            </w:pPr>
            <w:r>
              <w:t>84.1</w:t>
            </w:r>
          </w:p>
        </w:tc>
        <w:tc>
          <w:tcPr>
            <w:tcW w:w="2228" w:type="dxa"/>
            <w:noWrap/>
            <w:hideMark/>
          </w:tcPr>
          <w:p w14:paraId="5F6CD9C1" w14:textId="77777777" w:rsidR="00481FB1" w:rsidRPr="00BC2669" w:rsidRDefault="00481FB1" w:rsidP="001E748E">
            <w:pPr>
              <w:pStyle w:val="TableCopy"/>
              <w:rPr>
                <w:rFonts w:eastAsia="Times New Roman"/>
              </w:rPr>
            </w:pPr>
            <w:r>
              <w:t>65.3</w:t>
            </w:r>
          </w:p>
        </w:tc>
      </w:tr>
      <w:tr w:rsidR="00481FB1" w:rsidRPr="00BC2669" w14:paraId="21FBD53D" w14:textId="77777777" w:rsidTr="005E2B70">
        <w:trPr>
          <w:trHeight w:val="290"/>
        </w:trPr>
        <w:tc>
          <w:tcPr>
            <w:tcW w:w="1220" w:type="dxa"/>
            <w:noWrap/>
            <w:hideMark/>
          </w:tcPr>
          <w:p w14:paraId="5CDCCD96" w14:textId="77777777" w:rsidR="00481FB1" w:rsidRPr="00BC2669" w:rsidRDefault="00481FB1" w:rsidP="001E748E">
            <w:pPr>
              <w:pStyle w:val="TableCopy"/>
              <w:rPr>
                <w:rFonts w:eastAsia="Times New Roman"/>
              </w:rPr>
            </w:pPr>
            <w:r w:rsidRPr="00BC2669">
              <w:rPr>
                <w:rFonts w:eastAsia="Times New Roman"/>
              </w:rPr>
              <w:t>2020</w:t>
            </w:r>
          </w:p>
        </w:tc>
        <w:tc>
          <w:tcPr>
            <w:tcW w:w="1164" w:type="dxa"/>
            <w:noWrap/>
            <w:hideMark/>
          </w:tcPr>
          <w:p w14:paraId="1DC7DCEB" w14:textId="77777777" w:rsidR="00481FB1" w:rsidRPr="00BC2669" w:rsidRDefault="00481FB1" w:rsidP="001E748E">
            <w:pPr>
              <w:pStyle w:val="TableCopy"/>
              <w:rPr>
                <w:rFonts w:eastAsia="Times New Roman"/>
              </w:rPr>
            </w:pPr>
            <w:r>
              <w:t>2466.9</w:t>
            </w:r>
          </w:p>
        </w:tc>
        <w:tc>
          <w:tcPr>
            <w:tcW w:w="1288" w:type="dxa"/>
            <w:noWrap/>
            <w:hideMark/>
          </w:tcPr>
          <w:p w14:paraId="1772ECA7" w14:textId="77777777" w:rsidR="00481FB1" w:rsidRPr="00BC2669" w:rsidRDefault="00481FB1" w:rsidP="001E748E">
            <w:pPr>
              <w:pStyle w:val="TableCopy"/>
              <w:rPr>
                <w:rFonts w:eastAsia="Times New Roman"/>
              </w:rPr>
            </w:pPr>
            <w:r>
              <w:t>1621.6</w:t>
            </w:r>
          </w:p>
        </w:tc>
        <w:tc>
          <w:tcPr>
            <w:tcW w:w="1164" w:type="dxa"/>
            <w:noWrap/>
            <w:hideMark/>
          </w:tcPr>
          <w:p w14:paraId="2EED8EDF" w14:textId="77777777" w:rsidR="00481FB1" w:rsidRPr="00BC2669" w:rsidRDefault="00481FB1" w:rsidP="001E748E">
            <w:pPr>
              <w:pStyle w:val="TableCopy"/>
              <w:rPr>
                <w:rFonts w:eastAsia="Times New Roman"/>
              </w:rPr>
            </w:pPr>
            <w:r>
              <w:t>25.9</w:t>
            </w:r>
          </w:p>
        </w:tc>
        <w:tc>
          <w:tcPr>
            <w:tcW w:w="1963" w:type="dxa"/>
            <w:noWrap/>
            <w:hideMark/>
          </w:tcPr>
          <w:p w14:paraId="6A8ED06F" w14:textId="77777777" w:rsidR="00481FB1" w:rsidRPr="00BC2669" w:rsidRDefault="00481FB1" w:rsidP="001E748E">
            <w:pPr>
              <w:pStyle w:val="TableCopy"/>
              <w:rPr>
                <w:rFonts w:eastAsia="Times New Roman"/>
              </w:rPr>
            </w:pPr>
            <w:r>
              <w:t>138.6</w:t>
            </w:r>
          </w:p>
        </w:tc>
        <w:tc>
          <w:tcPr>
            <w:tcW w:w="2228" w:type="dxa"/>
            <w:noWrap/>
            <w:hideMark/>
          </w:tcPr>
          <w:p w14:paraId="03DF20D9" w14:textId="77777777" w:rsidR="00481FB1" w:rsidRPr="00BC2669" w:rsidRDefault="00481FB1" w:rsidP="001E748E">
            <w:pPr>
              <w:pStyle w:val="TableCopy"/>
              <w:rPr>
                <w:rFonts w:eastAsia="Times New Roman"/>
              </w:rPr>
            </w:pPr>
            <w:r>
              <w:t>53.3</w:t>
            </w:r>
          </w:p>
        </w:tc>
      </w:tr>
    </w:tbl>
    <w:p w14:paraId="553045AC" w14:textId="77777777" w:rsidR="00481FB1" w:rsidRDefault="00481FB1" w:rsidP="00481FB1"/>
    <w:p w14:paraId="37EDC063" w14:textId="77777777" w:rsidR="00481FB1" w:rsidRDefault="00481FB1" w:rsidP="001E748E">
      <w:pPr>
        <w:rPr>
          <w:rFonts w:eastAsia="MS Gothic"/>
        </w:rPr>
      </w:pPr>
      <w:r w:rsidRPr="00C21E53">
        <w:rPr>
          <w:rFonts w:eastAsia="MS Gothic"/>
        </w:rPr>
        <w:lastRenderedPageBreak/>
        <w:t xml:space="preserve">The </w:t>
      </w:r>
      <w:r>
        <w:rPr>
          <w:rFonts w:eastAsia="MS Gothic"/>
        </w:rPr>
        <w:t>Electricity, Gas and Water Supply</w:t>
      </w:r>
      <w:r w:rsidRPr="00C21E53">
        <w:rPr>
          <w:rFonts w:eastAsia="MS Gothic"/>
        </w:rPr>
        <w:t xml:space="preserve"> subi</w:t>
      </w:r>
      <w:r>
        <w:rPr>
          <w:rFonts w:eastAsia="MS Gothic"/>
        </w:rPr>
        <w:t>ndustries with the largest GVA in 2020 in descending order are; Electricity Supply, Water Supply and Drainage Services, Gas Supply and Waste Collection, Treatment and Disposal Services.</w:t>
      </w:r>
    </w:p>
    <w:p w14:paraId="36FA54D5" w14:textId="77777777" w:rsidR="00481FB1" w:rsidRDefault="00481FB1" w:rsidP="001E748E">
      <w:pPr>
        <w:rPr>
          <w:rFonts w:eastAsia="MS Gothic"/>
        </w:rPr>
      </w:pPr>
      <w:r>
        <w:rPr>
          <w:rFonts w:eastAsia="MS Gothic"/>
        </w:rPr>
        <w:t>Electricity Supply and Gas Supply has declined between 2001 and 2020 whilst Waste Collection, Treatment and Disposal Services and Water Supply and Drainage Services have grown over the same period.</w:t>
      </w:r>
    </w:p>
    <w:p w14:paraId="3C953211" w14:textId="77777777" w:rsidR="00481FB1" w:rsidRPr="005063F0" w:rsidRDefault="00481FB1" w:rsidP="001E748E">
      <w:r w:rsidRPr="00E63E3E">
        <w:t>Simplified Table of data for energy subindustry GVA 2001-20. Data in this table is in ($) millions</w:t>
      </w:r>
      <w:r w:rsidRPr="001E748E">
        <w:t>.</w:t>
      </w:r>
      <w:r>
        <w:t xml:space="preserve"> </w:t>
      </w:r>
    </w:p>
    <w:tbl>
      <w:tblPr>
        <w:tblStyle w:val="TableGrid"/>
        <w:tblW w:w="0" w:type="auto"/>
        <w:tblLayout w:type="fixed"/>
        <w:tblCellMar>
          <w:top w:w="0" w:type="dxa"/>
          <w:bottom w:w="0" w:type="dxa"/>
        </w:tblCellMar>
        <w:tblLook w:val="0020" w:firstRow="1" w:lastRow="0" w:firstColumn="0" w:lastColumn="0" w:noHBand="0" w:noVBand="0"/>
      </w:tblPr>
      <w:tblGrid>
        <w:gridCol w:w="1401"/>
        <w:gridCol w:w="1274"/>
        <w:gridCol w:w="1274"/>
        <w:gridCol w:w="2425"/>
        <w:gridCol w:w="2285"/>
      </w:tblGrid>
      <w:tr w:rsidR="00481FB1" w:rsidRPr="001E748E" w14:paraId="7BF0BEFC" w14:textId="77777777" w:rsidTr="001E748E">
        <w:tc>
          <w:tcPr>
            <w:tcW w:w="1401" w:type="dxa"/>
          </w:tcPr>
          <w:p w14:paraId="42AE82FA" w14:textId="77777777" w:rsidR="00481FB1" w:rsidRPr="001E748E" w:rsidRDefault="00481FB1" w:rsidP="001E748E">
            <w:pPr>
              <w:pStyle w:val="TableHeading"/>
            </w:pPr>
            <w:r w:rsidRPr="001E748E">
              <w:t>Year</w:t>
            </w:r>
          </w:p>
        </w:tc>
        <w:tc>
          <w:tcPr>
            <w:tcW w:w="1274" w:type="dxa"/>
          </w:tcPr>
          <w:p w14:paraId="3BE391A1" w14:textId="77777777" w:rsidR="00481FB1" w:rsidRPr="001E748E" w:rsidRDefault="00481FB1" w:rsidP="001E748E">
            <w:pPr>
              <w:pStyle w:val="TableHeading"/>
            </w:pPr>
            <w:r w:rsidRPr="001E748E">
              <w:t>Electricity Supply</w:t>
            </w:r>
          </w:p>
        </w:tc>
        <w:tc>
          <w:tcPr>
            <w:tcW w:w="1274" w:type="dxa"/>
          </w:tcPr>
          <w:p w14:paraId="24569B0B" w14:textId="77777777" w:rsidR="00481FB1" w:rsidRPr="001E748E" w:rsidRDefault="00481FB1" w:rsidP="001E748E">
            <w:pPr>
              <w:pStyle w:val="TableHeading"/>
            </w:pPr>
            <w:r w:rsidRPr="001E748E">
              <w:t>Gas Supply</w:t>
            </w:r>
          </w:p>
        </w:tc>
        <w:tc>
          <w:tcPr>
            <w:tcW w:w="2425" w:type="dxa"/>
          </w:tcPr>
          <w:p w14:paraId="2986A866" w14:textId="77777777" w:rsidR="00481FB1" w:rsidRPr="001E748E" w:rsidRDefault="00481FB1" w:rsidP="001E748E">
            <w:pPr>
              <w:pStyle w:val="TableHeading"/>
            </w:pPr>
            <w:r w:rsidRPr="001E748E">
              <w:t>Water Supply, Sewerage and Drainage Services</w:t>
            </w:r>
          </w:p>
        </w:tc>
        <w:tc>
          <w:tcPr>
            <w:tcW w:w="2285" w:type="dxa"/>
          </w:tcPr>
          <w:p w14:paraId="2DF71BC2" w14:textId="77777777" w:rsidR="00481FB1" w:rsidRPr="001E748E" w:rsidRDefault="00481FB1" w:rsidP="001E748E">
            <w:pPr>
              <w:pStyle w:val="TableHeading"/>
            </w:pPr>
            <w:r w:rsidRPr="001E748E">
              <w:t>Waste Collection, Treatment and Disposal Services</w:t>
            </w:r>
          </w:p>
        </w:tc>
      </w:tr>
      <w:tr w:rsidR="00481FB1" w14:paraId="5135C218" w14:textId="77777777" w:rsidTr="001E748E">
        <w:tc>
          <w:tcPr>
            <w:tcW w:w="1401" w:type="dxa"/>
          </w:tcPr>
          <w:p w14:paraId="5DDBBDC2" w14:textId="77777777" w:rsidR="00481FB1" w:rsidRDefault="00481FB1" w:rsidP="001E748E">
            <w:pPr>
              <w:pStyle w:val="TableCopy"/>
            </w:pPr>
            <w:r>
              <w:t>2001</w:t>
            </w:r>
          </w:p>
        </w:tc>
        <w:tc>
          <w:tcPr>
            <w:tcW w:w="1274" w:type="dxa"/>
          </w:tcPr>
          <w:p w14:paraId="520BB130" w14:textId="77777777" w:rsidR="00481FB1" w:rsidRDefault="00481FB1" w:rsidP="001E748E">
            <w:pPr>
              <w:pStyle w:val="TableCopy"/>
            </w:pPr>
            <w:r>
              <w:t>1777.7</w:t>
            </w:r>
          </w:p>
        </w:tc>
        <w:tc>
          <w:tcPr>
            <w:tcW w:w="1274" w:type="dxa"/>
          </w:tcPr>
          <w:p w14:paraId="259965FE" w14:textId="77777777" w:rsidR="00481FB1" w:rsidRDefault="00481FB1" w:rsidP="001E748E">
            <w:pPr>
              <w:pStyle w:val="TableCopy"/>
            </w:pPr>
            <w:r>
              <w:t>87.9</w:t>
            </w:r>
          </w:p>
        </w:tc>
        <w:tc>
          <w:tcPr>
            <w:tcW w:w="2425" w:type="dxa"/>
          </w:tcPr>
          <w:p w14:paraId="08EA75CD" w14:textId="77777777" w:rsidR="00481FB1" w:rsidRDefault="00481FB1" w:rsidP="001E748E">
            <w:pPr>
              <w:pStyle w:val="TableCopy"/>
            </w:pPr>
            <w:r>
              <w:t>170.0</w:t>
            </w:r>
          </w:p>
        </w:tc>
        <w:tc>
          <w:tcPr>
            <w:tcW w:w="2285" w:type="dxa"/>
          </w:tcPr>
          <w:p w14:paraId="25B5F99D" w14:textId="77777777" w:rsidR="00481FB1" w:rsidRDefault="00481FB1" w:rsidP="001E748E">
            <w:pPr>
              <w:pStyle w:val="TableCopy"/>
            </w:pPr>
            <w:r>
              <w:t>30.7</w:t>
            </w:r>
          </w:p>
        </w:tc>
      </w:tr>
      <w:tr w:rsidR="00481FB1" w14:paraId="07D4C27F" w14:textId="77777777" w:rsidTr="001E748E">
        <w:tc>
          <w:tcPr>
            <w:tcW w:w="1401" w:type="dxa"/>
          </w:tcPr>
          <w:p w14:paraId="1663E631" w14:textId="77777777" w:rsidR="00481FB1" w:rsidRDefault="00481FB1" w:rsidP="001E748E">
            <w:pPr>
              <w:pStyle w:val="TableCopy"/>
            </w:pPr>
            <w:r>
              <w:t>2002</w:t>
            </w:r>
          </w:p>
        </w:tc>
        <w:tc>
          <w:tcPr>
            <w:tcW w:w="1274" w:type="dxa"/>
          </w:tcPr>
          <w:p w14:paraId="1182A69E" w14:textId="77777777" w:rsidR="00481FB1" w:rsidRDefault="00481FB1" w:rsidP="001E748E">
            <w:pPr>
              <w:pStyle w:val="TableCopy"/>
            </w:pPr>
            <w:r>
              <w:t>1894.3</w:t>
            </w:r>
          </w:p>
        </w:tc>
        <w:tc>
          <w:tcPr>
            <w:tcW w:w="1274" w:type="dxa"/>
          </w:tcPr>
          <w:p w14:paraId="5C3EB372" w14:textId="77777777" w:rsidR="00481FB1" w:rsidRDefault="00481FB1" w:rsidP="001E748E">
            <w:pPr>
              <w:pStyle w:val="TableCopy"/>
            </w:pPr>
            <w:r>
              <w:t>99.1</w:t>
            </w:r>
          </w:p>
        </w:tc>
        <w:tc>
          <w:tcPr>
            <w:tcW w:w="2425" w:type="dxa"/>
          </w:tcPr>
          <w:p w14:paraId="6C76F128" w14:textId="77777777" w:rsidR="00481FB1" w:rsidRDefault="00481FB1" w:rsidP="001E748E">
            <w:pPr>
              <w:pStyle w:val="TableCopy"/>
            </w:pPr>
            <w:r>
              <w:t>171.4</w:t>
            </w:r>
          </w:p>
        </w:tc>
        <w:tc>
          <w:tcPr>
            <w:tcW w:w="2285" w:type="dxa"/>
          </w:tcPr>
          <w:p w14:paraId="2A0E7615" w14:textId="77777777" w:rsidR="00481FB1" w:rsidRDefault="00481FB1" w:rsidP="001E748E">
            <w:pPr>
              <w:pStyle w:val="TableCopy"/>
            </w:pPr>
            <w:r>
              <w:t>25.2</w:t>
            </w:r>
          </w:p>
        </w:tc>
      </w:tr>
      <w:tr w:rsidR="00481FB1" w14:paraId="7DB7F15C" w14:textId="77777777" w:rsidTr="001E748E">
        <w:tc>
          <w:tcPr>
            <w:tcW w:w="1401" w:type="dxa"/>
          </w:tcPr>
          <w:p w14:paraId="083644D4" w14:textId="77777777" w:rsidR="00481FB1" w:rsidRDefault="00481FB1" w:rsidP="001E748E">
            <w:pPr>
              <w:pStyle w:val="TableCopy"/>
            </w:pPr>
            <w:r>
              <w:t>2003</w:t>
            </w:r>
          </w:p>
        </w:tc>
        <w:tc>
          <w:tcPr>
            <w:tcW w:w="1274" w:type="dxa"/>
          </w:tcPr>
          <w:p w14:paraId="24FB1F75" w14:textId="77777777" w:rsidR="00481FB1" w:rsidRDefault="00481FB1" w:rsidP="001E748E">
            <w:pPr>
              <w:pStyle w:val="TableCopy"/>
            </w:pPr>
            <w:r>
              <w:t>1413.4</w:t>
            </w:r>
          </w:p>
        </w:tc>
        <w:tc>
          <w:tcPr>
            <w:tcW w:w="1274" w:type="dxa"/>
          </w:tcPr>
          <w:p w14:paraId="50F285F3" w14:textId="77777777" w:rsidR="00481FB1" w:rsidRDefault="00481FB1" w:rsidP="001E748E">
            <w:pPr>
              <w:pStyle w:val="TableCopy"/>
            </w:pPr>
            <w:r>
              <w:t>78.1</w:t>
            </w:r>
          </w:p>
        </w:tc>
        <w:tc>
          <w:tcPr>
            <w:tcW w:w="2425" w:type="dxa"/>
          </w:tcPr>
          <w:p w14:paraId="030988D5" w14:textId="77777777" w:rsidR="00481FB1" w:rsidRDefault="00481FB1" w:rsidP="001E748E">
            <w:pPr>
              <w:pStyle w:val="TableCopy"/>
            </w:pPr>
            <w:r>
              <w:t>207.6</w:t>
            </w:r>
          </w:p>
        </w:tc>
        <w:tc>
          <w:tcPr>
            <w:tcW w:w="2285" w:type="dxa"/>
          </w:tcPr>
          <w:p w14:paraId="1FD306C8" w14:textId="77777777" w:rsidR="00481FB1" w:rsidRDefault="00481FB1" w:rsidP="001E748E">
            <w:pPr>
              <w:pStyle w:val="TableCopy"/>
            </w:pPr>
            <w:r>
              <w:t>20.2</w:t>
            </w:r>
          </w:p>
        </w:tc>
      </w:tr>
      <w:tr w:rsidR="00481FB1" w14:paraId="2410B919" w14:textId="77777777" w:rsidTr="001E748E">
        <w:tc>
          <w:tcPr>
            <w:tcW w:w="1401" w:type="dxa"/>
          </w:tcPr>
          <w:p w14:paraId="14B34AF0" w14:textId="77777777" w:rsidR="00481FB1" w:rsidRDefault="00481FB1" w:rsidP="001E748E">
            <w:pPr>
              <w:pStyle w:val="TableCopy"/>
            </w:pPr>
            <w:r>
              <w:t>2004</w:t>
            </w:r>
          </w:p>
        </w:tc>
        <w:tc>
          <w:tcPr>
            <w:tcW w:w="1274" w:type="dxa"/>
          </w:tcPr>
          <w:p w14:paraId="3D4E9E0C" w14:textId="77777777" w:rsidR="00481FB1" w:rsidRDefault="00481FB1" w:rsidP="001E748E">
            <w:pPr>
              <w:pStyle w:val="TableCopy"/>
            </w:pPr>
            <w:r>
              <w:t>1347.5</w:t>
            </w:r>
          </w:p>
        </w:tc>
        <w:tc>
          <w:tcPr>
            <w:tcW w:w="1274" w:type="dxa"/>
          </w:tcPr>
          <w:p w14:paraId="0C12096E" w14:textId="77777777" w:rsidR="00481FB1" w:rsidRDefault="00481FB1" w:rsidP="001E748E">
            <w:pPr>
              <w:pStyle w:val="TableCopy"/>
            </w:pPr>
            <w:r>
              <w:t>61.2</w:t>
            </w:r>
          </w:p>
        </w:tc>
        <w:tc>
          <w:tcPr>
            <w:tcW w:w="2425" w:type="dxa"/>
          </w:tcPr>
          <w:p w14:paraId="2B0076FC" w14:textId="77777777" w:rsidR="00481FB1" w:rsidRDefault="00481FB1" w:rsidP="001E748E">
            <w:pPr>
              <w:pStyle w:val="TableCopy"/>
            </w:pPr>
            <w:r>
              <w:t>292.4</w:t>
            </w:r>
          </w:p>
        </w:tc>
        <w:tc>
          <w:tcPr>
            <w:tcW w:w="2285" w:type="dxa"/>
          </w:tcPr>
          <w:p w14:paraId="4BE179F6" w14:textId="77777777" w:rsidR="00481FB1" w:rsidRDefault="00481FB1" w:rsidP="001E748E">
            <w:pPr>
              <w:pStyle w:val="TableCopy"/>
            </w:pPr>
            <w:r>
              <w:t>32.6</w:t>
            </w:r>
          </w:p>
        </w:tc>
      </w:tr>
      <w:tr w:rsidR="00481FB1" w14:paraId="22D903FD" w14:textId="77777777" w:rsidTr="001E748E">
        <w:tc>
          <w:tcPr>
            <w:tcW w:w="1401" w:type="dxa"/>
          </w:tcPr>
          <w:p w14:paraId="3099A8AF" w14:textId="77777777" w:rsidR="00481FB1" w:rsidRDefault="00481FB1" w:rsidP="001E748E">
            <w:pPr>
              <w:pStyle w:val="TableCopy"/>
            </w:pPr>
            <w:r>
              <w:t>2005</w:t>
            </w:r>
          </w:p>
        </w:tc>
        <w:tc>
          <w:tcPr>
            <w:tcW w:w="1274" w:type="dxa"/>
          </w:tcPr>
          <w:p w14:paraId="11E908AF" w14:textId="77777777" w:rsidR="00481FB1" w:rsidRDefault="00481FB1" w:rsidP="001E748E">
            <w:pPr>
              <w:pStyle w:val="TableCopy"/>
            </w:pPr>
            <w:r>
              <w:t>1373.4</w:t>
            </w:r>
          </w:p>
        </w:tc>
        <w:tc>
          <w:tcPr>
            <w:tcW w:w="1274" w:type="dxa"/>
          </w:tcPr>
          <w:p w14:paraId="33FEE383" w14:textId="77777777" w:rsidR="00481FB1" w:rsidRDefault="00481FB1" w:rsidP="001E748E">
            <w:pPr>
              <w:pStyle w:val="TableCopy"/>
            </w:pPr>
            <w:r>
              <w:t>56.9</w:t>
            </w:r>
          </w:p>
        </w:tc>
        <w:tc>
          <w:tcPr>
            <w:tcW w:w="2425" w:type="dxa"/>
          </w:tcPr>
          <w:p w14:paraId="546AEC6F" w14:textId="77777777" w:rsidR="00481FB1" w:rsidRDefault="00481FB1" w:rsidP="001E748E">
            <w:pPr>
              <w:pStyle w:val="TableCopy"/>
            </w:pPr>
            <w:r>
              <w:t>365.0</w:t>
            </w:r>
          </w:p>
        </w:tc>
        <w:tc>
          <w:tcPr>
            <w:tcW w:w="2285" w:type="dxa"/>
          </w:tcPr>
          <w:p w14:paraId="24FD41FB" w14:textId="77777777" w:rsidR="00481FB1" w:rsidRDefault="00481FB1" w:rsidP="001E748E">
            <w:pPr>
              <w:pStyle w:val="TableCopy"/>
            </w:pPr>
            <w:r>
              <w:t>26.5</w:t>
            </w:r>
          </w:p>
        </w:tc>
      </w:tr>
      <w:tr w:rsidR="00481FB1" w14:paraId="425C8C0E" w14:textId="77777777" w:rsidTr="001E748E">
        <w:tc>
          <w:tcPr>
            <w:tcW w:w="1401" w:type="dxa"/>
          </w:tcPr>
          <w:p w14:paraId="7A7AD786" w14:textId="77777777" w:rsidR="00481FB1" w:rsidRDefault="00481FB1" w:rsidP="001E748E">
            <w:pPr>
              <w:pStyle w:val="TableCopy"/>
            </w:pPr>
            <w:r>
              <w:t>2006</w:t>
            </w:r>
          </w:p>
        </w:tc>
        <w:tc>
          <w:tcPr>
            <w:tcW w:w="1274" w:type="dxa"/>
          </w:tcPr>
          <w:p w14:paraId="55AB2EFB" w14:textId="77777777" w:rsidR="00481FB1" w:rsidRDefault="00481FB1" w:rsidP="001E748E">
            <w:pPr>
              <w:pStyle w:val="TableCopy"/>
            </w:pPr>
            <w:r>
              <w:t>1295.6</w:t>
            </w:r>
          </w:p>
        </w:tc>
        <w:tc>
          <w:tcPr>
            <w:tcW w:w="1274" w:type="dxa"/>
          </w:tcPr>
          <w:p w14:paraId="23364467" w14:textId="77777777" w:rsidR="00481FB1" w:rsidRDefault="00481FB1" w:rsidP="001E748E">
            <w:pPr>
              <w:pStyle w:val="TableCopy"/>
            </w:pPr>
            <w:r>
              <w:t>55.2</w:t>
            </w:r>
          </w:p>
        </w:tc>
        <w:tc>
          <w:tcPr>
            <w:tcW w:w="2425" w:type="dxa"/>
          </w:tcPr>
          <w:p w14:paraId="73EAE880" w14:textId="77777777" w:rsidR="00481FB1" w:rsidRDefault="00481FB1" w:rsidP="001E748E">
            <w:pPr>
              <w:pStyle w:val="TableCopy"/>
            </w:pPr>
            <w:r>
              <w:t>325.5</w:t>
            </w:r>
          </w:p>
        </w:tc>
        <w:tc>
          <w:tcPr>
            <w:tcW w:w="2285" w:type="dxa"/>
          </w:tcPr>
          <w:p w14:paraId="15E66279" w14:textId="77777777" w:rsidR="00481FB1" w:rsidRDefault="00481FB1" w:rsidP="001E748E">
            <w:pPr>
              <w:pStyle w:val="TableCopy"/>
            </w:pPr>
            <w:r>
              <w:t>27.6</w:t>
            </w:r>
          </w:p>
        </w:tc>
      </w:tr>
      <w:tr w:rsidR="00481FB1" w14:paraId="4652255E" w14:textId="77777777" w:rsidTr="001E748E">
        <w:tc>
          <w:tcPr>
            <w:tcW w:w="1401" w:type="dxa"/>
          </w:tcPr>
          <w:p w14:paraId="7375D597" w14:textId="77777777" w:rsidR="00481FB1" w:rsidRDefault="00481FB1" w:rsidP="001E748E">
            <w:pPr>
              <w:pStyle w:val="TableCopy"/>
            </w:pPr>
            <w:r>
              <w:t>2007</w:t>
            </w:r>
          </w:p>
        </w:tc>
        <w:tc>
          <w:tcPr>
            <w:tcW w:w="1274" w:type="dxa"/>
          </w:tcPr>
          <w:p w14:paraId="0A900043" w14:textId="77777777" w:rsidR="00481FB1" w:rsidRDefault="00481FB1" w:rsidP="001E748E">
            <w:pPr>
              <w:pStyle w:val="TableCopy"/>
            </w:pPr>
            <w:r>
              <w:t>1275.3</w:t>
            </w:r>
          </w:p>
        </w:tc>
        <w:tc>
          <w:tcPr>
            <w:tcW w:w="1274" w:type="dxa"/>
          </w:tcPr>
          <w:p w14:paraId="5166CE4D" w14:textId="77777777" w:rsidR="00481FB1" w:rsidRDefault="00481FB1" w:rsidP="001E748E">
            <w:pPr>
              <w:pStyle w:val="TableCopy"/>
            </w:pPr>
            <w:r>
              <w:t>59.2</w:t>
            </w:r>
          </w:p>
        </w:tc>
        <w:tc>
          <w:tcPr>
            <w:tcW w:w="2425" w:type="dxa"/>
          </w:tcPr>
          <w:p w14:paraId="70053025" w14:textId="77777777" w:rsidR="00481FB1" w:rsidRDefault="00481FB1" w:rsidP="001E748E">
            <w:pPr>
              <w:pStyle w:val="TableCopy"/>
            </w:pPr>
            <w:r>
              <w:t>207.5</w:t>
            </w:r>
          </w:p>
        </w:tc>
        <w:tc>
          <w:tcPr>
            <w:tcW w:w="2285" w:type="dxa"/>
          </w:tcPr>
          <w:p w14:paraId="1214E2EC" w14:textId="77777777" w:rsidR="00481FB1" w:rsidRDefault="00481FB1" w:rsidP="001E748E">
            <w:pPr>
              <w:pStyle w:val="TableCopy"/>
            </w:pPr>
            <w:r>
              <w:t>51.8</w:t>
            </w:r>
          </w:p>
        </w:tc>
      </w:tr>
      <w:tr w:rsidR="00481FB1" w14:paraId="47B09479" w14:textId="77777777" w:rsidTr="001E748E">
        <w:tc>
          <w:tcPr>
            <w:tcW w:w="1401" w:type="dxa"/>
          </w:tcPr>
          <w:p w14:paraId="58705260" w14:textId="77777777" w:rsidR="00481FB1" w:rsidRDefault="00481FB1" w:rsidP="001E748E">
            <w:pPr>
              <w:pStyle w:val="TableCopy"/>
            </w:pPr>
            <w:r>
              <w:t>2008</w:t>
            </w:r>
          </w:p>
        </w:tc>
        <w:tc>
          <w:tcPr>
            <w:tcW w:w="1274" w:type="dxa"/>
          </w:tcPr>
          <w:p w14:paraId="681514CC" w14:textId="77777777" w:rsidR="00481FB1" w:rsidRDefault="00481FB1" w:rsidP="001E748E">
            <w:pPr>
              <w:pStyle w:val="TableCopy"/>
            </w:pPr>
            <w:r>
              <w:t>1277.1</w:t>
            </w:r>
          </w:p>
        </w:tc>
        <w:tc>
          <w:tcPr>
            <w:tcW w:w="1274" w:type="dxa"/>
          </w:tcPr>
          <w:p w14:paraId="0BCBD3D8" w14:textId="77777777" w:rsidR="00481FB1" w:rsidRDefault="00481FB1" w:rsidP="001E748E">
            <w:pPr>
              <w:pStyle w:val="TableCopy"/>
            </w:pPr>
            <w:r>
              <w:t>52.9</w:t>
            </w:r>
          </w:p>
        </w:tc>
        <w:tc>
          <w:tcPr>
            <w:tcW w:w="2425" w:type="dxa"/>
          </w:tcPr>
          <w:p w14:paraId="258AB101" w14:textId="77777777" w:rsidR="00481FB1" w:rsidRDefault="00481FB1" w:rsidP="001E748E">
            <w:pPr>
              <w:pStyle w:val="TableCopy"/>
            </w:pPr>
            <w:r>
              <w:t>208.9</w:t>
            </w:r>
          </w:p>
        </w:tc>
        <w:tc>
          <w:tcPr>
            <w:tcW w:w="2285" w:type="dxa"/>
          </w:tcPr>
          <w:p w14:paraId="54B53B4B" w14:textId="77777777" w:rsidR="00481FB1" w:rsidRDefault="00481FB1" w:rsidP="001E748E">
            <w:pPr>
              <w:pStyle w:val="TableCopy"/>
            </w:pPr>
            <w:r>
              <w:t>63.6</w:t>
            </w:r>
          </w:p>
        </w:tc>
      </w:tr>
      <w:tr w:rsidR="00481FB1" w14:paraId="1A001E0D" w14:textId="77777777" w:rsidTr="001E748E">
        <w:tc>
          <w:tcPr>
            <w:tcW w:w="1401" w:type="dxa"/>
          </w:tcPr>
          <w:p w14:paraId="5C3CB2D5" w14:textId="77777777" w:rsidR="00481FB1" w:rsidRDefault="00481FB1" w:rsidP="001E748E">
            <w:pPr>
              <w:pStyle w:val="TableCopy"/>
            </w:pPr>
            <w:r>
              <w:t>2009</w:t>
            </w:r>
          </w:p>
        </w:tc>
        <w:tc>
          <w:tcPr>
            <w:tcW w:w="1274" w:type="dxa"/>
          </w:tcPr>
          <w:p w14:paraId="1FA57D28" w14:textId="77777777" w:rsidR="00481FB1" w:rsidRDefault="00481FB1" w:rsidP="001E748E">
            <w:pPr>
              <w:pStyle w:val="TableCopy"/>
            </w:pPr>
            <w:r>
              <w:t>1372.9</w:t>
            </w:r>
          </w:p>
        </w:tc>
        <w:tc>
          <w:tcPr>
            <w:tcW w:w="1274" w:type="dxa"/>
          </w:tcPr>
          <w:p w14:paraId="2ABF30F6" w14:textId="77777777" w:rsidR="00481FB1" w:rsidRDefault="00481FB1" w:rsidP="001E748E">
            <w:pPr>
              <w:pStyle w:val="TableCopy"/>
            </w:pPr>
            <w:r>
              <w:t>35.7</w:t>
            </w:r>
          </w:p>
        </w:tc>
        <w:tc>
          <w:tcPr>
            <w:tcW w:w="2425" w:type="dxa"/>
          </w:tcPr>
          <w:p w14:paraId="03C62783" w14:textId="77777777" w:rsidR="00481FB1" w:rsidRDefault="00481FB1" w:rsidP="001E748E">
            <w:pPr>
              <w:pStyle w:val="TableCopy"/>
            </w:pPr>
            <w:r>
              <w:t>227.3</w:t>
            </w:r>
          </w:p>
        </w:tc>
        <w:tc>
          <w:tcPr>
            <w:tcW w:w="2285" w:type="dxa"/>
          </w:tcPr>
          <w:p w14:paraId="63E66D68" w14:textId="77777777" w:rsidR="00481FB1" w:rsidRDefault="00481FB1" w:rsidP="001E748E">
            <w:pPr>
              <w:pStyle w:val="TableCopy"/>
            </w:pPr>
            <w:r>
              <w:t>59.3</w:t>
            </w:r>
          </w:p>
        </w:tc>
      </w:tr>
      <w:tr w:rsidR="00481FB1" w14:paraId="7011343E" w14:textId="77777777" w:rsidTr="001E748E">
        <w:tc>
          <w:tcPr>
            <w:tcW w:w="1401" w:type="dxa"/>
          </w:tcPr>
          <w:p w14:paraId="118DA873" w14:textId="77777777" w:rsidR="00481FB1" w:rsidRDefault="00481FB1" w:rsidP="001E748E">
            <w:pPr>
              <w:pStyle w:val="TableCopy"/>
            </w:pPr>
            <w:r>
              <w:t>2010</w:t>
            </w:r>
          </w:p>
        </w:tc>
        <w:tc>
          <w:tcPr>
            <w:tcW w:w="1274" w:type="dxa"/>
          </w:tcPr>
          <w:p w14:paraId="02840173" w14:textId="77777777" w:rsidR="00481FB1" w:rsidRDefault="00481FB1" w:rsidP="001E748E">
            <w:pPr>
              <w:pStyle w:val="TableCopy"/>
            </w:pPr>
            <w:r>
              <w:t>1479.5</w:t>
            </w:r>
          </w:p>
        </w:tc>
        <w:tc>
          <w:tcPr>
            <w:tcW w:w="1274" w:type="dxa"/>
          </w:tcPr>
          <w:p w14:paraId="1D3838B3" w14:textId="77777777" w:rsidR="00481FB1" w:rsidRDefault="00481FB1" w:rsidP="001E748E">
            <w:pPr>
              <w:pStyle w:val="TableCopy"/>
            </w:pPr>
            <w:r>
              <w:t>31.9</w:t>
            </w:r>
          </w:p>
        </w:tc>
        <w:tc>
          <w:tcPr>
            <w:tcW w:w="2425" w:type="dxa"/>
          </w:tcPr>
          <w:p w14:paraId="10E3ED0B" w14:textId="77777777" w:rsidR="00481FB1" w:rsidRDefault="00481FB1" w:rsidP="001E748E">
            <w:pPr>
              <w:pStyle w:val="TableCopy"/>
            </w:pPr>
            <w:r>
              <w:t>267.7</w:t>
            </w:r>
          </w:p>
        </w:tc>
        <w:tc>
          <w:tcPr>
            <w:tcW w:w="2285" w:type="dxa"/>
          </w:tcPr>
          <w:p w14:paraId="13098A74" w14:textId="77777777" w:rsidR="00481FB1" w:rsidRDefault="00481FB1" w:rsidP="001E748E">
            <w:pPr>
              <w:pStyle w:val="TableCopy"/>
            </w:pPr>
            <w:r>
              <w:t>53.7</w:t>
            </w:r>
          </w:p>
        </w:tc>
      </w:tr>
      <w:tr w:rsidR="00481FB1" w14:paraId="4BC2E718" w14:textId="77777777" w:rsidTr="001E748E">
        <w:tc>
          <w:tcPr>
            <w:tcW w:w="1401" w:type="dxa"/>
          </w:tcPr>
          <w:p w14:paraId="5F0E1FE3" w14:textId="77777777" w:rsidR="00481FB1" w:rsidRDefault="00481FB1" w:rsidP="001E748E">
            <w:pPr>
              <w:pStyle w:val="TableCopy"/>
            </w:pPr>
            <w:r>
              <w:t>2011</w:t>
            </w:r>
          </w:p>
        </w:tc>
        <w:tc>
          <w:tcPr>
            <w:tcW w:w="1274" w:type="dxa"/>
          </w:tcPr>
          <w:p w14:paraId="3BEA40ED" w14:textId="77777777" w:rsidR="00481FB1" w:rsidRDefault="00481FB1" w:rsidP="001E748E">
            <w:pPr>
              <w:pStyle w:val="TableCopy"/>
            </w:pPr>
            <w:r>
              <w:t>1208.7</w:t>
            </w:r>
          </w:p>
        </w:tc>
        <w:tc>
          <w:tcPr>
            <w:tcW w:w="1274" w:type="dxa"/>
          </w:tcPr>
          <w:p w14:paraId="24C9886F" w14:textId="77777777" w:rsidR="00481FB1" w:rsidRDefault="00481FB1" w:rsidP="001E748E">
            <w:pPr>
              <w:pStyle w:val="TableCopy"/>
            </w:pPr>
            <w:r>
              <w:t>30.4</w:t>
            </w:r>
          </w:p>
        </w:tc>
        <w:tc>
          <w:tcPr>
            <w:tcW w:w="2425" w:type="dxa"/>
          </w:tcPr>
          <w:p w14:paraId="6283D6F9" w14:textId="77777777" w:rsidR="00481FB1" w:rsidRDefault="00481FB1" w:rsidP="001E748E">
            <w:pPr>
              <w:pStyle w:val="TableCopy"/>
            </w:pPr>
            <w:r>
              <w:t>364.6</w:t>
            </w:r>
          </w:p>
        </w:tc>
        <w:tc>
          <w:tcPr>
            <w:tcW w:w="2285" w:type="dxa"/>
          </w:tcPr>
          <w:p w14:paraId="76DB07B0" w14:textId="77777777" w:rsidR="00481FB1" w:rsidRDefault="00481FB1" w:rsidP="001E748E">
            <w:pPr>
              <w:pStyle w:val="TableCopy"/>
            </w:pPr>
            <w:r>
              <w:t>56.0</w:t>
            </w:r>
          </w:p>
        </w:tc>
      </w:tr>
      <w:tr w:rsidR="00481FB1" w14:paraId="1CA2F954" w14:textId="77777777" w:rsidTr="001E748E">
        <w:tc>
          <w:tcPr>
            <w:tcW w:w="1401" w:type="dxa"/>
          </w:tcPr>
          <w:p w14:paraId="0F285CD0" w14:textId="77777777" w:rsidR="00481FB1" w:rsidRDefault="00481FB1" w:rsidP="001E748E">
            <w:pPr>
              <w:pStyle w:val="TableCopy"/>
            </w:pPr>
            <w:r>
              <w:t>2012</w:t>
            </w:r>
          </w:p>
        </w:tc>
        <w:tc>
          <w:tcPr>
            <w:tcW w:w="1274" w:type="dxa"/>
          </w:tcPr>
          <w:p w14:paraId="1A7D49EB" w14:textId="77777777" w:rsidR="00481FB1" w:rsidRDefault="00481FB1" w:rsidP="001E748E">
            <w:pPr>
              <w:pStyle w:val="TableCopy"/>
            </w:pPr>
            <w:r>
              <w:t>938.2</w:t>
            </w:r>
          </w:p>
        </w:tc>
        <w:tc>
          <w:tcPr>
            <w:tcW w:w="1274" w:type="dxa"/>
          </w:tcPr>
          <w:p w14:paraId="5389723E" w14:textId="77777777" w:rsidR="00481FB1" w:rsidRDefault="00481FB1" w:rsidP="001E748E">
            <w:pPr>
              <w:pStyle w:val="TableCopy"/>
            </w:pPr>
            <w:r>
              <w:t>34.3</w:t>
            </w:r>
          </w:p>
        </w:tc>
        <w:tc>
          <w:tcPr>
            <w:tcW w:w="2425" w:type="dxa"/>
          </w:tcPr>
          <w:p w14:paraId="5AF0A55D" w14:textId="77777777" w:rsidR="00481FB1" w:rsidRDefault="00481FB1" w:rsidP="001E748E">
            <w:pPr>
              <w:pStyle w:val="TableCopy"/>
            </w:pPr>
            <w:r>
              <w:t>428.3</w:t>
            </w:r>
          </w:p>
        </w:tc>
        <w:tc>
          <w:tcPr>
            <w:tcW w:w="2285" w:type="dxa"/>
          </w:tcPr>
          <w:p w14:paraId="5D04CFC1" w14:textId="77777777" w:rsidR="00481FB1" w:rsidRDefault="00481FB1" w:rsidP="001E748E">
            <w:pPr>
              <w:pStyle w:val="TableCopy"/>
            </w:pPr>
            <w:r>
              <w:t>50.0</w:t>
            </w:r>
          </w:p>
        </w:tc>
      </w:tr>
      <w:tr w:rsidR="00481FB1" w14:paraId="102F58D9" w14:textId="77777777" w:rsidTr="001E748E">
        <w:tc>
          <w:tcPr>
            <w:tcW w:w="1401" w:type="dxa"/>
          </w:tcPr>
          <w:p w14:paraId="3343D9AB" w14:textId="77777777" w:rsidR="00481FB1" w:rsidRDefault="00481FB1" w:rsidP="001E748E">
            <w:pPr>
              <w:pStyle w:val="TableCopy"/>
            </w:pPr>
            <w:r>
              <w:t>2013</w:t>
            </w:r>
          </w:p>
        </w:tc>
        <w:tc>
          <w:tcPr>
            <w:tcW w:w="1274" w:type="dxa"/>
          </w:tcPr>
          <w:p w14:paraId="4D0239E8" w14:textId="77777777" w:rsidR="00481FB1" w:rsidRDefault="00481FB1" w:rsidP="001E748E">
            <w:pPr>
              <w:pStyle w:val="TableCopy"/>
            </w:pPr>
            <w:r>
              <w:t>871.2</w:t>
            </w:r>
          </w:p>
        </w:tc>
        <w:tc>
          <w:tcPr>
            <w:tcW w:w="1274" w:type="dxa"/>
          </w:tcPr>
          <w:p w14:paraId="69744961" w14:textId="77777777" w:rsidR="00481FB1" w:rsidRDefault="00481FB1" w:rsidP="001E748E">
            <w:pPr>
              <w:pStyle w:val="TableCopy"/>
            </w:pPr>
            <w:r>
              <w:t>43.8</w:t>
            </w:r>
          </w:p>
        </w:tc>
        <w:tc>
          <w:tcPr>
            <w:tcW w:w="2425" w:type="dxa"/>
          </w:tcPr>
          <w:p w14:paraId="2D2FEEBF" w14:textId="77777777" w:rsidR="00481FB1" w:rsidRDefault="00481FB1" w:rsidP="001E748E">
            <w:pPr>
              <w:pStyle w:val="TableCopy"/>
            </w:pPr>
            <w:r>
              <w:t>338.7</w:t>
            </w:r>
          </w:p>
        </w:tc>
        <w:tc>
          <w:tcPr>
            <w:tcW w:w="2285" w:type="dxa"/>
          </w:tcPr>
          <w:p w14:paraId="22E6ED6E" w14:textId="77777777" w:rsidR="00481FB1" w:rsidRDefault="00481FB1" w:rsidP="001E748E">
            <w:pPr>
              <w:pStyle w:val="TableCopy"/>
            </w:pPr>
            <w:r>
              <w:t>44.4</w:t>
            </w:r>
          </w:p>
        </w:tc>
      </w:tr>
      <w:tr w:rsidR="00481FB1" w14:paraId="583C7D02" w14:textId="77777777" w:rsidTr="001E748E">
        <w:tc>
          <w:tcPr>
            <w:tcW w:w="1401" w:type="dxa"/>
          </w:tcPr>
          <w:p w14:paraId="0370460A" w14:textId="77777777" w:rsidR="00481FB1" w:rsidRDefault="00481FB1" w:rsidP="001E748E">
            <w:pPr>
              <w:pStyle w:val="TableCopy"/>
            </w:pPr>
            <w:r>
              <w:t>2014</w:t>
            </w:r>
          </w:p>
        </w:tc>
        <w:tc>
          <w:tcPr>
            <w:tcW w:w="1274" w:type="dxa"/>
          </w:tcPr>
          <w:p w14:paraId="053BB2DF" w14:textId="77777777" w:rsidR="00481FB1" w:rsidRDefault="00481FB1" w:rsidP="001E748E">
            <w:pPr>
              <w:pStyle w:val="TableCopy"/>
            </w:pPr>
            <w:r>
              <w:t>791.1</w:t>
            </w:r>
          </w:p>
        </w:tc>
        <w:tc>
          <w:tcPr>
            <w:tcW w:w="1274" w:type="dxa"/>
          </w:tcPr>
          <w:p w14:paraId="5E49C231" w14:textId="77777777" w:rsidR="00481FB1" w:rsidRDefault="00481FB1" w:rsidP="001E748E">
            <w:pPr>
              <w:pStyle w:val="TableCopy"/>
            </w:pPr>
            <w:r>
              <w:t>48.8</w:t>
            </w:r>
          </w:p>
        </w:tc>
        <w:tc>
          <w:tcPr>
            <w:tcW w:w="2425" w:type="dxa"/>
          </w:tcPr>
          <w:p w14:paraId="4EABBFF2" w14:textId="77777777" w:rsidR="00481FB1" w:rsidRDefault="00481FB1" w:rsidP="001E748E">
            <w:pPr>
              <w:pStyle w:val="TableCopy"/>
            </w:pPr>
            <w:r>
              <w:t>277.2</w:t>
            </w:r>
          </w:p>
        </w:tc>
        <w:tc>
          <w:tcPr>
            <w:tcW w:w="2285" w:type="dxa"/>
          </w:tcPr>
          <w:p w14:paraId="2DEF8134" w14:textId="77777777" w:rsidR="00481FB1" w:rsidRDefault="00481FB1" w:rsidP="001E748E">
            <w:pPr>
              <w:pStyle w:val="TableCopy"/>
            </w:pPr>
            <w:r>
              <w:t>38.7</w:t>
            </w:r>
          </w:p>
        </w:tc>
      </w:tr>
      <w:tr w:rsidR="00481FB1" w14:paraId="132F59DB" w14:textId="77777777" w:rsidTr="001E748E">
        <w:tc>
          <w:tcPr>
            <w:tcW w:w="1401" w:type="dxa"/>
          </w:tcPr>
          <w:p w14:paraId="23949CC1" w14:textId="77777777" w:rsidR="00481FB1" w:rsidRDefault="00481FB1" w:rsidP="001E748E">
            <w:pPr>
              <w:pStyle w:val="TableCopy"/>
            </w:pPr>
            <w:r>
              <w:t>2015</w:t>
            </w:r>
          </w:p>
        </w:tc>
        <w:tc>
          <w:tcPr>
            <w:tcW w:w="1274" w:type="dxa"/>
          </w:tcPr>
          <w:p w14:paraId="174E6897" w14:textId="77777777" w:rsidR="00481FB1" w:rsidRDefault="00481FB1" w:rsidP="001E748E">
            <w:pPr>
              <w:pStyle w:val="TableCopy"/>
            </w:pPr>
            <w:r>
              <w:t>796.5</w:t>
            </w:r>
          </w:p>
        </w:tc>
        <w:tc>
          <w:tcPr>
            <w:tcW w:w="1274" w:type="dxa"/>
          </w:tcPr>
          <w:p w14:paraId="360F1F7B" w14:textId="77777777" w:rsidR="00481FB1" w:rsidRDefault="00481FB1" w:rsidP="001E748E">
            <w:pPr>
              <w:pStyle w:val="TableCopy"/>
            </w:pPr>
            <w:r>
              <w:t>63.6</w:t>
            </w:r>
          </w:p>
        </w:tc>
        <w:tc>
          <w:tcPr>
            <w:tcW w:w="2425" w:type="dxa"/>
          </w:tcPr>
          <w:p w14:paraId="7D37751E" w14:textId="77777777" w:rsidR="00481FB1" w:rsidRDefault="00481FB1" w:rsidP="001E748E">
            <w:pPr>
              <w:pStyle w:val="TableCopy"/>
            </w:pPr>
            <w:r>
              <w:t>293.9</w:t>
            </w:r>
          </w:p>
        </w:tc>
        <w:tc>
          <w:tcPr>
            <w:tcW w:w="2285" w:type="dxa"/>
          </w:tcPr>
          <w:p w14:paraId="5394EC05" w14:textId="77777777" w:rsidR="00481FB1" w:rsidRDefault="00481FB1" w:rsidP="001E748E">
            <w:pPr>
              <w:pStyle w:val="TableCopy"/>
            </w:pPr>
            <w:r>
              <w:t>43.0</w:t>
            </w:r>
          </w:p>
        </w:tc>
      </w:tr>
      <w:tr w:rsidR="00481FB1" w14:paraId="4DDCEE4D" w14:textId="77777777" w:rsidTr="001E748E">
        <w:tc>
          <w:tcPr>
            <w:tcW w:w="1401" w:type="dxa"/>
          </w:tcPr>
          <w:p w14:paraId="1A96D877" w14:textId="77777777" w:rsidR="00481FB1" w:rsidRDefault="00481FB1" w:rsidP="001E748E">
            <w:pPr>
              <w:pStyle w:val="TableCopy"/>
            </w:pPr>
            <w:r>
              <w:t>2016</w:t>
            </w:r>
          </w:p>
        </w:tc>
        <w:tc>
          <w:tcPr>
            <w:tcW w:w="1274" w:type="dxa"/>
          </w:tcPr>
          <w:p w14:paraId="27FAFFA9" w14:textId="77777777" w:rsidR="00481FB1" w:rsidRDefault="00481FB1" w:rsidP="001E748E">
            <w:pPr>
              <w:pStyle w:val="TableCopy"/>
            </w:pPr>
            <w:r>
              <w:t>889.2</w:t>
            </w:r>
          </w:p>
        </w:tc>
        <w:tc>
          <w:tcPr>
            <w:tcW w:w="1274" w:type="dxa"/>
          </w:tcPr>
          <w:p w14:paraId="632EB33C" w14:textId="77777777" w:rsidR="00481FB1" w:rsidRDefault="00481FB1" w:rsidP="001E748E">
            <w:pPr>
              <w:pStyle w:val="TableCopy"/>
            </w:pPr>
            <w:r>
              <w:t>82.2</w:t>
            </w:r>
          </w:p>
        </w:tc>
        <w:tc>
          <w:tcPr>
            <w:tcW w:w="2425" w:type="dxa"/>
          </w:tcPr>
          <w:p w14:paraId="119EF185" w14:textId="77777777" w:rsidR="00481FB1" w:rsidRDefault="00481FB1" w:rsidP="001E748E">
            <w:pPr>
              <w:pStyle w:val="TableCopy"/>
            </w:pPr>
            <w:r>
              <w:t>294.0</w:t>
            </w:r>
          </w:p>
        </w:tc>
        <w:tc>
          <w:tcPr>
            <w:tcW w:w="2285" w:type="dxa"/>
          </w:tcPr>
          <w:p w14:paraId="19A4444D" w14:textId="77777777" w:rsidR="00481FB1" w:rsidRDefault="00481FB1" w:rsidP="001E748E">
            <w:pPr>
              <w:pStyle w:val="TableCopy"/>
            </w:pPr>
            <w:r>
              <w:t>43.7</w:t>
            </w:r>
          </w:p>
        </w:tc>
      </w:tr>
      <w:tr w:rsidR="00481FB1" w14:paraId="2DEB85FE" w14:textId="77777777" w:rsidTr="001E748E">
        <w:tc>
          <w:tcPr>
            <w:tcW w:w="1401" w:type="dxa"/>
          </w:tcPr>
          <w:p w14:paraId="2FAEDFE2" w14:textId="77777777" w:rsidR="00481FB1" w:rsidRDefault="00481FB1" w:rsidP="001E748E">
            <w:pPr>
              <w:pStyle w:val="TableCopy"/>
            </w:pPr>
            <w:r>
              <w:t>2017</w:t>
            </w:r>
          </w:p>
        </w:tc>
        <w:tc>
          <w:tcPr>
            <w:tcW w:w="1274" w:type="dxa"/>
          </w:tcPr>
          <w:p w14:paraId="62CFA7C2" w14:textId="77777777" w:rsidR="00481FB1" w:rsidRDefault="00481FB1" w:rsidP="001E748E">
            <w:pPr>
              <w:pStyle w:val="TableCopy"/>
            </w:pPr>
            <w:r>
              <w:t>781.6</w:t>
            </w:r>
          </w:p>
        </w:tc>
        <w:tc>
          <w:tcPr>
            <w:tcW w:w="1274" w:type="dxa"/>
          </w:tcPr>
          <w:p w14:paraId="5363A254" w14:textId="77777777" w:rsidR="00481FB1" w:rsidRDefault="00481FB1" w:rsidP="001E748E">
            <w:pPr>
              <w:pStyle w:val="TableCopy"/>
            </w:pPr>
            <w:r>
              <w:t>101.0</w:t>
            </w:r>
          </w:p>
        </w:tc>
        <w:tc>
          <w:tcPr>
            <w:tcW w:w="2425" w:type="dxa"/>
          </w:tcPr>
          <w:p w14:paraId="30575D17" w14:textId="77777777" w:rsidR="00481FB1" w:rsidRDefault="00481FB1" w:rsidP="001E748E">
            <w:pPr>
              <w:pStyle w:val="TableCopy"/>
            </w:pPr>
            <w:r>
              <w:t>296.6</w:t>
            </w:r>
          </w:p>
        </w:tc>
        <w:tc>
          <w:tcPr>
            <w:tcW w:w="2285" w:type="dxa"/>
          </w:tcPr>
          <w:p w14:paraId="229AF667" w14:textId="77777777" w:rsidR="00481FB1" w:rsidRDefault="00481FB1" w:rsidP="001E748E">
            <w:pPr>
              <w:pStyle w:val="TableCopy"/>
            </w:pPr>
            <w:r>
              <w:t>44.8</w:t>
            </w:r>
          </w:p>
        </w:tc>
      </w:tr>
      <w:tr w:rsidR="00481FB1" w14:paraId="2508B91D" w14:textId="77777777" w:rsidTr="001E748E">
        <w:tc>
          <w:tcPr>
            <w:tcW w:w="1401" w:type="dxa"/>
          </w:tcPr>
          <w:p w14:paraId="3F801A12" w14:textId="77777777" w:rsidR="00481FB1" w:rsidRDefault="00481FB1" w:rsidP="001E748E">
            <w:pPr>
              <w:pStyle w:val="TableCopy"/>
            </w:pPr>
            <w:r>
              <w:t>2018</w:t>
            </w:r>
          </w:p>
        </w:tc>
        <w:tc>
          <w:tcPr>
            <w:tcW w:w="1274" w:type="dxa"/>
          </w:tcPr>
          <w:p w14:paraId="3074F23E" w14:textId="77777777" w:rsidR="00481FB1" w:rsidRDefault="00481FB1" w:rsidP="001E748E">
            <w:pPr>
              <w:pStyle w:val="TableCopy"/>
            </w:pPr>
            <w:r>
              <w:t>642.4</w:t>
            </w:r>
          </w:p>
        </w:tc>
        <w:tc>
          <w:tcPr>
            <w:tcW w:w="1274" w:type="dxa"/>
          </w:tcPr>
          <w:p w14:paraId="117DF5DD" w14:textId="77777777" w:rsidR="00481FB1" w:rsidRDefault="00481FB1" w:rsidP="001E748E">
            <w:pPr>
              <w:pStyle w:val="TableCopy"/>
            </w:pPr>
            <w:r>
              <w:t>100.4</w:t>
            </w:r>
          </w:p>
        </w:tc>
        <w:tc>
          <w:tcPr>
            <w:tcW w:w="2425" w:type="dxa"/>
          </w:tcPr>
          <w:p w14:paraId="284DE1C0" w14:textId="77777777" w:rsidR="00481FB1" w:rsidRDefault="00481FB1" w:rsidP="001E748E">
            <w:pPr>
              <w:pStyle w:val="TableCopy"/>
            </w:pPr>
            <w:r>
              <w:t>284.9</w:t>
            </w:r>
          </w:p>
        </w:tc>
        <w:tc>
          <w:tcPr>
            <w:tcW w:w="2285" w:type="dxa"/>
          </w:tcPr>
          <w:p w14:paraId="4EDA3AA5" w14:textId="77777777" w:rsidR="00481FB1" w:rsidRDefault="00481FB1" w:rsidP="001E748E">
            <w:pPr>
              <w:pStyle w:val="TableCopy"/>
            </w:pPr>
            <w:r>
              <w:t>46.6</w:t>
            </w:r>
          </w:p>
        </w:tc>
      </w:tr>
      <w:tr w:rsidR="00481FB1" w14:paraId="5C2F60A0" w14:textId="77777777" w:rsidTr="001E748E">
        <w:tc>
          <w:tcPr>
            <w:tcW w:w="1401" w:type="dxa"/>
          </w:tcPr>
          <w:p w14:paraId="5AB259F6" w14:textId="77777777" w:rsidR="00481FB1" w:rsidRDefault="00481FB1" w:rsidP="001E748E">
            <w:pPr>
              <w:pStyle w:val="TableCopy"/>
            </w:pPr>
            <w:r>
              <w:t>2019</w:t>
            </w:r>
          </w:p>
        </w:tc>
        <w:tc>
          <w:tcPr>
            <w:tcW w:w="1274" w:type="dxa"/>
          </w:tcPr>
          <w:p w14:paraId="073216B3" w14:textId="77777777" w:rsidR="00481FB1" w:rsidRDefault="00481FB1" w:rsidP="001E748E">
            <w:pPr>
              <w:pStyle w:val="TableCopy"/>
            </w:pPr>
            <w:r>
              <w:t>577.1</w:t>
            </w:r>
          </w:p>
        </w:tc>
        <w:tc>
          <w:tcPr>
            <w:tcW w:w="1274" w:type="dxa"/>
          </w:tcPr>
          <w:p w14:paraId="279D8CD2" w14:textId="77777777" w:rsidR="00481FB1" w:rsidRDefault="00481FB1" w:rsidP="001E748E">
            <w:pPr>
              <w:pStyle w:val="TableCopy"/>
            </w:pPr>
            <w:r>
              <w:t>122.4</w:t>
            </w:r>
          </w:p>
        </w:tc>
        <w:tc>
          <w:tcPr>
            <w:tcW w:w="2425" w:type="dxa"/>
          </w:tcPr>
          <w:p w14:paraId="62302C2E" w14:textId="77777777" w:rsidR="00481FB1" w:rsidRDefault="00481FB1" w:rsidP="001E748E">
            <w:pPr>
              <w:pStyle w:val="TableCopy"/>
            </w:pPr>
            <w:r>
              <w:t>288.4</w:t>
            </w:r>
          </w:p>
        </w:tc>
        <w:tc>
          <w:tcPr>
            <w:tcW w:w="2285" w:type="dxa"/>
          </w:tcPr>
          <w:p w14:paraId="6D1BBD05" w14:textId="77777777" w:rsidR="00481FB1" w:rsidRDefault="00481FB1" w:rsidP="001E748E">
            <w:pPr>
              <w:pStyle w:val="TableCopy"/>
            </w:pPr>
            <w:r>
              <w:t>65.1</w:t>
            </w:r>
          </w:p>
        </w:tc>
      </w:tr>
      <w:tr w:rsidR="00481FB1" w14:paraId="1AFCD51B" w14:textId="77777777" w:rsidTr="001E748E">
        <w:tc>
          <w:tcPr>
            <w:tcW w:w="1401" w:type="dxa"/>
          </w:tcPr>
          <w:p w14:paraId="209AC50D" w14:textId="77777777" w:rsidR="00481FB1" w:rsidRDefault="00481FB1" w:rsidP="001E748E">
            <w:pPr>
              <w:pStyle w:val="TableCopy"/>
            </w:pPr>
            <w:r>
              <w:t>2020</w:t>
            </w:r>
          </w:p>
        </w:tc>
        <w:tc>
          <w:tcPr>
            <w:tcW w:w="1274" w:type="dxa"/>
          </w:tcPr>
          <w:p w14:paraId="6C863EEA" w14:textId="77777777" w:rsidR="00481FB1" w:rsidRDefault="00481FB1" w:rsidP="001E748E">
            <w:pPr>
              <w:pStyle w:val="TableCopy"/>
            </w:pPr>
            <w:r>
              <w:t>530.1</w:t>
            </w:r>
          </w:p>
        </w:tc>
        <w:tc>
          <w:tcPr>
            <w:tcW w:w="1274" w:type="dxa"/>
          </w:tcPr>
          <w:p w14:paraId="752883E0" w14:textId="77777777" w:rsidR="00481FB1" w:rsidRDefault="00481FB1" w:rsidP="001E748E">
            <w:pPr>
              <w:pStyle w:val="TableCopy"/>
            </w:pPr>
            <w:r>
              <w:t>114.3</w:t>
            </w:r>
          </w:p>
        </w:tc>
        <w:tc>
          <w:tcPr>
            <w:tcW w:w="2425" w:type="dxa"/>
          </w:tcPr>
          <w:p w14:paraId="2E5825BB" w14:textId="77777777" w:rsidR="00481FB1" w:rsidRDefault="00481FB1" w:rsidP="001E748E">
            <w:pPr>
              <w:pStyle w:val="TableCopy"/>
            </w:pPr>
            <w:r>
              <w:t>264.4</w:t>
            </w:r>
          </w:p>
        </w:tc>
        <w:tc>
          <w:tcPr>
            <w:tcW w:w="2285" w:type="dxa"/>
          </w:tcPr>
          <w:p w14:paraId="06AC4C6E" w14:textId="77777777" w:rsidR="00481FB1" w:rsidRDefault="00481FB1" w:rsidP="001E748E">
            <w:pPr>
              <w:pStyle w:val="TableCopy"/>
            </w:pPr>
            <w:r>
              <w:t>66.9</w:t>
            </w:r>
          </w:p>
        </w:tc>
      </w:tr>
    </w:tbl>
    <w:p w14:paraId="35F74F7B" w14:textId="709C808D" w:rsidR="009E3E19" w:rsidRDefault="00000000" w:rsidP="009E3E19">
      <w:pPr>
        <w:rPr>
          <w:sz w:val="20"/>
          <w:szCs w:val="20"/>
        </w:rPr>
      </w:pPr>
      <w:hyperlink w:anchor="Fig_7" w:history="1">
        <w:r w:rsidR="009E3E19" w:rsidRPr="00D36855">
          <w:rPr>
            <w:rStyle w:val="Hyperlink"/>
          </w:rPr>
          <w:t>Click here to return to document</w:t>
        </w:r>
      </w:hyperlink>
    </w:p>
    <w:p w14:paraId="328D53B5" w14:textId="77777777" w:rsidR="00481FB1" w:rsidRDefault="00481FB1" w:rsidP="001E748E">
      <w:pPr>
        <w:pStyle w:val="Heading2"/>
      </w:pPr>
      <w:bookmarkStart w:id="135" w:name="_Figure_8_Participation"/>
      <w:bookmarkStart w:id="136" w:name="_Toc118405153"/>
      <w:bookmarkEnd w:id="135"/>
      <w:r>
        <w:lastRenderedPageBreak/>
        <w:t>Figure 8 Participation rate by gender (2016) – Long Alternate Text</w:t>
      </w:r>
      <w:bookmarkEnd w:id="136"/>
    </w:p>
    <w:tbl>
      <w:tblPr>
        <w:tblStyle w:val="TableGrid"/>
        <w:tblW w:w="0" w:type="auto"/>
        <w:tblCellMar>
          <w:top w:w="0" w:type="dxa"/>
          <w:bottom w:w="0" w:type="dxa"/>
        </w:tblCellMar>
        <w:tblLook w:val="04A0" w:firstRow="1" w:lastRow="0" w:firstColumn="1" w:lastColumn="0" w:noHBand="0" w:noVBand="1"/>
      </w:tblPr>
      <w:tblGrid>
        <w:gridCol w:w="3018"/>
        <w:gridCol w:w="2995"/>
        <w:gridCol w:w="3003"/>
      </w:tblGrid>
      <w:tr w:rsidR="00481FB1" w14:paraId="31111A42" w14:textId="77777777" w:rsidTr="009E3E19">
        <w:trPr>
          <w:tblHeader/>
        </w:trPr>
        <w:tc>
          <w:tcPr>
            <w:tcW w:w="3018" w:type="dxa"/>
          </w:tcPr>
          <w:p w14:paraId="72D11F17" w14:textId="77777777" w:rsidR="00481FB1" w:rsidRDefault="00481FB1" w:rsidP="001E748E">
            <w:pPr>
              <w:pStyle w:val="TableHeading"/>
            </w:pPr>
          </w:p>
        </w:tc>
        <w:tc>
          <w:tcPr>
            <w:tcW w:w="2995" w:type="dxa"/>
          </w:tcPr>
          <w:p w14:paraId="5BA2BB7A" w14:textId="77777777" w:rsidR="00481FB1" w:rsidRDefault="00481FB1" w:rsidP="001E748E">
            <w:pPr>
              <w:pStyle w:val="TableHeading"/>
            </w:pPr>
            <w:r>
              <w:t>Male</w:t>
            </w:r>
          </w:p>
        </w:tc>
        <w:tc>
          <w:tcPr>
            <w:tcW w:w="3003" w:type="dxa"/>
          </w:tcPr>
          <w:p w14:paraId="0CFF168F" w14:textId="77777777" w:rsidR="00481FB1" w:rsidRDefault="00481FB1" w:rsidP="001E748E">
            <w:pPr>
              <w:pStyle w:val="TableHeading"/>
            </w:pPr>
            <w:r>
              <w:t>Female</w:t>
            </w:r>
          </w:p>
        </w:tc>
      </w:tr>
      <w:tr w:rsidR="00481FB1" w14:paraId="25B9C53A" w14:textId="77777777" w:rsidTr="009E3E19">
        <w:tc>
          <w:tcPr>
            <w:tcW w:w="3018" w:type="dxa"/>
          </w:tcPr>
          <w:p w14:paraId="78291331" w14:textId="77777777" w:rsidR="00481FB1" w:rsidRDefault="00481FB1" w:rsidP="001E748E">
            <w:pPr>
              <w:pStyle w:val="TableCopy"/>
            </w:pPr>
            <w:r>
              <w:t>Gippsland</w:t>
            </w:r>
          </w:p>
        </w:tc>
        <w:tc>
          <w:tcPr>
            <w:tcW w:w="2995" w:type="dxa"/>
          </w:tcPr>
          <w:p w14:paraId="5AD22800" w14:textId="77777777" w:rsidR="00481FB1" w:rsidRDefault="00481FB1" w:rsidP="001E748E">
            <w:pPr>
              <w:pStyle w:val="TableCopy"/>
            </w:pPr>
            <w:r>
              <w:t>62.1%</w:t>
            </w:r>
          </w:p>
        </w:tc>
        <w:tc>
          <w:tcPr>
            <w:tcW w:w="3003" w:type="dxa"/>
          </w:tcPr>
          <w:p w14:paraId="4B5562BD" w14:textId="77777777" w:rsidR="00481FB1" w:rsidRDefault="00481FB1" w:rsidP="001E748E">
            <w:pPr>
              <w:pStyle w:val="TableCopy"/>
            </w:pPr>
            <w:r>
              <w:t>53.5%</w:t>
            </w:r>
          </w:p>
        </w:tc>
      </w:tr>
      <w:tr w:rsidR="00481FB1" w14:paraId="4B2E8FED" w14:textId="77777777" w:rsidTr="009E3E19">
        <w:tc>
          <w:tcPr>
            <w:tcW w:w="3018" w:type="dxa"/>
          </w:tcPr>
          <w:p w14:paraId="62D0105E" w14:textId="77777777" w:rsidR="00481FB1" w:rsidRDefault="00481FB1" w:rsidP="001E748E">
            <w:pPr>
              <w:pStyle w:val="TableCopy"/>
            </w:pPr>
            <w:r>
              <w:t>Metro Melbourne</w:t>
            </w:r>
          </w:p>
        </w:tc>
        <w:tc>
          <w:tcPr>
            <w:tcW w:w="2995" w:type="dxa"/>
          </w:tcPr>
          <w:p w14:paraId="6310DF3B" w14:textId="77777777" w:rsidR="00481FB1" w:rsidRDefault="00481FB1" w:rsidP="001E748E">
            <w:pPr>
              <w:pStyle w:val="TableCopy"/>
            </w:pPr>
            <w:r>
              <w:t>72.5%</w:t>
            </w:r>
          </w:p>
        </w:tc>
        <w:tc>
          <w:tcPr>
            <w:tcW w:w="3003" w:type="dxa"/>
          </w:tcPr>
          <w:p w14:paraId="1950C8A8" w14:textId="77777777" w:rsidR="00481FB1" w:rsidRDefault="00481FB1" w:rsidP="001E748E">
            <w:pPr>
              <w:pStyle w:val="TableCopy"/>
            </w:pPr>
            <w:r>
              <w:t>60.4%</w:t>
            </w:r>
          </w:p>
        </w:tc>
      </w:tr>
      <w:tr w:rsidR="00481FB1" w14:paraId="4BB1585C" w14:textId="77777777" w:rsidTr="009E3E19">
        <w:tc>
          <w:tcPr>
            <w:tcW w:w="3018" w:type="dxa"/>
          </w:tcPr>
          <w:p w14:paraId="54544818" w14:textId="77777777" w:rsidR="00481FB1" w:rsidRDefault="00481FB1" w:rsidP="001E748E">
            <w:pPr>
              <w:pStyle w:val="TableCopy"/>
            </w:pPr>
            <w:r>
              <w:t>Regional Victoria</w:t>
            </w:r>
          </w:p>
        </w:tc>
        <w:tc>
          <w:tcPr>
            <w:tcW w:w="2995" w:type="dxa"/>
          </w:tcPr>
          <w:p w14:paraId="405EA81F" w14:textId="77777777" w:rsidR="00481FB1" w:rsidRDefault="00481FB1" w:rsidP="001E748E">
            <w:pPr>
              <w:pStyle w:val="TableCopy"/>
            </w:pPr>
            <w:r>
              <w:t>65.4%</w:t>
            </w:r>
          </w:p>
        </w:tc>
        <w:tc>
          <w:tcPr>
            <w:tcW w:w="3003" w:type="dxa"/>
          </w:tcPr>
          <w:p w14:paraId="0A647A37" w14:textId="77777777" w:rsidR="00481FB1" w:rsidRDefault="00481FB1" w:rsidP="001E748E">
            <w:pPr>
              <w:pStyle w:val="TableCopy"/>
            </w:pPr>
            <w:r>
              <w:t>56.6%</w:t>
            </w:r>
          </w:p>
        </w:tc>
      </w:tr>
    </w:tbl>
    <w:p w14:paraId="377225DA" w14:textId="413F06B4" w:rsidR="009E3E19" w:rsidRDefault="00000000" w:rsidP="009E3E19">
      <w:pPr>
        <w:rPr>
          <w:sz w:val="20"/>
          <w:szCs w:val="20"/>
        </w:rPr>
      </w:pPr>
      <w:hyperlink w:anchor="Fig_8" w:history="1">
        <w:r w:rsidR="009E3E19" w:rsidRPr="00D36855">
          <w:rPr>
            <w:rStyle w:val="Hyperlink"/>
          </w:rPr>
          <w:t>Click here to return to document</w:t>
        </w:r>
      </w:hyperlink>
    </w:p>
    <w:p w14:paraId="6D97AD17" w14:textId="77777777" w:rsidR="00481FB1" w:rsidRDefault="00481FB1" w:rsidP="00481FB1"/>
    <w:p w14:paraId="26C90621" w14:textId="77777777" w:rsidR="00D76A3A" w:rsidRPr="00D76A3A" w:rsidRDefault="00D76A3A" w:rsidP="00D76A3A"/>
    <w:sectPr w:rsidR="00D76A3A" w:rsidRPr="00D76A3A" w:rsidSect="00F5289F">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0BD22" w14:textId="77777777" w:rsidR="00550D4E" w:rsidRDefault="00550D4E" w:rsidP="00D76A3A">
      <w:r>
        <w:separator/>
      </w:r>
    </w:p>
  </w:endnote>
  <w:endnote w:type="continuationSeparator" w:id="0">
    <w:p w14:paraId="02A65742" w14:textId="77777777" w:rsidR="00550D4E" w:rsidRDefault="00550D4E" w:rsidP="00D76A3A">
      <w:r>
        <w:continuationSeparator/>
      </w:r>
    </w:p>
  </w:endnote>
  <w:endnote w:type="continuationNotice" w:id="1">
    <w:p w14:paraId="1602FB4E" w14:textId="77777777" w:rsidR="00550D4E" w:rsidRDefault="00550D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VIC Medium Italic">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C4EFC" w14:textId="77777777" w:rsidR="00550D4E" w:rsidRDefault="00550D4E" w:rsidP="00D76A3A">
      <w:r>
        <w:separator/>
      </w:r>
    </w:p>
  </w:footnote>
  <w:footnote w:type="continuationSeparator" w:id="0">
    <w:p w14:paraId="7970DCE0" w14:textId="77777777" w:rsidR="00550D4E" w:rsidRDefault="00550D4E" w:rsidP="00D76A3A">
      <w:r>
        <w:continuationSeparator/>
      </w:r>
    </w:p>
  </w:footnote>
  <w:footnote w:type="continuationNotice" w:id="1">
    <w:p w14:paraId="347CC9DC" w14:textId="77777777" w:rsidR="00550D4E" w:rsidRDefault="00550D4E">
      <w:pPr>
        <w:spacing w:after="0"/>
      </w:pPr>
    </w:p>
  </w:footnote>
  <w:footnote w:id="2">
    <w:p w14:paraId="21F8DE33" w14:textId="77777777" w:rsidR="00D45747" w:rsidRDefault="00D45747" w:rsidP="00D45747">
      <w:pPr>
        <w:pStyle w:val="FootnoteText"/>
      </w:pPr>
      <w:r>
        <w:rPr>
          <w:rStyle w:val="FootnoteReference"/>
        </w:rPr>
        <w:footnoteRef/>
      </w:r>
      <w:r>
        <w:t xml:space="preserve"> </w:t>
      </w:r>
      <w:r w:rsidRPr="00D45747">
        <w:t>Australian Bureau of Statistics, 2021</w:t>
      </w:r>
    </w:p>
  </w:footnote>
  <w:footnote w:id="3">
    <w:p w14:paraId="637120FE" w14:textId="77777777" w:rsidR="00D45747" w:rsidRDefault="00D45747" w:rsidP="00D45747">
      <w:pPr>
        <w:pStyle w:val="FootnoteText"/>
      </w:pPr>
      <w:r>
        <w:rPr>
          <w:rStyle w:val="FootnoteReference"/>
        </w:rPr>
        <w:footnoteRef/>
      </w:r>
      <w:r>
        <w:t xml:space="preserve"> </w:t>
      </w:r>
      <w:r w:rsidRPr="00D45747">
        <w:t>Victoria in Future ,2020, Department of Environment, Land, Water and Planning - The COVID pandemic has changed Victoria’s population pathway from near-record growth levels to population losses. However, Victoria’s regions appear to have experienced little disruption to growth patterns. Migration from Melbourne to the regions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(eg regional centres and peri-urban areas) versus those regions which may have experienced losses from the temporary migrant workforce. Given available information, the current projections remain fit for purpose for regional planning.</w:t>
      </w:r>
    </w:p>
  </w:footnote>
  <w:footnote w:id="4">
    <w:p w14:paraId="32A6CA53" w14:textId="030E71A7" w:rsidR="000F1779" w:rsidRDefault="000F1779">
      <w:pPr>
        <w:pStyle w:val="FootnoteText"/>
      </w:pPr>
      <w:r>
        <w:rPr>
          <w:rStyle w:val="FootnoteReference"/>
        </w:rPr>
        <w:footnoteRef/>
      </w:r>
      <w:r>
        <w:t xml:space="preserve"> </w:t>
      </w:r>
      <w:r w:rsidRPr="000F1779">
        <w:t>National Skills Commission, 2022</w:t>
      </w:r>
    </w:p>
  </w:footnote>
  <w:footnote w:id="5">
    <w:p w14:paraId="0FBC1334" w14:textId="34BAA93F" w:rsidR="000F1779" w:rsidRDefault="000F1779">
      <w:pPr>
        <w:pStyle w:val="FootnoteText"/>
      </w:pPr>
      <w:r>
        <w:rPr>
          <w:rStyle w:val="FootnoteReference"/>
        </w:rPr>
        <w:footnoteRef/>
      </w:r>
      <w:r>
        <w:t xml:space="preserve"> </w:t>
      </w:r>
      <w:r w:rsidRPr="000F1779">
        <w:t>ABS Census, 2016</w:t>
      </w:r>
    </w:p>
  </w:footnote>
  <w:footnote w:id="6">
    <w:p w14:paraId="7174A980" w14:textId="614E8FC2" w:rsidR="000F1779" w:rsidRDefault="000F1779">
      <w:pPr>
        <w:pStyle w:val="FootnoteText"/>
      </w:pPr>
      <w:r>
        <w:rPr>
          <w:rStyle w:val="FootnoteReference"/>
        </w:rPr>
        <w:footnoteRef/>
      </w:r>
      <w:r>
        <w:t xml:space="preserve"> </w:t>
      </w:r>
      <w:r w:rsidRPr="000F1779">
        <w:t>National Institute of Economic and Industry Research, 2020</w:t>
      </w:r>
    </w:p>
  </w:footnote>
  <w:footnote w:id="7">
    <w:p w14:paraId="3EDD2112" w14:textId="5E1C5B83" w:rsidR="008D6FA4" w:rsidRDefault="008D6FA4">
      <w:pPr>
        <w:pStyle w:val="FootnoteText"/>
      </w:pPr>
      <w:r>
        <w:rPr>
          <w:rStyle w:val="FootnoteReference"/>
        </w:rPr>
        <w:footnoteRef/>
      </w:r>
      <w:r>
        <w:t xml:space="preserve"> </w:t>
      </w:r>
      <w:r w:rsidRPr="008D6FA4">
        <w:t>Victorian State Government, 2021, Earth Resources, Geology &amp; exploration, Coal</w:t>
      </w:r>
    </w:p>
  </w:footnote>
  <w:footnote w:id="8">
    <w:p w14:paraId="612E6CE8" w14:textId="22F1937C" w:rsidR="00632133" w:rsidRDefault="00632133">
      <w:pPr>
        <w:pStyle w:val="FootnoteText"/>
      </w:pPr>
      <w:r>
        <w:rPr>
          <w:rStyle w:val="FootnoteReference"/>
        </w:rPr>
        <w:footnoteRef/>
      </w:r>
      <w:r>
        <w:t xml:space="preserve"> </w:t>
      </w:r>
      <w:r w:rsidRPr="00632133">
        <w:t>West Gippsland Catchment Management Authority, 2021, Macalister Irrigation District (MID) irrigation efficiency incentive program</w:t>
      </w:r>
    </w:p>
  </w:footnote>
  <w:footnote w:id="9">
    <w:p w14:paraId="7408B889" w14:textId="0A49F795" w:rsidR="00632133" w:rsidRDefault="00632133">
      <w:pPr>
        <w:pStyle w:val="FootnoteText"/>
      </w:pPr>
      <w:r>
        <w:rPr>
          <w:rStyle w:val="FootnoteReference"/>
        </w:rPr>
        <w:footnoteRef/>
      </w:r>
      <w:r>
        <w:t xml:space="preserve"> </w:t>
      </w:r>
      <w:r w:rsidRPr="00632133">
        <w:t xml:space="preserve">Thomas J. et al., 2021, </w:t>
      </w:r>
      <w:r w:rsidRPr="00632133">
        <w:rPr>
          <w:i/>
          <w:iCs/>
        </w:rPr>
        <w:t>Australian Digital Inclusion Index</w:t>
      </w:r>
    </w:p>
  </w:footnote>
  <w:footnote w:id="10">
    <w:p w14:paraId="30B885F5" w14:textId="61734302" w:rsidR="00632133" w:rsidRDefault="00632133">
      <w:pPr>
        <w:pStyle w:val="FootnoteText"/>
      </w:pPr>
      <w:r>
        <w:rPr>
          <w:rStyle w:val="FootnoteReference"/>
        </w:rPr>
        <w:footnoteRef/>
      </w:r>
      <w:r>
        <w:t xml:space="preserve"> </w:t>
      </w:r>
      <w:r w:rsidRPr="00632133">
        <w:t>Regional Wellbeing Survey, 2020</w:t>
      </w:r>
    </w:p>
  </w:footnote>
  <w:footnote w:id="11">
    <w:p w14:paraId="32B17F80" w14:textId="430721DE" w:rsidR="00E222F6" w:rsidRDefault="00E222F6">
      <w:pPr>
        <w:pStyle w:val="FootnoteText"/>
      </w:pPr>
      <w:r>
        <w:rPr>
          <w:rStyle w:val="FootnoteReference"/>
        </w:rPr>
        <w:footnoteRef/>
      </w:r>
      <w:r>
        <w:t xml:space="preserve"> </w:t>
      </w:r>
      <w:r w:rsidRPr="00E222F6">
        <w:t>Department of Education and Training, 2021</w:t>
      </w:r>
    </w:p>
  </w:footnote>
  <w:footnote w:id="12">
    <w:p w14:paraId="48002270" w14:textId="504ED2A7" w:rsidR="00E222F6" w:rsidRDefault="00E222F6">
      <w:pPr>
        <w:pStyle w:val="FootnoteText"/>
      </w:pPr>
      <w:r>
        <w:rPr>
          <w:rStyle w:val="FootnoteReference"/>
        </w:rPr>
        <w:footnoteRef/>
      </w:r>
      <w:r>
        <w:t xml:space="preserve"> </w:t>
      </w:r>
      <w:r w:rsidRPr="00E222F6">
        <w:t>ABS Census, 2016</w:t>
      </w:r>
    </w:p>
  </w:footnote>
  <w:footnote w:id="13">
    <w:p w14:paraId="2D4D3165" w14:textId="07BAE4C2" w:rsidR="00E222F6" w:rsidRDefault="00E222F6">
      <w:pPr>
        <w:pStyle w:val="FootnoteText"/>
      </w:pPr>
      <w:r>
        <w:rPr>
          <w:rStyle w:val="FootnoteReference"/>
        </w:rPr>
        <w:footnoteRef/>
      </w:r>
      <w:r>
        <w:t xml:space="preserve"> </w:t>
      </w:r>
      <w:r w:rsidRPr="00E222F6">
        <w:t>RRV analysis, SQM, 2021</w:t>
      </w:r>
    </w:p>
  </w:footnote>
  <w:footnote w:id="14">
    <w:p w14:paraId="10CC24AB" w14:textId="38D5418B" w:rsidR="00E222F6" w:rsidRDefault="00E222F6">
      <w:pPr>
        <w:pStyle w:val="FootnoteText"/>
      </w:pPr>
      <w:r>
        <w:rPr>
          <w:rStyle w:val="FootnoteReference"/>
        </w:rPr>
        <w:footnoteRef/>
      </w:r>
      <w:r>
        <w:t xml:space="preserve"> </w:t>
      </w:r>
      <w:r w:rsidRPr="00E222F6">
        <w:t>DHHS rental Report – June Quarter, 2021</w:t>
      </w:r>
    </w:p>
  </w:footnote>
  <w:footnote w:id="15">
    <w:p w14:paraId="4CFC5FB5" w14:textId="57C14D26" w:rsidR="00902FA3" w:rsidRDefault="00902FA3">
      <w:pPr>
        <w:pStyle w:val="FootnoteText"/>
      </w:pPr>
      <w:r>
        <w:rPr>
          <w:rStyle w:val="FootnoteReference"/>
        </w:rPr>
        <w:footnoteRef/>
      </w:r>
      <w:r>
        <w:t xml:space="preserve"> </w:t>
      </w:r>
      <w:r w:rsidRPr="00902FA3">
        <w:t>Agriculture Victoria analysis, using Regional Industry Structure and Employment (RISE) model 2021.</w:t>
      </w:r>
    </w:p>
  </w:footnote>
  <w:footnote w:id="16">
    <w:p w14:paraId="756671C4" w14:textId="35E37FA2" w:rsidR="00E057C7" w:rsidRDefault="00E057C7">
      <w:pPr>
        <w:pStyle w:val="FootnoteText"/>
      </w:pPr>
      <w:r>
        <w:rPr>
          <w:rStyle w:val="FootnoteReference"/>
        </w:rPr>
        <w:footnoteRef/>
      </w:r>
      <w:r>
        <w:t xml:space="preserve"> </w:t>
      </w:r>
      <w:r w:rsidRPr="00E057C7">
        <w:t>Department of Environment, Land, Water and Planning, 2019, Gippsland Climate Projections 2019 (based on ‘high emissions’ scenario where 2050s refers to the period from 2040 to 2059)</w:t>
      </w:r>
    </w:p>
  </w:footnote>
  <w:footnote w:id="17">
    <w:p w14:paraId="7019B344" w14:textId="6A5C78FF" w:rsidR="00390091" w:rsidRDefault="00390091">
      <w:pPr>
        <w:pStyle w:val="FootnoteText"/>
      </w:pPr>
      <w:r>
        <w:rPr>
          <w:rStyle w:val="FootnoteReference"/>
        </w:rPr>
        <w:footnoteRef/>
      </w:r>
      <w:r>
        <w:t xml:space="preserve"> </w:t>
      </w:r>
      <w:r w:rsidRPr="00390091">
        <w:t>HESC, Hydrogen Energy Supply Chain Project. Available at  https://hydrogenenergysupplychain.com/hydrogen-energy/, Accessed December 2021.</w:t>
      </w:r>
    </w:p>
  </w:footnote>
  <w:footnote w:id="18">
    <w:p w14:paraId="1408601C" w14:textId="511CD54D" w:rsidR="00390091" w:rsidRDefault="00390091">
      <w:pPr>
        <w:pStyle w:val="FootnoteText"/>
      </w:pPr>
      <w:r>
        <w:rPr>
          <w:rStyle w:val="FootnoteReference"/>
        </w:rPr>
        <w:footnoteRef/>
      </w:r>
      <w:r>
        <w:t xml:space="preserve"> </w:t>
      </w:r>
      <w:r w:rsidRPr="00390091">
        <w:t>HESC, Hydrogen Energy Supply Chain Project. Available at https://hydrogenenergysupplychain.com/hydrogen-energy/, Accessed December 2021</w:t>
      </w:r>
    </w:p>
  </w:footnote>
  <w:footnote w:id="19">
    <w:p w14:paraId="624E93BC" w14:textId="00B1508C" w:rsidR="00390091" w:rsidRDefault="00390091">
      <w:pPr>
        <w:pStyle w:val="FootnoteText"/>
      </w:pPr>
      <w:r>
        <w:rPr>
          <w:rStyle w:val="FootnoteReference"/>
        </w:rPr>
        <w:footnoteRef/>
      </w:r>
      <w:r>
        <w:t xml:space="preserve"> </w:t>
      </w:r>
      <w:r w:rsidRPr="00390091">
        <w:t xml:space="preserve">COAG Energy Council, 2019, Australia’s National Hydrogen Strategy, </w:t>
      </w:r>
      <w:hyperlink r:id="rId1" w:history="1">
        <w:r w:rsidRPr="00A751F6">
          <w:rPr>
            <w:rStyle w:val="Hyperlink"/>
          </w:rPr>
          <w:t>https://www.industry.gov.au/sites/default/files/2019-11/australias-national-hydrogen-strategy.pdf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A40905"/>
    <w:multiLevelType w:val="hybridMultilevel"/>
    <w:tmpl w:val="F3A6A80C"/>
    <w:lvl w:ilvl="0" w:tplc="28BC33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01FA5"/>
    <w:multiLevelType w:val="hybridMultilevel"/>
    <w:tmpl w:val="474A4698"/>
    <w:lvl w:ilvl="0" w:tplc="B1EAFC9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E9A85DE8">
      <w:numFmt w:val="bullet"/>
      <w:lvlText w:val="•"/>
      <w:lvlJc w:val="left"/>
      <w:pPr>
        <w:ind w:left="1219" w:hanging="272"/>
      </w:pPr>
      <w:rPr>
        <w:rFonts w:hint="default"/>
        <w:lang w:val="en-AU" w:eastAsia="en-US" w:bidi="ar-SA"/>
      </w:rPr>
    </w:lvl>
    <w:lvl w:ilvl="2" w:tplc="2AF09BDC">
      <w:numFmt w:val="bullet"/>
      <w:lvlText w:val="•"/>
      <w:lvlJc w:val="left"/>
      <w:pPr>
        <w:ind w:left="2019" w:hanging="272"/>
      </w:pPr>
      <w:rPr>
        <w:rFonts w:hint="default"/>
        <w:lang w:val="en-AU" w:eastAsia="en-US" w:bidi="ar-SA"/>
      </w:rPr>
    </w:lvl>
    <w:lvl w:ilvl="3" w:tplc="CCFA2010">
      <w:numFmt w:val="bullet"/>
      <w:lvlText w:val="•"/>
      <w:lvlJc w:val="left"/>
      <w:pPr>
        <w:ind w:left="2819" w:hanging="272"/>
      </w:pPr>
      <w:rPr>
        <w:rFonts w:hint="default"/>
        <w:lang w:val="en-AU" w:eastAsia="en-US" w:bidi="ar-SA"/>
      </w:rPr>
    </w:lvl>
    <w:lvl w:ilvl="4" w:tplc="8DBA9360">
      <w:numFmt w:val="bullet"/>
      <w:lvlText w:val="•"/>
      <w:lvlJc w:val="left"/>
      <w:pPr>
        <w:ind w:left="3619" w:hanging="272"/>
      </w:pPr>
      <w:rPr>
        <w:rFonts w:hint="default"/>
        <w:lang w:val="en-AU" w:eastAsia="en-US" w:bidi="ar-SA"/>
      </w:rPr>
    </w:lvl>
    <w:lvl w:ilvl="5" w:tplc="6EC63F06">
      <w:numFmt w:val="bullet"/>
      <w:lvlText w:val="•"/>
      <w:lvlJc w:val="left"/>
      <w:pPr>
        <w:ind w:left="4419" w:hanging="272"/>
      </w:pPr>
      <w:rPr>
        <w:rFonts w:hint="default"/>
        <w:lang w:val="en-AU" w:eastAsia="en-US" w:bidi="ar-SA"/>
      </w:rPr>
    </w:lvl>
    <w:lvl w:ilvl="6" w:tplc="4A7E2034">
      <w:numFmt w:val="bullet"/>
      <w:lvlText w:val="•"/>
      <w:lvlJc w:val="left"/>
      <w:pPr>
        <w:ind w:left="5219" w:hanging="272"/>
      </w:pPr>
      <w:rPr>
        <w:rFonts w:hint="default"/>
        <w:lang w:val="en-AU" w:eastAsia="en-US" w:bidi="ar-SA"/>
      </w:rPr>
    </w:lvl>
    <w:lvl w:ilvl="7" w:tplc="F4E45AA8">
      <w:numFmt w:val="bullet"/>
      <w:lvlText w:val="•"/>
      <w:lvlJc w:val="left"/>
      <w:pPr>
        <w:ind w:left="6019" w:hanging="272"/>
      </w:pPr>
      <w:rPr>
        <w:rFonts w:hint="default"/>
        <w:lang w:val="en-AU" w:eastAsia="en-US" w:bidi="ar-SA"/>
      </w:rPr>
    </w:lvl>
    <w:lvl w:ilvl="8" w:tplc="393E4EDC">
      <w:numFmt w:val="bullet"/>
      <w:lvlText w:val="•"/>
      <w:lvlJc w:val="left"/>
      <w:pPr>
        <w:ind w:left="6819" w:hanging="272"/>
      </w:pPr>
      <w:rPr>
        <w:rFonts w:hint="default"/>
        <w:lang w:val="en-AU" w:eastAsia="en-US" w:bidi="ar-SA"/>
      </w:rPr>
    </w:lvl>
  </w:abstractNum>
  <w:abstractNum w:abstractNumId="4" w15:restartNumberingAfterBreak="0">
    <w:nsid w:val="26DA25A3"/>
    <w:multiLevelType w:val="hybridMultilevel"/>
    <w:tmpl w:val="18247A5A"/>
    <w:lvl w:ilvl="0" w:tplc="416AEDE4">
      <w:numFmt w:val="bullet"/>
      <w:lvlText w:val="•"/>
      <w:lvlJc w:val="left"/>
      <w:pPr>
        <w:ind w:left="2715" w:hanging="272"/>
      </w:pPr>
      <w:rPr>
        <w:rFonts w:ascii="Arial" w:eastAsia="Arial" w:hAnsi="Arial" w:cs="Arial" w:hint="default"/>
        <w:color w:val="686864"/>
        <w:w w:val="100"/>
        <w:sz w:val="18"/>
        <w:szCs w:val="18"/>
        <w:lang w:val="en-AU" w:eastAsia="en-US" w:bidi="ar-SA"/>
      </w:rPr>
    </w:lvl>
    <w:lvl w:ilvl="1" w:tplc="CE3EA4F0">
      <w:numFmt w:val="bullet"/>
      <w:lvlText w:val="•"/>
      <w:lvlJc w:val="left"/>
      <w:pPr>
        <w:ind w:left="3588" w:hanging="272"/>
      </w:pPr>
      <w:rPr>
        <w:rFonts w:hint="default"/>
        <w:lang w:val="en-AU" w:eastAsia="en-US" w:bidi="ar-SA"/>
      </w:rPr>
    </w:lvl>
    <w:lvl w:ilvl="2" w:tplc="2D742ED0">
      <w:numFmt w:val="bullet"/>
      <w:lvlText w:val="•"/>
      <w:lvlJc w:val="left"/>
      <w:pPr>
        <w:ind w:left="4456" w:hanging="272"/>
      </w:pPr>
      <w:rPr>
        <w:rFonts w:hint="default"/>
        <w:lang w:val="en-AU" w:eastAsia="en-US" w:bidi="ar-SA"/>
      </w:rPr>
    </w:lvl>
    <w:lvl w:ilvl="3" w:tplc="3A009672">
      <w:numFmt w:val="bullet"/>
      <w:lvlText w:val="•"/>
      <w:lvlJc w:val="left"/>
      <w:pPr>
        <w:ind w:left="5325" w:hanging="272"/>
      </w:pPr>
      <w:rPr>
        <w:rFonts w:hint="default"/>
        <w:lang w:val="en-AU" w:eastAsia="en-US" w:bidi="ar-SA"/>
      </w:rPr>
    </w:lvl>
    <w:lvl w:ilvl="4" w:tplc="3AC023AE">
      <w:numFmt w:val="bullet"/>
      <w:lvlText w:val="•"/>
      <w:lvlJc w:val="left"/>
      <w:pPr>
        <w:ind w:left="6193" w:hanging="272"/>
      </w:pPr>
      <w:rPr>
        <w:rFonts w:hint="default"/>
        <w:lang w:val="en-AU" w:eastAsia="en-US" w:bidi="ar-SA"/>
      </w:rPr>
    </w:lvl>
    <w:lvl w:ilvl="5" w:tplc="33C4315C">
      <w:numFmt w:val="bullet"/>
      <w:lvlText w:val="•"/>
      <w:lvlJc w:val="left"/>
      <w:pPr>
        <w:ind w:left="7062" w:hanging="272"/>
      </w:pPr>
      <w:rPr>
        <w:rFonts w:hint="default"/>
        <w:lang w:val="en-AU" w:eastAsia="en-US" w:bidi="ar-SA"/>
      </w:rPr>
    </w:lvl>
    <w:lvl w:ilvl="6" w:tplc="FB3EFCAE">
      <w:numFmt w:val="bullet"/>
      <w:lvlText w:val="•"/>
      <w:lvlJc w:val="left"/>
      <w:pPr>
        <w:ind w:left="7930" w:hanging="272"/>
      </w:pPr>
      <w:rPr>
        <w:rFonts w:hint="default"/>
        <w:lang w:val="en-AU" w:eastAsia="en-US" w:bidi="ar-SA"/>
      </w:rPr>
    </w:lvl>
    <w:lvl w:ilvl="7" w:tplc="260C2168">
      <w:numFmt w:val="bullet"/>
      <w:lvlText w:val="•"/>
      <w:lvlJc w:val="left"/>
      <w:pPr>
        <w:ind w:left="8798" w:hanging="272"/>
      </w:pPr>
      <w:rPr>
        <w:rFonts w:hint="default"/>
        <w:lang w:val="en-AU" w:eastAsia="en-US" w:bidi="ar-SA"/>
      </w:rPr>
    </w:lvl>
    <w:lvl w:ilvl="8" w:tplc="F76A35B2">
      <w:numFmt w:val="bullet"/>
      <w:lvlText w:val="•"/>
      <w:lvlJc w:val="left"/>
      <w:pPr>
        <w:ind w:left="9667" w:hanging="272"/>
      </w:pPr>
      <w:rPr>
        <w:rFonts w:hint="default"/>
        <w:lang w:val="en-AU" w:eastAsia="en-US" w:bidi="ar-SA"/>
      </w:rPr>
    </w:lvl>
  </w:abstractNum>
  <w:abstractNum w:abstractNumId="5" w15:restartNumberingAfterBreak="0">
    <w:nsid w:val="2EC6211E"/>
    <w:multiLevelType w:val="hybridMultilevel"/>
    <w:tmpl w:val="56383086"/>
    <w:lvl w:ilvl="0" w:tplc="E2A44144">
      <w:numFmt w:val="bullet"/>
      <w:lvlText w:val=""/>
      <w:lvlJc w:val="left"/>
      <w:pPr>
        <w:ind w:left="2485" w:hanging="272"/>
      </w:pPr>
      <w:rPr>
        <w:rFonts w:hint="default"/>
        <w:w w:val="100"/>
        <w:lang w:val="en-AU" w:eastAsia="en-US" w:bidi="ar-SA"/>
      </w:rPr>
    </w:lvl>
    <w:lvl w:ilvl="1" w:tplc="4EF2EAE0">
      <w:numFmt w:val="bullet"/>
      <w:lvlText w:val=""/>
      <w:lvlJc w:val="left"/>
      <w:pPr>
        <w:ind w:left="3295" w:hanging="272"/>
      </w:pPr>
      <w:rPr>
        <w:rFonts w:hint="default"/>
        <w:w w:val="100"/>
        <w:lang w:val="en-AU" w:eastAsia="en-US" w:bidi="ar-SA"/>
      </w:rPr>
    </w:lvl>
    <w:lvl w:ilvl="2" w:tplc="33C6AC22">
      <w:numFmt w:val="bullet"/>
      <w:lvlText w:val="•"/>
      <w:lvlJc w:val="left"/>
      <w:pPr>
        <w:ind w:left="3265" w:hanging="272"/>
      </w:pPr>
      <w:rPr>
        <w:rFonts w:ascii="Trebuchet MS" w:eastAsia="Trebuchet MS" w:hAnsi="Trebuchet MS" w:cs="Trebuchet MS" w:hint="default"/>
        <w:color w:val="1F1546"/>
        <w:w w:val="100"/>
        <w:sz w:val="18"/>
        <w:szCs w:val="18"/>
        <w:lang w:val="en-AU" w:eastAsia="en-US" w:bidi="ar-SA"/>
      </w:rPr>
    </w:lvl>
    <w:lvl w:ilvl="3" w:tplc="14347552">
      <w:numFmt w:val="bullet"/>
      <w:lvlText w:val="•"/>
      <w:lvlJc w:val="left"/>
      <w:pPr>
        <w:ind w:left="3260" w:hanging="272"/>
      </w:pPr>
      <w:rPr>
        <w:rFonts w:hint="default"/>
        <w:lang w:val="en-AU" w:eastAsia="en-US" w:bidi="ar-SA"/>
      </w:rPr>
    </w:lvl>
    <w:lvl w:ilvl="4" w:tplc="4DFAE8CA">
      <w:numFmt w:val="bullet"/>
      <w:lvlText w:val="•"/>
      <w:lvlJc w:val="left"/>
      <w:pPr>
        <w:ind w:left="3300" w:hanging="272"/>
      </w:pPr>
      <w:rPr>
        <w:rFonts w:hint="default"/>
        <w:lang w:val="en-AU" w:eastAsia="en-US" w:bidi="ar-SA"/>
      </w:rPr>
    </w:lvl>
    <w:lvl w:ilvl="5" w:tplc="2A1E0AF6">
      <w:numFmt w:val="bullet"/>
      <w:lvlText w:val="•"/>
      <w:lvlJc w:val="left"/>
      <w:pPr>
        <w:ind w:left="4650" w:hanging="272"/>
      </w:pPr>
      <w:rPr>
        <w:rFonts w:hint="default"/>
        <w:lang w:val="en-AU" w:eastAsia="en-US" w:bidi="ar-SA"/>
      </w:rPr>
    </w:lvl>
    <w:lvl w:ilvl="6" w:tplc="C0143EB6">
      <w:numFmt w:val="bullet"/>
      <w:lvlText w:val="•"/>
      <w:lvlJc w:val="left"/>
      <w:pPr>
        <w:ind w:left="6001" w:hanging="272"/>
      </w:pPr>
      <w:rPr>
        <w:rFonts w:hint="default"/>
        <w:lang w:val="en-AU" w:eastAsia="en-US" w:bidi="ar-SA"/>
      </w:rPr>
    </w:lvl>
    <w:lvl w:ilvl="7" w:tplc="5D38BD54">
      <w:numFmt w:val="bullet"/>
      <w:lvlText w:val="•"/>
      <w:lvlJc w:val="left"/>
      <w:pPr>
        <w:ind w:left="7352" w:hanging="272"/>
      </w:pPr>
      <w:rPr>
        <w:rFonts w:hint="default"/>
        <w:lang w:val="en-AU" w:eastAsia="en-US" w:bidi="ar-SA"/>
      </w:rPr>
    </w:lvl>
    <w:lvl w:ilvl="8" w:tplc="C7E2BA30">
      <w:numFmt w:val="bullet"/>
      <w:lvlText w:val="•"/>
      <w:lvlJc w:val="left"/>
      <w:pPr>
        <w:ind w:left="8702" w:hanging="272"/>
      </w:pPr>
      <w:rPr>
        <w:rFonts w:hint="default"/>
        <w:lang w:val="en-AU" w:eastAsia="en-US" w:bidi="ar-SA"/>
      </w:rPr>
    </w:lvl>
  </w:abstractNum>
  <w:abstractNum w:abstractNumId="6"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B004B8"/>
    <w:multiLevelType w:val="hybridMultilevel"/>
    <w:tmpl w:val="06EE4A70"/>
    <w:lvl w:ilvl="0" w:tplc="209AF57E">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C940A3"/>
    <w:multiLevelType w:val="hybridMultilevel"/>
    <w:tmpl w:val="C324F01E"/>
    <w:lvl w:ilvl="0" w:tplc="774E49E0">
      <w:numFmt w:val="bullet"/>
      <w:lvlText w:val="•"/>
      <w:lvlJc w:val="left"/>
      <w:pPr>
        <w:ind w:left="2428" w:hanging="272"/>
      </w:pPr>
      <w:rPr>
        <w:rFonts w:ascii="Arial" w:eastAsia="Arial" w:hAnsi="Arial" w:cs="Arial" w:hint="default"/>
        <w:color w:val="686864"/>
        <w:w w:val="100"/>
        <w:sz w:val="18"/>
        <w:szCs w:val="18"/>
        <w:lang w:val="en-AU" w:eastAsia="en-US" w:bidi="ar-SA"/>
      </w:rPr>
    </w:lvl>
    <w:lvl w:ilvl="1" w:tplc="8EBEAE40">
      <w:numFmt w:val="bullet"/>
      <w:lvlText w:val="•"/>
      <w:lvlJc w:val="left"/>
      <w:pPr>
        <w:ind w:left="3318" w:hanging="272"/>
      </w:pPr>
      <w:rPr>
        <w:rFonts w:hint="default"/>
        <w:lang w:val="en-AU" w:eastAsia="en-US" w:bidi="ar-SA"/>
      </w:rPr>
    </w:lvl>
    <w:lvl w:ilvl="2" w:tplc="4E963A90">
      <w:numFmt w:val="bullet"/>
      <w:lvlText w:val="•"/>
      <w:lvlJc w:val="left"/>
      <w:pPr>
        <w:ind w:left="4216" w:hanging="272"/>
      </w:pPr>
      <w:rPr>
        <w:rFonts w:hint="default"/>
        <w:lang w:val="en-AU" w:eastAsia="en-US" w:bidi="ar-SA"/>
      </w:rPr>
    </w:lvl>
    <w:lvl w:ilvl="3" w:tplc="01883DEC">
      <w:numFmt w:val="bullet"/>
      <w:lvlText w:val="•"/>
      <w:lvlJc w:val="left"/>
      <w:pPr>
        <w:ind w:left="5115" w:hanging="272"/>
      </w:pPr>
      <w:rPr>
        <w:rFonts w:hint="default"/>
        <w:lang w:val="en-AU" w:eastAsia="en-US" w:bidi="ar-SA"/>
      </w:rPr>
    </w:lvl>
    <w:lvl w:ilvl="4" w:tplc="008C3D5C">
      <w:numFmt w:val="bullet"/>
      <w:lvlText w:val="•"/>
      <w:lvlJc w:val="left"/>
      <w:pPr>
        <w:ind w:left="6013" w:hanging="272"/>
      </w:pPr>
      <w:rPr>
        <w:rFonts w:hint="default"/>
        <w:lang w:val="en-AU" w:eastAsia="en-US" w:bidi="ar-SA"/>
      </w:rPr>
    </w:lvl>
    <w:lvl w:ilvl="5" w:tplc="7942584E">
      <w:numFmt w:val="bullet"/>
      <w:lvlText w:val="•"/>
      <w:lvlJc w:val="left"/>
      <w:pPr>
        <w:ind w:left="6912" w:hanging="272"/>
      </w:pPr>
      <w:rPr>
        <w:rFonts w:hint="default"/>
        <w:lang w:val="en-AU" w:eastAsia="en-US" w:bidi="ar-SA"/>
      </w:rPr>
    </w:lvl>
    <w:lvl w:ilvl="6" w:tplc="4024390A">
      <w:numFmt w:val="bullet"/>
      <w:lvlText w:val="•"/>
      <w:lvlJc w:val="left"/>
      <w:pPr>
        <w:ind w:left="7810" w:hanging="272"/>
      </w:pPr>
      <w:rPr>
        <w:rFonts w:hint="default"/>
        <w:lang w:val="en-AU" w:eastAsia="en-US" w:bidi="ar-SA"/>
      </w:rPr>
    </w:lvl>
    <w:lvl w:ilvl="7" w:tplc="97261014">
      <w:numFmt w:val="bullet"/>
      <w:lvlText w:val="•"/>
      <w:lvlJc w:val="left"/>
      <w:pPr>
        <w:ind w:left="8708" w:hanging="272"/>
      </w:pPr>
      <w:rPr>
        <w:rFonts w:hint="default"/>
        <w:lang w:val="en-AU" w:eastAsia="en-US" w:bidi="ar-SA"/>
      </w:rPr>
    </w:lvl>
    <w:lvl w:ilvl="8" w:tplc="3C7CA9A6">
      <w:numFmt w:val="bullet"/>
      <w:lvlText w:val="•"/>
      <w:lvlJc w:val="left"/>
      <w:pPr>
        <w:ind w:left="9607" w:hanging="272"/>
      </w:pPr>
      <w:rPr>
        <w:rFonts w:hint="default"/>
        <w:lang w:val="en-AU" w:eastAsia="en-US" w:bidi="ar-SA"/>
      </w:rPr>
    </w:lvl>
  </w:abstractNum>
  <w:abstractNum w:abstractNumId="9" w15:restartNumberingAfterBreak="0">
    <w:nsid w:val="371E4441"/>
    <w:multiLevelType w:val="hybridMultilevel"/>
    <w:tmpl w:val="7C40494C"/>
    <w:lvl w:ilvl="0" w:tplc="48484FD4">
      <w:numFmt w:val="bullet"/>
      <w:lvlText w:val="•"/>
      <w:lvlJc w:val="left"/>
      <w:pPr>
        <w:ind w:left="1089" w:hanging="272"/>
      </w:pPr>
      <w:rPr>
        <w:rFonts w:ascii="Arial" w:eastAsia="Arial" w:hAnsi="Arial" w:cs="Arial" w:hint="default"/>
        <w:color w:val="005AA3"/>
        <w:w w:val="100"/>
        <w:sz w:val="18"/>
        <w:szCs w:val="18"/>
        <w:lang w:val="en-AU" w:eastAsia="en-US" w:bidi="ar-SA"/>
      </w:rPr>
    </w:lvl>
    <w:lvl w:ilvl="1" w:tplc="D0C2288A">
      <w:numFmt w:val="bullet"/>
      <w:lvlText w:val="•"/>
      <w:lvlJc w:val="left"/>
      <w:pPr>
        <w:ind w:left="1517" w:hanging="272"/>
      </w:pPr>
      <w:rPr>
        <w:rFonts w:hint="default"/>
        <w:lang w:val="en-AU" w:eastAsia="en-US" w:bidi="ar-SA"/>
      </w:rPr>
    </w:lvl>
    <w:lvl w:ilvl="2" w:tplc="7F7ADA68">
      <w:numFmt w:val="bullet"/>
      <w:lvlText w:val="•"/>
      <w:lvlJc w:val="left"/>
      <w:pPr>
        <w:ind w:left="1954" w:hanging="272"/>
      </w:pPr>
      <w:rPr>
        <w:rFonts w:hint="default"/>
        <w:lang w:val="en-AU" w:eastAsia="en-US" w:bidi="ar-SA"/>
      </w:rPr>
    </w:lvl>
    <w:lvl w:ilvl="3" w:tplc="6D76A98A">
      <w:numFmt w:val="bullet"/>
      <w:lvlText w:val="•"/>
      <w:lvlJc w:val="left"/>
      <w:pPr>
        <w:ind w:left="2391" w:hanging="272"/>
      </w:pPr>
      <w:rPr>
        <w:rFonts w:hint="default"/>
        <w:lang w:val="en-AU" w:eastAsia="en-US" w:bidi="ar-SA"/>
      </w:rPr>
    </w:lvl>
    <w:lvl w:ilvl="4" w:tplc="937A5D9E">
      <w:numFmt w:val="bullet"/>
      <w:lvlText w:val="•"/>
      <w:lvlJc w:val="left"/>
      <w:pPr>
        <w:ind w:left="2828" w:hanging="272"/>
      </w:pPr>
      <w:rPr>
        <w:rFonts w:hint="default"/>
        <w:lang w:val="en-AU" w:eastAsia="en-US" w:bidi="ar-SA"/>
      </w:rPr>
    </w:lvl>
    <w:lvl w:ilvl="5" w:tplc="F19233AE">
      <w:numFmt w:val="bullet"/>
      <w:lvlText w:val="•"/>
      <w:lvlJc w:val="left"/>
      <w:pPr>
        <w:ind w:left="3265" w:hanging="272"/>
      </w:pPr>
      <w:rPr>
        <w:rFonts w:hint="default"/>
        <w:lang w:val="en-AU" w:eastAsia="en-US" w:bidi="ar-SA"/>
      </w:rPr>
    </w:lvl>
    <w:lvl w:ilvl="6" w:tplc="08A4E250">
      <w:numFmt w:val="bullet"/>
      <w:lvlText w:val="•"/>
      <w:lvlJc w:val="left"/>
      <w:pPr>
        <w:ind w:left="3702" w:hanging="272"/>
      </w:pPr>
      <w:rPr>
        <w:rFonts w:hint="default"/>
        <w:lang w:val="en-AU" w:eastAsia="en-US" w:bidi="ar-SA"/>
      </w:rPr>
    </w:lvl>
    <w:lvl w:ilvl="7" w:tplc="C75497A4">
      <w:numFmt w:val="bullet"/>
      <w:lvlText w:val="•"/>
      <w:lvlJc w:val="left"/>
      <w:pPr>
        <w:ind w:left="4140" w:hanging="272"/>
      </w:pPr>
      <w:rPr>
        <w:rFonts w:hint="default"/>
        <w:lang w:val="en-AU" w:eastAsia="en-US" w:bidi="ar-SA"/>
      </w:rPr>
    </w:lvl>
    <w:lvl w:ilvl="8" w:tplc="D2466CEA">
      <w:numFmt w:val="bullet"/>
      <w:lvlText w:val="•"/>
      <w:lvlJc w:val="left"/>
      <w:pPr>
        <w:ind w:left="4577" w:hanging="272"/>
      </w:pPr>
      <w:rPr>
        <w:rFonts w:hint="default"/>
        <w:lang w:val="en-AU" w:eastAsia="en-US" w:bidi="ar-SA"/>
      </w:rPr>
    </w:lvl>
  </w:abstractNum>
  <w:abstractNum w:abstractNumId="10" w15:restartNumberingAfterBreak="0">
    <w:nsid w:val="375B6868"/>
    <w:multiLevelType w:val="hybridMultilevel"/>
    <w:tmpl w:val="A49A3F08"/>
    <w:lvl w:ilvl="0" w:tplc="668C6614">
      <w:start w:val="1"/>
      <w:numFmt w:val="decimal"/>
      <w:pStyle w:val="Numbered"/>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85025"/>
    <w:multiLevelType w:val="hybridMultilevel"/>
    <w:tmpl w:val="B5180B9C"/>
    <w:lvl w:ilvl="0" w:tplc="BD62E13E">
      <w:start w:val="1"/>
      <w:numFmt w:val="decimal"/>
      <w:lvlText w:val="%1."/>
      <w:lvlJc w:val="left"/>
      <w:pPr>
        <w:ind w:left="2891" w:hanging="243"/>
      </w:pPr>
      <w:rPr>
        <w:rFonts w:ascii="Arial" w:eastAsia="Arial" w:hAnsi="Arial" w:cs="Arial" w:hint="default"/>
        <w:b/>
        <w:bCs/>
        <w:color w:val="FFFFFF"/>
        <w:w w:val="100"/>
        <w:sz w:val="22"/>
        <w:szCs w:val="22"/>
        <w:lang w:val="en-AU" w:eastAsia="en-US" w:bidi="ar-SA"/>
      </w:rPr>
    </w:lvl>
    <w:lvl w:ilvl="1" w:tplc="A406E396">
      <w:numFmt w:val="bullet"/>
      <w:lvlText w:val="•"/>
      <w:lvlJc w:val="left"/>
      <w:pPr>
        <w:ind w:left="3750" w:hanging="243"/>
      </w:pPr>
      <w:rPr>
        <w:rFonts w:hint="default"/>
        <w:lang w:val="en-AU" w:eastAsia="en-US" w:bidi="ar-SA"/>
      </w:rPr>
    </w:lvl>
    <w:lvl w:ilvl="2" w:tplc="718471C0">
      <w:numFmt w:val="bullet"/>
      <w:lvlText w:val="•"/>
      <w:lvlJc w:val="left"/>
      <w:pPr>
        <w:ind w:left="4600" w:hanging="243"/>
      </w:pPr>
      <w:rPr>
        <w:rFonts w:hint="default"/>
        <w:lang w:val="en-AU" w:eastAsia="en-US" w:bidi="ar-SA"/>
      </w:rPr>
    </w:lvl>
    <w:lvl w:ilvl="3" w:tplc="33DAB02E">
      <w:numFmt w:val="bullet"/>
      <w:lvlText w:val="•"/>
      <w:lvlJc w:val="left"/>
      <w:pPr>
        <w:ind w:left="5451" w:hanging="243"/>
      </w:pPr>
      <w:rPr>
        <w:rFonts w:hint="default"/>
        <w:lang w:val="en-AU" w:eastAsia="en-US" w:bidi="ar-SA"/>
      </w:rPr>
    </w:lvl>
    <w:lvl w:ilvl="4" w:tplc="6A221090">
      <w:numFmt w:val="bullet"/>
      <w:lvlText w:val="•"/>
      <w:lvlJc w:val="left"/>
      <w:pPr>
        <w:ind w:left="6301" w:hanging="243"/>
      </w:pPr>
      <w:rPr>
        <w:rFonts w:hint="default"/>
        <w:lang w:val="en-AU" w:eastAsia="en-US" w:bidi="ar-SA"/>
      </w:rPr>
    </w:lvl>
    <w:lvl w:ilvl="5" w:tplc="A7FA9488">
      <w:numFmt w:val="bullet"/>
      <w:lvlText w:val="•"/>
      <w:lvlJc w:val="left"/>
      <w:pPr>
        <w:ind w:left="7152" w:hanging="243"/>
      </w:pPr>
      <w:rPr>
        <w:rFonts w:hint="default"/>
        <w:lang w:val="en-AU" w:eastAsia="en-US" w:bidi="ar-SA"/>
      </w:rPr>
    </w:lvl>
    <w:lvl w:ilvl="6" w:tplc="D224524C">
      <w:numFmt w:val="bullet"/>
      <w:lvlText w:val="•"/>
      <w:lvlJc w:val="left"/>
      <w:pPr>
        <w:ind w:left="8002" w:hanging="243"/>
      </w:pPr>
      <w:rPr>
        <w:rFonts w:hint="default"/>
        <w:lang w:val="en-AU" w:eastAsia="en-US" w:bidi="ar-SA"/>
      </w:rPr>
    </w:lvl>
    <w:lvl w:ilvl="7" w:tplc="C700C658">
      <w:numFmt w:val="bullet"/>
      <w:lvlText w:val="•"/>
      <w:lvlJc w:val="left"/>
      <w:pPr>
        <w:ind w:left="8852" w:hanging="243"/>
      </w:pPr>
      <w:rPr>
        <w:rFonts w:hint="default"/>
        <w:lang w:val="en-AU" w:eastAsia="en-US" w:bidi="ar-SA"/>
      </w:rPr>
    </w:lvl>
    <w:lvl w:ilvl="8" w:tplc="C792E9C6">
      <w:numFmt w:val="bullet"/>
      <w:lvlText w:val="•"/>
      <w:lvlJc w:val="left"/>
      <w:pPr>
        <w:ind w:left="9703" w:hanging="243"/>
      </w:pPr>
      <w:rPr>
        <w:rFonts w:hint="default"/>
        <w:lang w:val="en-AU" w:eastAsia="en-US" w:bidi="ar-SA"/>
      </w:rPr>
    </w:lvl>
  </w:abstractNum>
  <w:abstractNum w:abstractNumId="12" w15:restartNumberingAfterBreak="0">
    <w:nsid w:val="44D608A2"/>
    <w:multiLevelType w:val="hybridMultilevel"/>
    <w:tmpl w:val="E0246BE6"/>
    <w:lvl w:ilvl="0" w:tplc="D9841DC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C556E766">
      <w:numFmt w:val="bullet"/>
      <w:lvlText w:val="•"/>
      <w:lvlJc w:val="left"/>
      <w:pPr>
        <w:ind w:left="1219" w:hanging="272"/>
      </w:pPr>
      <w:rPr>
        <w:rFonts w:hint="default"/>
        <w:lang w:val="en-AU" w:eastAsia="en-US" w:bidi="ar-SA"/>
      </w:rPr>
    </w:lvl>
    <w:lvl w:ilvl="2" w:tplc="F9EA23B6">
      <w:numFmt w:val="bullet"/>
      <w:lvlText w:val="•"/>
      <w:lvlJc w:val="left"/>
      <w:pPr>
        <w:ind w:left="2019" w:hanging="272"/>
      </w:pPr>
      <w:rPr>
        <w:rFonts w:hint="default"/>
        <w:lang w:val="en-AU" w:eastAsia="en-US" w:bidi="ar-SA"/>
      </w:rPr>
    </w:lvl>
    <w:lvl w:ilvl="3" w:tplc="7F60F3AC">
      <w:numFmt w:val="bullet"/>
      <w:lvlText w:val="•"/>
      <w:lvlJc w:val="left"/>
      <w:pPr>
        <w:ind w:left="2819" w:hanging="272"/>
      </w:pPr>
      <w:rPr>
        <w:rFonts w:hint="default"/>
        <w:lang w:val="en-AU" w:eastAsia="en-US" w:bidi="ar-SA"/>
      </w:rPr>
    </w:lvl>
    <w:lvl w:ilvl="4" w:tplc="988CD8A6">
      <w:numFmt w:val="bullet"/>
      <w:lvlText w:val="•"/>
      <w:lvlJc w:val="left"/>
      <w:pPr>
        <w:ind w:left="3619" w:hanging="272"/>
      </w:pPr>
      <w:rPr>
        <w:rFonts w:hint="default"/>
        <w:lang w:val="en-AU" w:eastAsia="en-US" w:bidi="ar-SA"/>
      </w:rPr>
    </w:lvl>
    <w:lvl w:ilvl="5" w:tplc="F9EC7190">
      <w:numFmt w:val="bullet"/>
      <w:lvlText w:val="•"/>
      <w:lvlJc w:val="left"/>
      <w:pPr>
        <w:ind w:left="4419" w:hanging="272"/>
      </w:pPr>
      <w:rPr>
        <w:rFonts w:hint="default"/>
        <w:lang w:val="en-AU" w:eastAsia="en-US" w:bidi="ar-SA"/>
      </w:rPr>
    </w:lvl>
    <w:lvl w:ilvl="6" w:tplc="0FCC7E88">
      <w:numFmt w:val="bullet"/>
      <w:lvlText w:val="•"/>
      <w:lvlJc w:val="left"/>
      <w:pPr>
        <w:ind w:left="5219" w:hanging="272"/>
      </w:pPr>
      <w:rPr>
        <w:rFonts w:hint="default"/>
        <w:lang w:val="en-AU" w:eastAsia="en-US" w:bidi="ar-SA"/>
      </w:rPr>
    </w:lvl>
    <w:lvl w:ilvl="7" w:tplc="8AC8B5D8">
      <w:numFmt w:val="bullet"/>
      <w:lvlText w:val="•"/>
      <w:lvlJc w:val="left"/>
      <w:pPr>
        <w:ind w:left="6019" w:hanging="272"/>
      </w:pPr>
      <w:rPr>
        <w:rFonts w:hint="default"/>
        <w:lang w:val="en-AU" w:eastAsia="en-US" w:bidi="ar-SA"/>
      </w:rPr>
    </w:lvl>
    <w:lvl w:ilvl="8" w:tplc="9E243706">
      <w:numFmt w:val="bullet"/>
      <w:lvlText w:val="•"/>
      <w:lvlJc w:val="left"/>
      <w:pPr>
        <w:ind w:left="6819" w:hanging="272"/>
      </w:pPr>
      <w:rPr>
        <w:rFonts w:hint="default"/>
        <w:lang w:val="en-AU" w:eastAsia="en-US" w:bidi="ar-SA"/>
      </w:rPr>
    </w:lvl>
  </w:abstractNum>
  <w:abstractNum w:abstractNumId="13" w15:restartNumberingAfterBreak="0">
    <w:nsid w:val="46294AD8"/>
    <w:multiLevelType w:val="hybridMultilevel"/>
    <w:tmpl w:val="C95A30E6"/>
    <w:lvl w:ilvl="0" w:tplc="61766F72">
      <w:start w:val="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607CE3"/>
    <w:multiLevelType w:val="hybridMultilevel"/>
    <w:tmpl w:val="B1BAD7E4"/>
    <w:lvl w:ilvl="0" w:tplc="F0ACAB62">
      <w:numFmt w:val="bullet"/>
      <w:lvlText w:val="•"/>
      <w:lvlJc w:val="left"/>
      <w:pPr>
        <w:ind w:left="874" w:hanging="272"/>
      </w:pPr>
      <w:rPr>
        <w:rFonts w:hint="default"/>
        <w:w w:val="100"/>
        <w:lang w:val="en-AU" w:eastAsia="en-US" w:bidi="ar-SA"/>
      </w:rPr>
    </w:lvl>
    <w:lvl w:ilvl="1" w:tplc="6B58B07A">
      <w:numFmt w:val="bullet"/>
      <w:lvlText w:val=""/>
      <w:lvlJc w:val="left"/>
      <w:pPr>
        <w:ind w:left="2413" w:hanging="272"/>
      </w:pPr>
      <w:rPr>
        <w:rFonts w:ascii="Wingdings" w:eastAsia="Wingdings" w:hAnsi="Wingdings" w:cs="Wingdings" w:hint="default"/>
        <w:color w:val="005AA3"/>
        <w:w w:val="100"/>
        <w:sz w:val="18"/>
        <w:szCs w:val="18"/>
        <w:lang w:val="en-AU" w:eastAsia="en-US" w:bidi="ar-SA"/>
      </w:rPr>
    </w:lvl>
    <w:lvl w:ilvl="2" w:tplc="E6E0A59C">
      <w:numFmt w:val="bullet"/>
      <w:lvlText w:val="•"/>
      <w:lvlJc w:val="left"/>
      <w:pPr>
        <w:ind w:left="2719" w:hanging="272"/>
      </w:pPr>
      <w:rPr>
        <w:rFonts w:hint="default"/>
        <w:lang w:val="en-AU" w:eastAsia="en-US" w:bidi="ar-SA"/>
      </w:rPr>
    </w:lvl>
    <w:lvl w:ilvl="3" w:tplc="BABE7F0E">
      <w:numFmt w:val="bullet"/>
      <w:lvlText w:val="•"/>
      <w:lvlJc w:val="left"/>
      <w:pPr>
        <w:ind w:left="3019" w:hanging="272"/>
      </w:pPr>
      <w:rPr>
        <w:rFonts w:hint="default"/>
        <w:lang w:val="en-AU" w:eastAsia="en-US" w:bidi="ar-SA"/>
      </w:rPr>
    </w:lvl>
    <w:lvl w:ilvl="4" w:tplc="B192A520">
      <w:numFmt w:val="bullet"/>
      <w:lvlText w:val="•"/>
      <w:lvlJc w:val="left"/>
      <w:pPr>
        <w:ind w:left="3318" w:hanging="272"/>
      </w:pPr>
      <w:rPr>
        <w:rFonts w:hint="default"/>
        <w:lang w:val="en-AU" w:eastAsia="en-US" w:bidi="ar-SA"/>
      </w:rPr>
    </w:lvl>
    <w:lvl w:ilvl="5" w:tplc="37D8BDE6">
      <w:numFmt w:val="bullet"/>
      <w:lvlText w:val="•"/>
      <w:lvlJc w:val="left"/>
      <w:pPr>
        <w:ind w:left="3618" w:hanging="272"/>
      </w:pPr>
      <w:rPr>
        <w:rFonts w:hint="default"/>
        <w:lang w:val="en-AU" w:eastAsia="en-US" w:bidi="ar-SA"/>
      </w:rPr>
    </w:lvl>
    <w:lvl w:ilvl="6" w:tplc="B1F23C8A">
      <w:numFmt w:val="bullet"/>
      <w:lvlText w:val="•"/>
      <w:lvlJc w:val="left"/>
      <w:pPr>
        <w:ind w:left="3918" w:hanging="272"/>
      </w:pPr>
      <w:rPr>
        <w:rFonts w:hint="default"/>
        <w:lang w:val="en-AU" w:eastAsia="en-US" w:bidi="ar-SA"/>
      </w:rPr>
    </w:lvl>
    <w:lvl w:ilvl="7" w:tplc="FA2AD404">
      <w:numFmt w:val="bullet"/>
      <w:lvlText w:val="•"/>
      <w:lvlJc w:val="left"/>
      <w:pPr>
        <w:ind w:left="4217" w:hanging="272"/>
      </w:pPr>
      <w:rPr>
        <w:rFonts w:hint="default"/>
        <w:lang w:val="en-AU" w:eastAsia="en-US" w:bidi="ar-SA"/>
      </w:rPr>
    </w:lvl>
    <w:lvl w:ilvl="8" w:tplc="503696BE">
      <w:numFmt w:val="bullet"/>
      <w:lvlText w:val="•"/>
      <w:lvlJc w:val="left"/>
      <w:pPr>
        <w:ind w:left="4517" w:hanging="272"/>
      </w:pPr>
      <w:rPr>
        <w:rFonts w:hint="default"/>
        <w:lang w:val="en-AU" w:eastAsia="en-US" w:bidi="ar-SA"/>
      </w:rPr>
    </w:lvl>
  </w:abstractNum>
  <w:abstractNum w:abstractNumId="16" w15:restartNumberingAfterBreak="0">
    <w:nsid w:val="53D4425A"/>
    <w:multiLevelType w:val="hybridMultilevel"/>
    <w:tmpl w:val="7A883DD0"/>
    <w:lvl w:ilvl="0" w:tplc="A98AAF1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A9C687A4">
      <w:numFmt w:val="bullet"/>
      <w:lvlText w:val="•"/>
      <w:lvlJc w:val="left"/>
      <w:pPr>
        <w:ind w:left="1219" w:hanging="272"/>
      </w:pPr>
      <w:rPr>
        <w:rFonts w:hint="default"/>
        <w:lang w:val="en-AU" w:eastAsia="en-US" w:bidi="ar-SA"/>
      </w:rPr>
    </w:lvl>
    <w:lvl w:ilvl="2" w:tplc="34004912">
      <w:numFmt w:val="bullet"/>
      <w:lvlText w:val="•"/>
      <w:lvlJc w:val="left"/>
      <w:pPr>
        <w:ind w:left="2019" w:hanging="272"/>
      </w:pPr>
      <w:rPr>
        <w:rFonts w:hint="default"/>
        <w:lang w:val="en-AU" w:eastAsia="en-US" w:bidi="ar-SA"/>
      </w:rPr>
    </w:lvl>
    <w:lvl w:ilvl="3" w:tplc="B58C4CFA">
      <w:numFmt w:val="bullet"/>
      <w:lvlText w:val="•"/>
      <w:lvlJc w:val="left"/>
      <w:pPr>
        <w:ind w:left="2819" w:hanging="272"/>
      </w:pPr>
      <w:rPr>
        <w:rFonts w:hint="default"/>
        <w:lang w:val="en-AU" w:eastAsia="en-US" w:bidi="ar-SA"/>
      </w:rPr>
    </w:lvl>
    <w:lvl w:ilvl="4" w:tplc="6FA0AB40">
      <w:numFmt w:val="bullet"/>
      <w:lvlText w:val="•"/>
      <w:lvlJc w:val="left"/>
      <w:pPr>
        <w:ind w:left="3619" w:hanging="272"/>
      </w:pPr>
      <w:rPr>
        <w:rFonts w:hint="default"/>
        <w:lang w:val="en-AU" w:eastAsia="en-US" w:bidi="ar-SA"/>
      </w:rPr>
    </w:lvl>
    <w:lvl w:ilvl="5" w:tplc="2FFE681E">
      <w:numFmt w:val="bullet"/>
      <w:lvlText w:val="•"/>
      <w:lvlJc w:val="left"/>
      <w:pPr>
        <w:ind w:left="4419" w:hanging="272"/>
      </w:pPr>
      <w:rPr>
        <w:rFonts w:hint="default"/>
        <w:lang w:val="en-AU" w:eastAsia="en-US" w:bidi="ar-SA"/>
      </w:rPr>
    </w:lvl>
    <w:lvl w:ilvl="6" w:tplc="D2708AF8">
      <w:numFmt w:val="bullet"/>
      <w:lvlText w:val="•"/>
      <w:lvlJc w:val="left"/>
      <w:pPr>
        <w:ind w:left="5219" w:hanging="272"/>
      </w:pPr>
      <w:rPr>
        <w:rFonts w:hint="default"/>
        <w:lang w:val="en-AU" w:eastAsia="en-US" w:bidi="ar-SA"/>
      </w:rPr>
    </w:lvl>
    <w:lvl w:ilvl="7" w:tplc="C66A56EC">
      <w:numFmt w:val="bullet"/>
      <w:lvlText w:val="•"/>
      <w:lvlJc w:val="left"/>
      <w:pPr>
        <w:ind w:left="6019" w:hanging="272"/>
      </w:pPr>
      <w:rPr>
        <w:rFonts w:hint="default"/>
        <w:lang w:val="en-AU" w:eastAsia="en-US" w:bidi="ar-SA"/>
      </w:rPr>
    </w:lvl>
    <w:lvl w:ilvl="8" w:tplc="F1ACEC86">
      <w:numFmt w:val="bullet"/>
      <w:lvlText w:val="•"/>
      <w:lvlJc w:val="left"/>
      <w:pPr>
        <w:ind w:left="6819" w:hanging="272"/>
      </w:pPr>
      <w:rPr>
        <w:rFonts w:hint="default"/>
        <w:lang w:val="en-AU" w:eastAsia="en-US" w:bidi="ar-SA"/>
      </w:rPr>
    </w:lvl>
  </w:abstractNum>
  <w:abstractNum w:abstractNumId="17" w15:restartNumberingAfterBreak="0">
    <w:nsid w:val="545A401C"/>
    <w:multiLevelType w:val="hybridMultilevel"/>
    <w:tmpl w:val="6FA4622C"/>
    <w:lvl w:ilvl="0" w:tplc="C3CE3E1E">
      <w:numFmt w:val="bullet"/>
      <w:lvlText w:val="•"/>
      <w:lvlJc w:val="left"/>
      <w:pPr>
        <w:ind w:left="415" w:hanging="272"/>
      </w:pPr>
      <w:rPr>
        <w:rFonts w:ascii="Arial" w:eastAsia="Arial" w:hAnsi="Arial" w:cs="Arial" w:hint="default"/>
        <w:color w:val="1F1546"/>
        <w:w w:val="100"/>
        <w:sz w:val="18"/>
        <w:szCs w:val="18"/>
        <w:lang w:val="en-AU" w:eastAsia="en-US" w:bidi="ar-SA"/>
      </w:rPr>
    </w:lvl>
    <w:lvl w:ilvl="1" w:tplc="5DD66408">
      <w:numFmt w:val="bullet"/>
      <w:lvlText w:val="•"/>
      <w:lvlJc w:val="left"/>
      <w:pPr>
        <w:ind w:left="1219" w:hanging="272"/>
      </w:pPr>
      <w:rPr>
        <w:rFonts w:hint="default"/>
        <w:lang w:val="en-AU" w:eastAsia="en-US" w:bidi="ar-SA"/>
      </w:rPr>
    </w:lvl>
    <w:lvl w:ilvl="2" w:tplc="157CB6E4">
      <w:numFmt w:val="bullet"/>
      <w:lvlText w:val="•"/>
      <w:lvlJc w:val="left"/>
      <w:pPr>
        <w:ind w:left="2019" w:hanging="272"/>
      </w:pPr>
      <w:rPr>
        <w:rFonts w:hint="default"/>
        <w:lang w:val="en-AU" w:eastAsia="en-US" w:bidi="ar-SA"/>
      </w:rPr>
    </w:lvl>
    <w:lvl w:ilvl="3" w:tplc="EB0E014C">
      <w:numFmt w:val="bullet"/>
      <w:lvlText w:val="•"/>
      <w:lvlJc w:val="left"/>
      <w:pPr>
        <w:ind w:left="2819" w:hanging="272"/>
      </w:pPr>
      <w:rPr>
        <w:rFonts w:hint="default"/>
        <w:lang w:val="en-AU" w:eastAsia="en-US" w:bidi="ar-SA"/>
      </w:rPr>
    </w:lvl>
    <w:lvl w:ilvl="4" w:tplc="FDD8F594">
      <w:numFmt w:val="bullet"/>
      <w:lvlText w:val="•"/>
      <w:lvlJc w:val="left"/>
      <w:pPr>
        <w:ind w:left="3619" w:hanging="272"/>
      </w:pPr>
      <w:rPr>
        <w:rFonts w:hint="default"/>
        <w:lang w:val="en-AU" w:eastAsia="en-US" w:bidi="ar-SA"/>
      </w:rPr>
    </w:lvl>
    <w:lvl w:ilvl="5" w:tplc="F1341CD4">
      <w:numFmt w:val="bullet"/>
      <w:lvlText w:val="•"/>
      <w:lvlJc w:val="left"/>
      <w:pPr>
        <w:ind w:left="4419" w:hanging="272"/>
      </w:pPr>
      <w:rPr>
        <w:rFonts w:hint="default"/>
        <w:lang w:val="en-AU" w:eastAsia="en-US" w:bidi="ar-SA"/>
      </w:rPr>
    </w:lvl>
    <w:lvl w:ilvl="6" w:tplc="54D86260">
      <w:numFmt w:val="bullet"/>
      <w:lvlText w:val="•"/>
      <w:lvlJc w:val="left"/>
      <w:pPr>
        <w:ind w:left="5219" w:hanging="272"/>
      </w:pPr>
      <w:rPr>
        <w:rFonts w:hint="default"/>
        <w:lang w:val="en-AU" w:eastAsia="en-US" w:bidi="ar-SA"/>
      </w:rPr>
    </w:lvl>
    <w:lvl w:ilvl="7" w:tplc="7C00AAFE">
      <w:numFmt w:val="bullet"/>
      <w:lvlText w:val="•"/>
      <w:lvlJc w:val="left"/>
      <w:pPr>
        <w:ind w:left="6019" w:hanging="272"/>
      </w:pPr>
      <w:rPr>
        <w:rFonts w:hint="default"/>
        <w:lang w:val="en-AU" w:eastAsia="en-US" w:bidi="ar-SA"/>
      </w:rPr>
    </w:lvl>
    <w:lvl w:ilvl="8" w:tplc="71DC6D06">
      <w:numFmt w:val="bullet"/>
      <w:lvlText w:val="•"/>
      <w:lvlJc w:val="left"/>
      <w:pPr>
        <w:ind w:left="6819" w:hanging="272"/>
      </w:pPr>
      <w:rPr>
        <w:rFonts w:hint="default"/>
        <w:lang w:val="en-AU" w:eastAsia="en-US" w:bidi="ar-SA"/>
      </w:rPr>
    </w:lvl>
  </w:abstractNum>
  <w:abstractNum w:abstractNumId="18" w15:restartNumberingAfterBreak="0">
    <w:nsid w:val="54FD3F65"/>
    <w:multiLevelType w:val="hybridMultilevel"/>
    <w:tmpl w:val="9062A656"/>
    <w:lvl w:ilvl="0" w:tplc="A110539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688C45D8">
      <w:numFmt w:val="bullet"/>
      <w:lvlText w:val="•"/>
      <w:lvlJc w:val="left"/>
      <w:pPr>
        <w:ind w:left="1219" w:hanging="272"/>
      </w:pPr>
      <w:rPr>
        <w:rFonts w:hint="default"/>
        <w:lang w:val="en-AU" w:eastAsia="en-US" w:bidi="ar-SA"/>
      </w:rPr>
    </w:lvl>
    <w:lvl w:ilvl="2" w:tplc="E0583126">
      <w:numFmt w:val="bullet"/>
      <w:lvlText w:val="•"/>
      <w:lvlJc w:val="left"/>
      <w:pPr>
        <w:ind w:left="2019" w:hanging="272"/>
      </w:pPr>
      <w:rPr>
        <w:rFonts w:hint="default"/>
        <w:lang w:val="en-AU" w:eastAsia="en-US" w:bidi="ar-SA"/>
      </w:rPr>
    </w:lvl>
    <w:lvl w:ilvl="3" w:tplc="CB40D88E">
      <w:numFmt w:val="bullet"/>
      <w:lvlText w:val="•"/>
      <w:lvlJc w:val="left"/>
      <w:pPr>
        <w:ind w:left="2819" w:hanging="272"/>
      </w:pPr>
      <w:rPr>
        <w:rFonts w:hint="default"/>
        <w:lang w:val="en-AU" w:eastAsia="en-US" w:bidi="ar-SA"/>
      </w:rPr>
    </w:lvl>
    <w:lvl w:ilvl="4" w:tplc="4664CBB2">
      <w:numFmt w:val="bullet"/>
      <w:lvlText w:val="•"/>
      <w:lvlJc w:val="left"/>
      <w:pPr>
        <w:ind w:left="3619" w:hanging="272"/>
      </w:pPr>
      <w:rPr>
        <w:rFonts w:hint="default"/>
        <w:lang w:val="en-AU" w:eastAsia="en-US" w:bidi="ar-SA"/>
      </w:rPr>
    </w:lvl>
    <w:lvl w:ilvl="5" w:tplc="09F67B84">
      <w:numFmt w:val="bullet"/>
      <w:lvlText w:val="•"/>
      <w:lvlJc w:val="left"/>
      <w:pPr>
        <w:ind w:left="4419" w:hanging="272"/>
      </w:pPr>
      <w:rPr>
        <w:rFonts w:hint="default"/>
        <w:lang w:val="en-AU" w:eastAsia="en-US" w:bidi="ar-SA"/>
      </w:rPr>
    </w:lvl>
    <w:lvl w:ilvl="6" w:tplc="DB12D880">
      <w:numFmt w:val="bullet"/>
      <w:lvlText w:val="•"/>
      <w:lvlJc w:val="left"/>
      <w:pPr>
        <w:ind w:left="5219" w:hanging="272"/>
      </w:pPr>
      <w:rPr>
        <w:rFonts w:hint="default"/>
        <w:lang w:val="en-AU" w:eastAsia="en-US" w:bidi="ar-SA"/>
      </w:rPr>
    </w:lvl>
    <w:lvl w:ilvl="7" w:tplc="4B927ABA">
      <w:numFmt w:val="bullet"/>
      <w:lvlText w:val="•"/>
      <w:lvlJc w:val="left"/>
      <w:pPr>
        <w:ind w:left="6019" w:hanging="272"/>
      </w:pPr>
      <w:rPr>
        <w:rFonts w:hint="default"/>
        <w:lang w:val="en-AU" w:eastAsia="en-US" w:bidi="ar-SA"/>
      </w:rPr>
    </w:lvl>
    <w:lvl w:ilvl="8" w:tplc="8E3AD61C">
      <w:numFmt w:val="bullet"/>
      <w:lvlText w:val="•"/>
      <w:lvlJc w:val="left"/>
      <w:pPr>
        <w:ind w:left="6819" w:hanging="272"/>
      </w:pPr>
      <w:rPr>
        <w:rFonts w:hint="default"/>
        <w:lang w:val="en-AU" w:eastAsia="en-US" w:bidi="ar-SA"/>
      </w:rPr>
    </w:lvl>
  </w:abstractNum>
  <w:abstractNum w:abstractNumId="19"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8D14F3"/>
    <w:multiLevelType w:val="hybridMultilevel"/>
    <w:tmpl w:val="D66A513C"/>
    <w:lvl w:ilvl="0" w:tplc="FACC032E">
      <w:numFmt w:val="bullet"/>
      <w:lvlText w:val=""/>
      <w:lvlJc w:val="left"/>
      <w:pPr>
        <w:ind w:left="751" w:hanging="272"/>
      </w:pPr>
      <w:rPr>
        <w:rFonts w:ascii="Wingdings" w:eastAsia="Wingdings" w:hAnsi="Wingdings" w:cs="Wingdings" w:hint="default"/>
        <w:color w:val="0077BE"/>
        <w:w w:val="100"/>
        <w:sz w:val="18"/>
        <w:szCs w:val="18"/>
        <w:lang w:val="en-AU" w:eastAsia="en-US" w:bidi="ar-SA"/>
      </w:rPr>
    </w:lvl>
    <w:lvl w:ilvl="1" w:tplc="694E5974">
      <w:numFmt w:val="bullet"/>
      <w:lvlText w:val=""/>
      <w:lvlJc w:val="left"/>
      <w:pPr>
        <w:ind w:left="1089" w:hanging="272"/>
      </w:pPr>
      <w:rPr>
        <w:rFonts w:hint="default"/>
        <w:w w:val="100"/>
        <w:lang w:val="en-AU" w:eastAsia="en-US" w:bidi="ar-SA"/>
      </w:rPr>
    </w:lvl>
    <w:lvl w:ilvl="2" w:tplc="42A2A2E0">
      <w:numFmt w:val="bullet"/>
      <w:lvlText w:val="•"/>
      <w:lvlJc w:val="left"/>
      <w:pPr>
        <w:ind w:left="1528" w:hanging="272"/>
      </w:pPr>
      <w:rPr>
        <w:rFonts w:hint="default"/>
        <w:lang w:val="en-AU" w:eastAsia="en-US" w:bidi="ar-SA"/>
      </w:rPr>
    </w:lvl>
    <w:lvl w:ilvl="3" w:tplc="1908BC8A">
      <w:numFmt w:val="bullet"/>
      <w:lvlText w:val="•"/>
      <w:lvlJc w:val="left"/>
      <w:pPr>
        <w:ind w:left="1976" w:hanging="272"/>
      </w:pPr>
      <w:rPr>
        <w:rFonts w:hint="default"/>
        <w:lang w:val="en-AU" w:eastAsia="en-US" w:bidi="ar-SA"/>
      </w:rPr>
    </w:lvl>
    <w:lvl w:ilvl="4" w:tplc="ABEE5314">
      <w:numFmt w:val="bullet"/>
      <w:lvlText w:val="•"/>
      <w:lvlJc w:val="left"/>
      <w:pPr>
        <w:ind w:left="2424" w:hanging="272"/>
      </w:pPr>
      <w:rPr>
        <w:rFonts w:hint="default"/>
        <w:lang w:val="en-AU" w:eastAsia="en-US" w:bidi="ar-SA"/>
      </w:rPr>
    </w:lvl>
    <w:lvl w:ilvl="5" w:tplc="C01C9026">
      <w:numFmt w:val="bullet"/>
      <w:lvlText w:val="•"/>
      <w:lvlJc w:val="left"/>
      <w:pPr>
        <w:ind w:left="2872" w:hanging="272"/>
      </w:pPr>
      <w:rPr>
        <w:rFonts w:hint="default"/>
        <w:lang w:val="en-AU" w:eastAsia="en-US" w:bidi="ar-SA"/>
      </w:rPr>
    </w:lvl>
    <w:lvl w:ilvl="6" w:tplc="AA82B2B2">
      <w:numFmt w:val="bullet"/>
      <w:lvlText w:val="•"/>
      <w:lvlJc w:val="left"/>
      <w:pPr>
        <w:ind w:left="3320" w:hanging="272"/>
      </w:pPr>
      <w:rPr>
        <w:rFonts w:hint="default"/>
        <w:lang w:val="en-AU" w:eastAsia="en-US" w:bidi="ar-SA"/>
      </w:rPr>
    </w:lvl>
    <w:lvl w:ilvl="7" w:tplc="F16AFFCC">
      <w:numFmt w:val="bullet"/>
      <w:lvlText w:val="•"/>
      <w:lvlJc w:val="left"/>
      <w:pPr>
        <w:ind w:left="3768" w:hanging="272"/>
      </w:pPr>
      <w:rPr>
        <w:rFonts w:hint="default"/>
        <w:lang w:val="en-AU" w:eastAsia="en-US" w:bidi="ar-SA"/>
      </w:rPr>
    </w:lvl>
    <w:lvl w:ilvl="8" w:tplc="BE8C81AA">
      <w:numFmt w:val="bullet"/>
      <w:lvlText w:val="•"/>
      <w:lvlJc w:val="left"/>
      <w:pPr>
        <w:ind w:left="4217" w:hanging="272"/>
      </w:pPr>
      <w:rPr>
        <w:rFonts w:hint="default"/>
        <w:lang w:val="en-AU" w:eastAsia="en-US" w:bidi="ar-SA"/>
      </w:rPr>
    </w:lvl>
  </w:abstractNum>
  <w:abstractNum w:abstractNumId="21" w15:restartNumberingAfterBreak="0">
    <w:nsid w:val="62D66811"/>
    <w:multiLevelType w:val="hybridMultilevel"/>
    <w:tmpl w:val="68C24814"/>
    <w:lvl w:ilvl="0" w:tplc="A5CC2D42">
      <w:start w:val="1"/>
      <w:numFmt w:val="decimal"/>
      <w:lvlText w:val="%1."/>
      <w:lvlJc w:val="left"/>
      <w:pPr>
        <w:ind w:left="2530" w:hanging="401"/>
      </w:pPr>
      <w:rPr>
        <w:rFonts w:ascii="Arial" w:eastAsia="Arial" w:hAnsi="Arial" w:cs="Arial" w:hint="default"/>
        <w:b/>
        <w:bCs/>
        <w:color w:val="0071CE"/>
        <w:w w:val="100"/>
        <w:sz w:val="36"/>
        <w:szCs w:val="36"/>
        <w:lang w:val="en-AU" w:eastAsia="en-US" w:bidi="ar-SA"/>
      </w:rPr>
    </w:lvl>
    <w:lvl w:ilvl="1" w:tplc="BA04A16C">
      <w:numFmt w:val="bullet"/>
      <w:lvlText w:val="•"/>
      <w:lvlJc w:val="left"/>
      <w:pPr>
        <w:ind w:left="2540" w:hanging="401"/>
      </w:pPr>
      <w:rPr>
        <w:rFonts w:hint="default"/>
        <w:lang w:val="en-AU" w:eastAsia="en-US" w:bidi="ar-SA"/>
      </w:rPr>
    </w:lvl>
    <w:lvl w:ilvl="2" w:tplc="5674FBC0">
      <w:numFmt w:val="bullet"/>
      <w:lvlText w:val="•"/>
      <w:lvlJc w:val="left"/>
      <w:pPr>
        <w:ind w:left="2986" w:hanging="401"/>
      </w:pPr>
      <w:rPr>
        <w:rFonts w:hint="default"/>
        <w:lang w:val="en-AU" w:eastAsia="en-US" w:bidi="ar-SA"/>
      </w:rPr>
    </w:lvl>
    <w:lvl w:ilvl="3" w:tplc="9838176A">
      <w:numFmt w:val="bullet"/>
      <w:lvlText w:val="•"/>
      <w:lvlJc w:val="left"/>
      <w:pPr>
        <w:ind w:left="3433" w:hanging="401"/>
      </w:pPr>
      <w:rPr>
        <w:rFonts w:hint="default"/>
        <w:lang w:val="en-AU" w:eastAsia="en-US" w:bidi="ar-SA"/>
      </w:rPr>
    </w:lvl>
    <w:lvl w:ilvl="4" w:tplc="AB72CBF2">
      <w:numFmt w:val="bullet"/>
      <w:lvlText w:val="•"/>
      <w:lvlJc w:val="left"/>
      <w:pPr>
        <w:ind w:left="3880" w:hanging="401"/>
      </w:pPr>
      <w:rPr>
        <w:rFonts w:hint="default"/>
        <w:lang w:val="en-AU" w:eastAsia="en-US" w:bidi="ar-SA"/>
      </w:rPr>
    </w:lvl>
    <w:lvl w:ilvl="5" w:tplc="A1280884">
      <w:numFmt w:val="bullet"/>
      <w:lvlText w:val="•"/>
      <w:lvlJc w:val="left"/>
      <w:pPr>
        <w:ind w:left="4327" w:hanging="401"/>
      </w:pPr>
      <w:rPr>
        <w:rFonts w:hint="default"/>
        <w:lang w:val="en-AU" w:eastAsia="en-US" w:bidi="ar-SA"/>
      </w:rPr>
    </w:lvl>
    <w:lvl w:ilvl="6" w:tplc="0DA00A1E">
      <w:numFmt w:val="bullet"/>
      <w:lvlText w:val="•"/>
      <w:lvlJc w:val="left"/>
      <w:pPr>
        <w:ind w:left="4774" w:hanging="401"/>
      </w:pPr>
      <w:rPr>
        <w:rFonts w:hint="default"/>
        <w:lang w:val="en-AU" w:eastAsia="en-US" w:bidi="ar-SA"/>
      </w:rPr>
    </w:lvl>
    <w:lvl w:ilvl="7" w:tplc="96CC91F4">
      <w:numFmt w:val="bullet"/>
      <w:lvlText w:val="•"/>
      <w:lvlJc w:val="left"/>
      <w:pPr>
        <w:ind w:left="5221" w:hanging="401"/>
      </w:pPr>
      <w:rPr>
        <w:rFonts w:hint="default"/>
        <w:lang w:val="en-AU" w:eastAsia="en-US" w:bidi="ar-SA"/>
      </w:rPr>
    </w:lvl>
    <w:lvl w:ilvl="8" w:tplc="D7F0D500">
      <w:numFmt w:val="bullet"/>
      <w:lvlText w:val="•"/>
      <w:lvlJc w:val="left"/>
      <w:pPr>
        <w:ind w:left="5668" w:hanging="401"/>
      </w:pPr>
      <w:rPr>
        <w:rFonts w:hint="default"/>
        <w:lang w:val="en-AU" w:eastAsia="en-US" w:bidi="ar-SA"/>
      </w:rPr>
    </w:lvl>
  </w:abstractNum>
  <w:abstractNum w:abstractNumId="22"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abstractNum w:abstractNumId="23"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24" w15:restartNumberingAfterBreak="0">
    <w:nsid w:val="7638104B"/>
    <w:multiLevelType w:val="hybridMultilevel"/>
    <w:tmpl w:val="7932CE24"/>
    <w:lvl w:ilvl="0" w:tplc="FA287686">
      <w:numFmt w:val="bullet"/>
      <w:lvlText w:val="•"/>
      <w:lvlJc w:val="left"/>
      <w:pPr>
        <w:ind w:left="415" w:hanging="272"/>
      </w:pPr>
      <w:rPr>
        <w:rFonts w:ascii="Arial" w:eastAsia="Arial" w:hAnsi="Arial" w:cs="Arial" w:hint="default"/>
        <w:color w:val="1F1546"/>
        <w:w w:val="100"/>
        <w:sz w:val="18"/>
        <w:szCs w:val="18"/>
        <w:lang w:val="en-AU" w:eastAsia="en-US" w:bidi="ar-SA"/>
      </w:rPr>
    </w:lvl>
    <w:lvl w:ilvl="1" w:tplc="73305D44">
      <w:numFmt w:val="bullet"/>
      <w:lvlText w:val="•"/>
      <w:lvlJc w:val="left"/>
      <w:pPr>
        <w:ind w:left="1219" w:hanging="272"/>
      </w:pPr>
      <w:rPr>
        <w:rFonts w:hint="default"/>
        <w:lang w:val="en-AU" w:eastAsia="en-US" w:bidi="ar-SA"/>
      </w:rPr>
    </w:lvl>
    <w:lvl w:ilvl="2" w:tplc="6424593C">
      <w:numFmt w:val="bullet"/>
      <w:lvlText w:val="•"/>
      <w:lvlJc w:val="left"/>
      <w:pPr>
        <w:ind w:left="2019" w:hanging="272"/>
      </w:pPr>
      <w:rPr>
        <w:rFonts w:hint="default"/>
        <w:lang w:val="en-AU" w:eastAsia="en-US" w:bidi="ar-SA"/>
      </w:rPr>
    </w:lvl>
    <w:lvl w:ilvl="3" w:tplc="D840AA54">
      <w:numFmt w:val="bullet"/>
      <w:lvlText w:val="•"/>
      <w:lvlJc w:val="left"/>
      <w:pPr>
        <w:ind w:left="2819" w:hanging="272"/>
      </w:pPr>
      <w:rPr>
        <w:rFonts w:hint="default"/>
        <w:lang w:val="en-AU" w:eastAsia="en-US" w:bidi="ar-SA"/>
      </w:rPr>
    </w:lvl>
    <w:lvl w:ilvl="4" w:tplc="FA8A1B96">
      <w:numFmt w:val="bullet"/>
      <w:lvlText w:val="•"/>
      <w:lvlJc w:val="left"/>
      <w:pPr>
        <w:ind w:left="3619" w:hanging="272"/>
      </w:pPr>
      <w:rPr>
        <w:rFonts w:hint="default"/>
        <w:lang w:val="en-AU" w:eastAsia="en-US" w:bidi="ar-SA"/>
      </w:rPr>
    </w:lvl>
    <w:lvl w:ilvl="5" w:tplc="C736D554">
      <w:numFmt w:val="bullet"/>
      <w:lvlText w:val="•"/>
      <w:lvlJc w:val="left"/>
      <w:pPr>
        <w:ind w:left="4419" w:hanging="272"/>
      </w:pPr>
      <w:rPr>
        <w:rFonts w:hint="default"/>
        <w:lang w:val="en-AU" w:eastAsia="en-US" w:bidi="ar-SA"/>
      </w:rPr>
    </w:lvl>
    <w:lvl w:ilvl="6" w:tplc="7E30860A">
      <w:numFmt w:val="bullet"/>
      <w:lvlText w:val="•"/>
      <w:lvlJc w:val="left"/>
      <w:pPr>
        <w:ind w:left="5219" w:hanging="272"/>
      </w:pPr>
      <w:rPr>
        <w:rFonts w:hint="default"/>
        <w:lang w:val="en-AU" w:eastAsia="en-US" w:bidi="ar-SA"/>
      </w:rPr>
    </w:lvl>
    <w:lvl w:ilvl="7" w:tplc="BE6EFB00">
      <w:numFmt w:val="bullet"/>
      <w:lvlText w:val="•"/>
      <w:lvlJc w:val="left"/>
      <w:pPr>
        <w:ind w:left="6019" w:hanging="272"/>
      </w:pPr>
      <w:rPr>
        <w:rFonts w:hint="default"/>
        <w:lang w:val="en-AU" w:eastAsia="en-US" w:bidi="ar-SA"/>
      </w:rPr>
    </w:lvl>
    <w:lvl w:ilvl="8" w:tplc="DA4420EA">
      <w:numFmt w:val="bullet"/>
      <w:lvlText w:val="•"/>
      <w:lvlJc w:val="left"/>
      <w:pPr>
        <w:ind w:left="6819" w:hanging="272"/>
      </w:pPr>
      <w:rPr>
        <w:rFonts w:hint="default"/>
        <w:lang w:val="en-AU" w:eastAsia="en-US" w:bidi="ar-SA"/>
      </w:rPr>
    </w:lvl>
  </w:abstractNum>
  <w:abstractNum w:abstractNumId="25" w15:restartNumberingAfterBreak="0">
    <w:nsid w:val="78E82DD5"/>
    <w:multiLevelType w:val="hybridMultilevel"/>
    <w:tmpl w:val="024EE43E"/>
    <w:lvl w:ilvl="0" w:tplc="CD0E441C">
      <w:numFmt w:val="bullet"/>
      <w:lvlText w:val="•"/>
      <w:lvlJc w:val="left"/>
      <w:pPr>
        <w:ind w:left="2920" w:hanging="272"/>
      </w:pPr>
      <w:rPr>
        <w:rFonts w:ascii="Arial" w:eastAsia="Arial" w:hAnsi="Arial" w:cs="Arial" w:hint="default"/>
        <w:color w:val="FFFFFF"/>
        <w:w w:val="100"/>
        <w:sz w:val="18"/>
        <w:szCs w:val="18"/>
        <w:lang w:val="en-AU" w:eastAsia="en-US" w:bidi="ar-SA"/>
      </w:rPr>
    </w:lvl>
    <w:lvl w:ilvl="1" w:tplc="3B2A4AE6">
      <w:numFmt w:val="bullet"/>
      <w:lvlText w:val="•"/>
      <w:lvlJc w:val="left"/>
      <w:pPr>
        <w:ind w:left="3768" w:hanging="272"/>
      </w:pPr>
      <w:rPr>
        <w:rFonts w:hint="default"/>
        <w:lang w:val="en-AU" w:eastAsia="en-US" w:bidi="ar-SA"/>
      </w:rPr>
    </w:lvl>
    <w:lvl w:ilvl="2" w:tplc="BEE05306">
      <w:numFmt w:val="bullet"/>
      <w:lvlText w:val="•"/>
      <w:lvlJc w:val="left"/>
      <w:pPr>
        <w:ind w:left="4616" w:hanging="272"/>
      </w:pPr>
      <w:rPr>
        <w:rFonts w:hint="default"/>
        <w:lang w:val="en-AU" w:eastAsia="en-US" w:bidi="ar-SA"/>
      </w:rPr>
    </w:lvl>
    <w:lvl w:ilvl="3" w:tplc="953476D6">
      <w:numFmt w:val="bullet"/>
      <w:lvlText w:val="•"/>
      <w:lvlJc w:val="left"/>
      <w:pPr>
        <w:ind w:left="5465" w:hanging="272"/>
      </w:pPr>
      <w:rPr>
        <w:rFonts w:hint="default"/>
        <w:lang w:val="en-AU" w:eastAsia="en-US" w:bidi="ar-SA"/>
      </w:rPr>
    </w:lvl>
    <w:lvl w:ilvl="4" w:tplc="75CECFD8">
      <w:numFmt w:val="bullet"/>
      <w:lvlText w:val="•"/>
      <w:lvlJc w:val="left"/>
      <w:pPr>
        <w:ind w:left="6313" w:hanging="272"/>
      </w:pPr>
      <w:rPr>
        <w:rFonts w:hint="default"/>
        <w:lang w:val="en-AU" w:eastAsia="en-US" w:bidi="ar-SA"/>
      </w:rPr>
    </w:lvl>
    <w:lvl w:ilvl="5" w:tplc="44166E70">
      <w:numFmt w:val="bullet"/>
      <w:lvlText w:val="•"/>
      <w:lvlJc w:val="left"/>
      <w:pPr>
        <w:ind w:left="7162" w:hanging="272"/>
      </w:pPr>
      <w:rPr>
        <w:rFonts w:hint="default"/>
        <w:lang w:val="en-AU" w:eastAsia="en-US" w:bidi="ar-SA"/>
      </w:rPr>
    </w:lvl>
    <w:lvl w:ilvl="6" w:tplc="45E00B26">
      <w:numFmt w:val="bullet"/>
      <w:lvlText w:val="•"/>
      <w:lvlJc w:val="left"/>
      <w:pPr>
        <w:ind w:left="8010" w:hanging="272"/>
      </w:pPr>
      <w:rPr>
        <w:rFonts w:hint="default"/>
        <w:lang w:val="en-AU" w:eastAsia="en-US" w:bidi="ar-SA"/>
      </w:rPr>
    </w:lvl>
    <w:lvl w:ilvl="7" w:tplc="1FDE0C72">
      <w:numFmt w:val="bullet"/>
      <w:lvlText w:val="•"/>
      <w:lvlJc w:val="left"/>
      <w:pPr>
        <w:ind w:left="8858" w:hanging="272"/>
      </w:pPr>
      <w:rPr>
        <w:rFonts w:hint="default"/>
        <w:lang w:val="en-AU" w:eastAsia="en-US" w:bidi="ar-SA"/>
      </w:rPr>
    </w:lvl>
    <w:lvl w:ilvl="8" w:tplc="DFF2FB04">
      <w:numFmt w:val="bullet"/>
      <w:lvlText w:val="•"/>
      <w:lvlJc w:val="left"/>
      <w:pPr>
        <w:ind w:left="9707" w:hanging="272"/>
      </w:pPr>
      <w:rPr>
        <w:rFonts w:hint="default"/>
        <w:lang w:val="en-AU" w:eastAsia="en-US" w:bidi="ar-SA"/>
      </w:rPr>
    </w:lvl>
  </w:abstractNum>
  <w:abstractNum w:abstractNumId="26" w15:restartNumberingAfterBreak="0">
    <w:nsid w:val="7B37343A"/>
    <w:multiLevelType w:val="hybridMultilevel"/>
    <w:tmpl w:val="B0C039D2"/>
    <w:lvl w:ilvl="0" w:tplc="87FE9CA4">
      <w:numFmt w:val="bullet"/>
      <w:lvlText w:val="•"/>
      <w:lvlJc w:val="left"/>
      <w:pPr>
        <w:ind w:left="415" w:hanging="272"/>
      </w:pPr>
      <w:rPr>
        <w:rFonts w:ascii="Arial" w:eastAsia="Arial" w:hAnsi="Arial" w:cs="Arial" w:hint="default"/>
        <w:color w:val="1F1546"/>
        <w:w w:val="100"/>
        <w:sz w:val="18"/>
        <w:szCs w:val="18"/>
        <w:lang w:val="en-AU" w:eastAsia="en-US" w:bidi="ar-SA"/>
      </w:rPr>
    </w:lvl>
    <w:lvl w:ilvl="1" w:tplc="DFAA1B8E">
      <w:numFmt w:val="bullet"/>
      <w:lvlText w:val="•"/>
      <w:lvlJc w:val="left"/>
      <w:pPr>
        <w:ind w:left="1219" w:hanging="272"/>
      </w:pPr>
      <w:rPr>
        <w:rFonts w:hint="default"/>
        <w:lang w:val="en-AU" w:eastAsia="en-US" w:bidi="ar-SA"/>
      </w:rPr>
    </w:lvl>
    <w:lvl w:ilvl="2" w:tplc="9220611E">
      <w:numFmt w:val="bullet"/>
      <w:lvlText w:val="•"/>
      <w:lvlJc w:val="left"/>
      <w:pPr>
        <w:ind w:left="2019" w:hanging="272"/>
      </w:pPr>
      <w:rPr>
        <w:rFonts w:hint="default"/>
        <w:lang w:val="en-AU" w:eastAsia="en-US" w:bidi="ar-SA"/>
      </w:rPr>
    </w:lvl>
    <w:lvl w:ilvl="3" w:tplc="42365F16">
      <w:numFmt w:val="bullet"/>
      <w:lvlText w:val="•"/>
      <w:lvlJc w:val="left"/>
      <w:pPr>
        <w:ind w:left="2819" w:hanging="272"/>
      </w:pPr>
      <w:rPr>
        <w:rFonts w:hint="default"/>
        <w:lang w:val="en-AU" w:eastAsia="en-US" w:bidi="ar-SA"/>
      </w:rPr>
    </w:lvl>
    <w:lvl w:ilvl="4" w:tplc="55201B26">
      <w:numFmt w:val="bullet"/>
      <w:lvlText w:val="•"/>
      <w:lvlJc w:val="left"/>
      <w:pPr>
        <w:ind w:left="3619" w:hanging="272"/>
      </w:pPr>
      <w:rPr>
        <w:rFonts w:hint="default"/>
        <w:lang w:val="en-AU" w:eastAsia="en-US" w:bidi="ar-SA"/>
      </w:rPr>
    </w:lvl>
    <w:lvl w:ilvl="5" w:tplc="F04061D2">
      <w:numFmt w:val="bullet"/>
      <w:lvlText w:val="•"/>
      <w:lvlJc w:val="left"/>
      <w:pPr>
        <w:ind w:left="4419" w:hanging="272"/>
      </w:pPr>
      <w:rPr>
        <w:rFonts w:hint="default"/>
        <w:lang w:val="en-AU" w:eastAsia="en-US" w:bidi="ar-SA"/>
      </w:rPr>
    </w:lvl>
    <w:lvl w:ilvl="6" w:tplc="288AAA90">
      <w:numFmt w:val="bullet"/>
      <w:lvlText w:val="•"/>
      <w:lvlJc w:val="left"/>
      <w:pPr>
        <w:ind w:left="5219" w:hanging="272"/>
      </w:pPr>
      <w:rPr>
        <w:rFonts w:hint="default"/>
        <w:lang w:val="en-AU" w:eastAsia="en-US" w:bidi="ar-SA"/>
      </w:rPr>
    </w:lvl>
    <w:lvl w:ilvl="7" w:tplc="CD421C48">
      <w:numFmt w:val="bullet"/>
      <w:lvlText w:val="•"/>
      <w:lvlJc w:val="left"/>
      <w:pPr>
        <w:ind w:left="6019" w:hanging="272"/>
      </w:pPr>
      <w:rPr>
        <w:rFonts w:hint="default"/>
        <w:lang w:val="en-AU" w:eastAsia="en-US" w:bidi="ar-SA"/>
      </w:rPr>
    </w:lvl>
    <w:lvl w:ilvl="8" w:tplc="53C8AF6E">
      <w:numFmt w:val="bullet"/>
      <w:lvlText w:val="•"/>
      <w:lvlJc w:val="left"/>
      <w:pPr>
        <w:ind w:left="6819" w:hanging="272"/>
      </w:pPr>
      <w:rPr>
        <w:rFonts w:hint="default"/>
        <w:lang w:val="en-AU" w:eastAsia="en-US" w:bidi="ar-SA"/>
      </w:rPr>
    </w:lvl>
  </w:abstractNum>
  <w:abstractNum w:abstractNumId="27" w15:restartNumberingAfterBreak="0">
    <w:nsid w:val="7C0525B4"/>
    <w:multiLevelType w:val="hybridMultilevel"/>
    <w:tmpl w:val="2E643198"/>
    <w:lvl w:ilvl="0" w:tplc="E2BAB55A">
      <w:numFmt w:val="bullet"/>
      <w:lvlText w:val="□"/>
      <w:lvlJc w:val="left"/>
      <w:pPr>
        <w:ind w:left="2350" w:hanging="221"/>
      </w:pPr>
      <w:rPr>
        <w:rFonts w:ascii="Arial" w:eastAsia="Arial" w:hAnsi="Arial" w:cs="Arial" w:hint="default"/>
        <w:color w:val="52555A"/>
        <w:w w:val="100"/>
        <w:sz w:val="28"/>
        <w:szCs w:val="28"/>
        <w:lang w:val="en-AU" w:eastAsia="en-US" w:bidi="ar-SA"/>
      </w:rPr>
    </w:lvl>
    <w:lvl w:ilvl="1" w:tplc="DB12D088">
      <w:numFmt w:val="bullet"/>
      <w:lvlText w:val="•"/>
      <w:lvlJc w:val="left"/>
      <w:pPr>
        <w:ind w:left="3264" w:hanging="221"/>
      </w:pPr>
      <w:rPr>
        <w:rFonts w:hint="default"/>
        <w:lang w:val="en-AU" w:eastAsia="en-US" w:bidi="ar-SA"/>
      </w:rPr>
    </w:lvl>
    <w:lvl w:ilvl="2" w:tplc="821C07F6">
      <w:numFmt w:val="bullet"/>
      <w:lvlText w:val="•"/>
      <w:lvlJc w:val="left"/>
      <w:pPr>
        <w:ind w:left="4168" w:hanging="221"/>
      </w:pPr>
      <w:rPr>
        <w:rFonts w:hint="default"/>
        <w:lang w:val="en-AU" w:eastAsia="en-US" w:bidi="ar-SA"/>
      </w:rPr>
    </w:lvl>
    <w:lvl w:ilvl="3" w:tplc="E7EE1A98">
      <w:numFmt w:val="bullet"/>
      <w:lvlText w:val="•"/>
      <w:lvlJc w:val="left"/>
      <w:pPr>
        <w:ind w:left="5073" w:hanging="221"/>
      </w:pPr>
      <w:rPr>
        <w:rFonts w:hint="default"/>
        <w:lang w:val="en-AU" w:eastAsia="en-US" w:bidi="ar-SA"/>
      </w:rPr>
    </w:lvl>
    <w:lvl w:ilvl="4" w:tplc="BFF22A26">
      <w:numFmt w:val="bullet"/>
      <w:lvlText w:val="•"/>
      <w:lvlJc w:val="left"/>
      <w:pPr>
        <w:ind w:left="5977" w:hanging="221"/>
      </w:pPr>
      <w:rPr>
        <w:rFonts w:hint="default"/>
        <w:lang w:val="en-AU" w:eastAsia="en-US" w:bidi="ar-SA"/>
      </w:rPr>
    </w:lvl>
    <w:lvl w:ilvl="5" w:tplc="7EC01482">
      <w:numFmt w:val="bullet"/>
      <w:lvlText w:val="•"/>
      <w:lvlJc w:val="left"/>
      <w:pPr>
        <w:ind w:left="6882" w:hanging="221"/>
      </w:pPr>
      <w:rPr>
        <w:rFonts w:hint="default"/>
        <w:lang w:val="en-AU" w:eastAsia="en-US" w:bidi="ar-SA"/>
      </w:rPr>
    </w:lvl>
    <w:lvl w:ilvl="6" w:tplc="2A985334">
      <w:numFmt w:val="bullet"/>
      <w:lvlText w:val="•"/>
      <w:lvlJc w:val="left"/>
      <w:pPr>
        <w:ind w:left="7786" w:hanging="221"/>
      </w:pPr>
      <w:rPr>
        <w:rFonts w:hint="default"/>
        <w:lang w:val="en-AU" w:eastAsia="en-US" w:bidi="ar-SA"/>
      </w:rPr>
    </w:lvl>
    <w:lvl w:ilvl="7" w:tplc="41445160">
      <w:numFmt w:val="bullet"/>
      <w:lvlText w:val="•"/>
      <w:lvlJc w:val="left"/>
      <w:pPr>
        <w:ind w:left="8690" w:hanging="221"/>
      </w:pPr>
      <w:rPr>
        <w:rFonts w:hint="default"/>
        <w:lang w:val="en-AU" w:eastAsia="en-US" w:bidi="ar-SA"/>
      </w:rPr>
    </w:lvl>
    <w:lvl w:ilvl="8" w:tplc="54745AC2">
      <w:numFmt w:val="bullet"/>
      <w:lvlText w:val="•"/>
      <w:lvlJc w:val="left"/>
      <w:pPr>
        <w:ind w:left="9595" w:hanging="221"/>
      </w:pPr>
      <w:rPr>
        <w:rFonts w:hint="default"/>
        <w:lang w:val="en-AU" w:eastAsia="en-US" w:bidi="ar-SA"/>
      </w:rPr>
    </w:lvl>
  </w:abstractNum>
  <w:num w:numId="1" w16cid:durableId="560479051">
    <w:abstractNumId w:val="27"/>
  </w:num>
  <w:num w:numId="2" w16cid:durableId="2065060667">
    <w:abstractNumId w:val="4"/>
  </w:num>
  <w:num w:numId="3" w16cid:durableId="1029916386">
    <w:abstractNumId w:val="5"/>
  </w:num>
  <w:num w:numId="4" w16cid:durableId="989947887">
    <w:abstractNumId w:val="8"/>
  </w:num>
  <w:num w:numId="5" w16cid:durableId="332490383">
    <w:abstractNumId w:val="22"/>
  </w:num>
  <w:num w:numId="6" w16cid:durableId="1181702229">
    <w:abstractNumId w:val="15"/>
  </w:num>
  <w:num w:numId="7" w16cid:durableId="1062602946">
    <w:abstractNumId w:val="9"/>
  </w:num>
  <w:num w:numId="8" w16cid:durableId="831991996">
    <w:abstractNumId w:val="20"/>
  </w:num>
  <w:num w:numId="9" w16cid:durableId="343023180">
    <w:abstractNumId w:val="21"/>
  </w:num>
  <w:num w:numId="10" w16cid:durableId="184176035">
    <w:abstractNumId w:val="25"/>
  </w:num>
  <w:num w:numId="11" w16cid:durableId="624433695">
    <w:abstractNumId w:val="11"/>
  </w:num>
  <w:num w:numId="12" w16cid:durableId="607616862">
    <w:abstractNumId w:val="24"/>
  </w:num>
  <w:num w:numId="13" w16cid:durableId="900169141">
    <w:abstractNumId w:val="3"/>
  </w:num>
  <w:num w:numId="14" w16cid:durableId="581136131">
    <w:abstractNumId w:val="18"/>
  </w:num>
  <w:num w:numId="15" w16cid:durableId="1151749043">
    <w:abstractNumId w:val="17"/>
  </w:num>
  <w:num w:numId="16" w16cid:durableId="533081074">
    <w:abstractNumId w:val="26"/>
  </w:num>
  <w:num w:numId="17" w16cid:durableId="316349081">
    <w:abstractNumId w:val="16"/>
  </w:num>
  <w:num w:numId="18" w16cid:durableId="207423243">
    <w:abstractNumId w:val="12"/>
  </w:num>
  <w:num w:numId="19" w16cid:durableId="2005469274">
    <w:abstractNumId w:val="19"/>
  </w:num>
  <w:num w:numId="20" w16cid:durableId="1301695224">
    <w:abstractNumId w:val="14"/>
  </w:num>
  <w:num w:numId="21" w16cid:durableId="745810904">
    <w:abstractNumId w:val="19"/>
  </w:num>
  <w:num w:numId="22" w16cid:durableId="1448620734">
    <w:abstractNumId w:val="0"/>
  </w:num>
  <w:num w:numId="23" w16cid:durableId="430971698">
    <w:abstractNumId w:val="6"/>
  </w:num>
  <w:num w:numId="24" w16cid:durableId="651522127">
    <w:abstractNumId w:val="23"/>
  </w:num>
  <w:num w:numId="25" w16cid:durableId="114713144">
    <w:abstractNumId w:val="2"/>
  </w:num>
  <w:num w:numId="26" w16cid:durableId="830288746">
    <w:abstractNumId w:val="19"/>
  </w:num>
  <w:num w:numId="27" w16cid:durableId="1160268721">
    <w:abstractNumId w:val="14"/>
  </w:num>
  <w:num w:numId="28" w16cid:durableId="238517211">
    <w:abstractNumId w:val="19"/>
  </w:num>
  <w:num w:numId="29" w16cid:durableId="362942386">
    <w:abstractNumId w:val="0"/>
  </w:num>
  <w:num w:numId="30" w16cid:durableId="1025520956">
    <w:abstractNumId w:val="6"/>
  </w:num>
  <w:num w:numId="31" w16cid:durableId="516316270">
    <w:abstractNumId w:val="23"/>
  </w:num>
  <w:num w:numId="32" w16cid:durableId="2127770221">
    <w:abstractNumId w:val="2"/>
  </w:num>
  <w:num w:numId="33" w16cid:durableId="1651404836">
    <w:abstractNumId w:val="1"/>
  </w:num>
  <w:num w:numId="34" w16cid:durableId="760612250">
    <w:abstractNumId w:val="13"/>
  </w:num>
  <w:num w:numId="35" w16cid:durableId="1001007518">
    <w:abstractNumId w:val="7"/>
  </w:num>
  <w:num w:numId="36" w16cid:durableId="1137452886">
    <w:abstractNumId w:val="10"/>
  </w:num>
  <w:num w:numId="37" w16cid:durableId="246378312">
    <w:abstractNumId w:val="10"/>
    <w:lvlOverride w:ilvl="0">
      <w:startOverride w:val="1"/>
    </w:lvlOverride>
  </w:num>
  <w:num w:numId="38" w16cid:durableId="1117945290">
    <w:abstractNumId w:val="10"/>
    <w:lvlOverride w:ilvl="0">
      <w:startOverride w:val="1"/>
    </w:lvlOverride>
  </w:num>
  <w:num w:numId="39" w16cid:durableId="20890348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FB1"/>
    <w:rsid w:val="000036CE"/>
    <w:rsid w:val="000232DA"/>
    <w:rsid w:val="00051EDA"/>
    <w:rsid w:val="00062B44"/>
    <w:rsid w:val="00071C56"/>
    <w:rsid w:val="00090BE6"/>
    <w:rsid w:val="000B4580"/>
    <w:rsid w:val="000F1779"/>
    <w:rsid w:val="00182AFF"/>
    <w:rsid w:val="001A11BB"/>
    <w:rsid w:val="001E748E"/>
    <w:rsid w:val="00202352"/>
    <w:rsid w:val="00227918"/>
    <w:rsid w:val="0023243A"/>
    <w:rsid w:val="002F06A3"/>
    <w:rsid w:val="002F3FDB"/>
    <w:rsid w:val="002F6B6E"/>
    <w:rsid w:val="00315C29"/>
    <w:rsid w:val="0033478C"/>
    <w:rsid w:val="00356720"/>
    <w:rsid w:val="00386CD8"/>
    <w:rsid w:val="00390091"/>
    <w:rsid w:val="00393F51"/>
    <w:rsid w:val="003F61C9"/>
    <w:rsid w:val="00407972"/>
    <w:rsid w:val="00412789"/>
    <w:rsid w:val="00414221"/>
    <w:rsid w:val="0045759A"/>
    <w:rsid w:val="00480365"/>
    <w:rsid w:val="00481FB1"/>
    <w:rsid w:val="00487B99"/>
    <w:rsid w:val="00492616"/>
    <w:rsid w:val="004C6764"/>
    <w:rsid w:val="004D2C36"/>
    <w:rsid w:val="004F1505"/>
    <w:rsid w:val="00525365"/>
    <w:rsid w:val="00544DD4"/>
    <w:rsid w:val="005453BA"/>
    <w:rsid w:val="00550D4E"/>
    <w:rsid w:val="00555B5C"/>
    <w:rsid w:val="005A3F54"/>
    <w:rsid w:val="005D2CDB"/>
    <w:rsid w:val="005D3914"/>
    <w:rsid w:val="005E2B70"/>
    <w:rsid w:val="005E6B86"/>
    <w:rsid w:val="00632133"/>
    <w:rsid w:val="006606D7"/>
    <w:rsid w:val="006609EF"/>
    <w:rsid w:val="0066619C"/>
    <w:rsid w:val="006673BF"/>
    <w:rsid w:val="00670821"/>
    <w:rsid w:val="006A171D"/>
    <w:rsid w:val="006A7AF7"/>
    <w:rsid w:val="006B15A8"/>
    <w:rsid w:val="006C5471"/>
    <w:rsid w:val="00756BDA"/>
    <w:rsid w:val="007D3E7A"/>
    <w:rsid w:val="00855796"/>
    <w:rsid w:val="00857E3F"/>
    <w:rsid w:val="00872761"/>
    <w:rsid w:val="008A2018"/>
    <w:rsid w:val="008C1D43"/>
    <w:rsid w:val="008D6FA4"/>
    <w:rsid w:val="008E1845"/>
    <w:rsid w:val="00902FA3"/>
    <w:rsid w:val="0091273F"/>
    <w:rsid w:val="00940C96"/>
    <w:rsid w:val="009651CD"/>
    <w:rsid w:val="009D3991"/>
    <w:rsid w:val="009E3E19"/>
    <w:rsid w:val="009E5F90"/>
    <w:rsid w:val="009F1FE4"/>
    <w:rsid w:val="009F75C8"/>
    <w:rsid w:val="00A52064"/>
    <w:rsid w:val="00A70CAA"/>
    <w:rsid w:val="00A857B1"/>
    <w:rsid w:val="00AD293A"/>
    <w:rsid w:val="00B0117D"/>
    <w:rsid w:val="00B123DA"/>
    <w:rsid w:val="00B3203D"/>
    <w:rsid w:val="00B778C3"/>
    <w:rsid w:val="00B9676D"/>
    <w:rsid w:val="00BC56B9"/>
    <w:rsid w:val="00BC787E"/>
    <w:rsid w:val="00BD07C3"/>
    <w:rsid w:val="00BE4A03"/>
    <w:rsid w:val="00C65855"/>
    <w:rsid w:val="00C7160A"/>
    <w:rsid w:val="00C865B6"/>
    <w:rsid w:val="00C9364E"/>
    <w:rsid w:val="00C950A3"/>
    <w:rsid w:val="00CA6545"/>
    <w:rsid w:val="00CA7D02"/>
    <w:rsid w:val="00D316AF"/>
    <w:rsid w:val="00D45747"/>
    <w:rsid w:val="00D744C8"/>
    <w:rsid w:val="00D76A3A"/>
    <w:rsid w:val="00DA1615"/>
    <w:rsid w:val="00DA4B6F"/>
    <w:rsid w:val="00DB2CBC"/>
    <w:rsid w:val="00DB4CED"/>
    <w:rsid w:val="00DC06C4"/>
    <w:rsid w:val="00E057C7"/>
    <w:rsid w:val="00E168AC"/>
    <w:rsid w:val="00E20746"/>
    <w:rsid w:val="00E222F6"/>
    <w:rsid w:val="00E24E97"/>
    <w:rsid w:val="00E2595F"/>
    <w:rsid w:val="00E30EAC"/>
    <w:rsid w:val="00E60705"/>
    <w:rsid w:val="00EA3C03"/>
    <w:rsid w:val="00F25215"/>
    <w:rsid w:val="00F35939"/>
    <w:rsid w:val="00F5289F"/>
    <w:rsid w:val="00F70FEA"/>
    <w:rsid w:val="00FD1560"/>
    <w:rsid w:val="00FF3D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F7906"/>
  <w15:docId w15:val="{826FF1C1-9198-4A29-8D80-C9A0B178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779"/>
    <w:pPr>
      <w:widowControl/>
      <w:suppressAutoHyphens/>
      <w:autoSpaceDE/>
      <w:autoSpaceDN/>
      <w:spacing w:after="200"/>
    </w:pPr>
    <w:rPr>
      <w:rFonts w:ascii="Arial" w:eastAsiaTheme="minorEastAsia" w:hAnsi="Arial" w:cs="Arial"/>
      <w:sz w:val="24"/>
      <w:szCs w:val="24"/>
      <w:lang w:val="en-AU" w:eastAsia="en-AU"/>
    </w:rPr>
  </w:style>
  <w:style w:type="paragraph" w:styleId="Heading1">
    <w:name w:val="heading 1"/>
    <w:basedOn w:val="Normal"/>
    <w:next w:val="Normal"/>
    <w:link w:val="Heading1Char"/>
    <w:uiPriority w:val="9"/>
    <w:qFormat/>
    <w:rsid w:val="00481FB1"/>
    <w:pPr>
      <w:keepNext/>
      <w:keepLines/>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393F51"/>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393F51"/>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393F51"/>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393F51"/>
    <w:pPr>
      <w:numPr>
        <w:numId w:val="30"/>
      </w:numPr>
      <w:spacing w:before="240" w:after="60"/>
      <w:outlineLvl w:val="4"/>
    </w:pPr>
    <w:rPr>
      <w:rFonts w:cs="Times New Roman"/>
      <w:b/>
      <w:bCs/>
      <w:iCs/>
      <w:sz w:val="22"/>
      <w:szCs w:val="26"/>
    </w:rPr>
  </w:style>
  <w:style w:type="paragraph" w:styleId="Heading6">
    <w:name w:val="heading 6"/>
    <w:basedOn w:val="Normal"/>
    <w:next w:val="Normal"/>
    <w:link w:val="Heading6Char"/>
    <w:uiPriority w:val="9"/>
    <w:unhideWhenUsed/>
    <w:qFormat/>
    <w:rsid w:val="00393F51"/>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93F51"/>
    <w:pPr>
      <w:spacing w:after="120"/>
    </w:pPr>
  </w:style>
  <w:style w:type="paragraph" w:styleId="Title">
    <w:name w:val="Title"/>
    <w:basedOn w:val="Normal"/>
    <w:next w:val="Normal"/>
    <w:link w:val="TitleChar"/>
    <w:uiPriority w:val="10"/>
    <w:qFormat/>
    <w:rsid w:val="00D76A3A"/>
    <w:pPr>
      <w:pBdr>
        <w:bottom w:val="single" w:sz="8" w:space="4" w:color="4F81BD"/>
      </w:pBdr>
      <w:spacing w:after="300"/>
    </w:pPr>
    <w:rPr>
      <w:rFonts w:eastAsia="MS Gothic"/>
      <w:b/>
      <w:spacing w:val="5"/>
      <w:kern w:val="28"/>
      <w:sz w:val="52"/>
      <w:szCs w:val="52"/>
    </w:rPr>
  </w:style>
  <w:style w:type="paragraph" w:styleId="ListParagraph">
    <w:name w:val="List Paragraph"/>
    <w:aliases w:val="Report subheading"/>
    <w:basedOn w:val="Normal"/>
    <w:link w:val="ListParagraphChar"/>
    <w:uiPriority w:val="34"/>
    <w:qFormat/>
    <w:rsid w:val="00393F51"/>
    <w:pPr>
      <w:numPr>
        <w:numId w:val="31"/>
      </w:numPr>
      <w:tabs>
        <w:tab w:val="left" w:pos="2180"/>
        <w:tab w:val="left" w:pos="2181"/>
      </w:tabs>
      <w:spacing w:after="120"/>
    </w:pPr>
    <w:rPr>
      <w:rFonts w:eastAsia="Times New Roman"/>
      <w:color w:val="383834"/>
      <w:lang w:eastAsia="en-GB"/>
    </w:rPr>
  </w:style>
  <w:style w:type="paragraph" w:customStyle="1" w:styleId="TableParagraph">
    <w:name w:val="Table Paragraph"/>
    <w:basedOn w:val="Normal"/>
    <w:uiPriority w:val="1"/>
    <w:qFormat/>
    <w:rsid w:val="00393F51"/>
    <w:pPr>
      <w:spacing w:before="60" w:after="60" w:line="220" w:lineRule="atLeast"/>
    </w:pPr>
    <w:rPr>
      <w:rFonts w:eastAsia="Arial"/>
      <w:sz w:val="18"/>
      <w:szCs w:val="22"/>
      <w:lang w:eastAsia="en-GB"/>
    </w:rPr>
  </w:style>
  <w:style w:type="paragraph" w:styleId="Header">
    <w:name w:val="header"/>
    <w:basedOn w:val="Normal"/>
    <w:link w:val="HeaderChar"/>
    <w:uiPriority w:val="99"/>
    <w:unhideWhenUsed/>
    <w:rsid w:val="00393F51"/>
    <w:pPr>
      <w:tabs>
        <w:tab w:val="center" w:pos="4320"/>
        <w:tab w:val="right" w:pos="8640"/>
      </w:tabs>
    </w:pPr>
  </w:style>
  <w:style w:type="character" w:customStyle="1" w:styleId="HeaderChar">
    <w:name w:val="Header Char"/>
    <w:link w:val="Header"/>
    <w:uiPriority w:val="99"/>
    <w:rsid w:val="00393F51"/>
    <w:rPr>
      <w:rFonts w:ascii="Arial" w:eastAsia="MS Mincho" w:hAnsi="Arial" w:cs="Arial"/>
      <w:sz w:val="20"/>
      <w:szCs w:val="24"/>
      <w:lang w:val="en-AU"/>
    </w:rPr>
  </w:style>
  <w:style w:type="paragraph" w:styleId="Footer">
    <w:name w:val="footer"/>
    <w:basedOn w:val="Normal"/>
    <w:link w:val="FooterChar"/>
    <w:uiPriority w:val="99"/>
    <w:unhideWhenUsed/>
    <w:rsid w:val="00393F51"/>
    <w:pPr>
      <w:tabs>
        <w:tab w:val="center" w:pos="4320"/>
        <w:tab w:val="right" w:pos="9639"/>
      </w:tabs>
      <w:spacing w:after="0" w:line="200" w:lineRule="atLeast"/>
    </w:pPr>
    <w:rPr>
      <w:sz w:val="16"/>
    </w:rPr>
  </w:style>
  <w:style w:type="character" w:customStyle="1" w:styleId="FooterChar">
    <w:name w:val="Footer Char"/>
    <w:link w:val="Footer"/>
    <w:uiPriority w:val="99"/>
    <w:rsid w:val="00393F51"/>
    <w:rPr>
      <w:rFonts w:ascii="Arial" w:eastAsia="MS Mincho" w:hAnsi="Arial" w:cs="Arial"/>
      <w:sz w:val="16"/>
      <w:szCs w:val="24"/>
      <w:lang w:val="en-AU"/>
    </w:rPr>
  </w:style>
  <w:style w:type="paragraph" w:styleId="BalloonText">
    <w:name w:val="Balloon Text"/>
    <w:basedOn w:val="Normal"/>
    <w:link w:val="BalloonTextChar"/>
    <w:uiPriority w:val="99"/>
    <w:semiHidden/>
    <w:unhideWhenUsed/>
    <w:rsid w:val="00386CD8"/>
    <w:rPr>
      <w:rFonts w:ascii="Lucida Grande" w:hAnsi="Lucida Grande" w:cs="Lucida Grande"/>
      <w:sz w:val="18"/>
      <w:szCs w:val="18"/>
    </w:rPr>
  </w:style>
  <w:style w:type="character" w:customStyle="1" w:styleId="BalloonTextChar">
    <w:name w:val="Balloon Text Char"/>
    <w:link w:val="BalloonText"/>
    <w:uiPriority w:val="99"/>
    <w:semiHidden/>
    <w:rsid w:val="00386CD8"/>
    <w:rPr>
      <w:rFonts w:ascii="Lucida Grande" w:eastAsia="MS Mincho" w:hAnsi="Lucida Grande" w:cs="Lucida Grande"/>
      <w:sz w:val="18"/>
      <w:szCs w:val="18"/>
      <w:lang w:val="en-AU"/>
    </w:rPr>
  </w:style>
  <w:style w:type="paragraph" w:customStyle="1" w:styleId="BODY">
    <w:name w:val="BODY"/>
    <w:basedOn w:val="Normal"/>
    <w:uiPriority w:val="99"/>
    <w:rsid w:val="00386CD8"/>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character" w:customStyle="1" w:styleId="BodyTextChar">
    <w:name w:val="Body Text Char"/>
    <w:link w:val="BodyText"/>
    <w:uiPriority w:val="99"/>
    <w:rsid w:val="00393F51"/>
    <w:rPr>
      <w:rFonts w:ascii="Arial" w:eastAsia="MS Mincho" w:hAnsi="Arial" w:cs="Arial"/>
      <w:sz w:val="20"/>
      <w:szCs w:val="24"/>
      <w:lang w:val="en-AU"/>
    </w:rPr>
  </w:style>
  <w:style w:type="paragraph" w:styleId="BodyTextIndent">
    <w:name w:val="Body Text Indent"/>
    <w:basedOn w:val="Normal"/>
    <w:link w:val="BodyTextIndentChar"/>
    <w:uiPriority w:val="99"/>
    <w:semiHidden/>
    <w:unhideWhenUsed/>
    <w:rsid w:val="00393F51"/>
    <w:pPr>
      <w:spacing w:after="120"/>
      <w:ind w:left="283"/>
    </w:pPr>
  </w:style>
  <w:style w:type="character" w:customStyle="1" w:styleId="BodyTextIndentChar">
    <w:name w:val="Body Text Indent Char"/>
    <w:link w:val="BodyTextIndent"/>
    <w:uiPriority w:val="99"/>
    <w:semiHidden/>
    <w:rsid w:val="00393F51"/>
    <w:rPr>
      <w:rFonts w:ascii="Arial" w:eastAsia="MS Mincho" w:hAnsi="Arial" w:cs="Arial"/>
      <w:sz w:val="20"/>
      <w:szCs w:val="24"/>
      <w:lang w:val="en-AU"/>
    </w:rPr>
  </w:style>
  <w:style w:type="character" w:styleId="BookTitle">
    <w:name w:val="Book Title"/>
    <w:uiPriority w:val="33"/>
    <w:qFormat/>
    <w:rsid w:val="00393F51"/>
    <w:rPr>
      <w:rFonts w:ascii="Arial" w:hAnsi="Arial"/>
      <w:b/>
      <w:bCs/>
      <w:i/>
      <w:iCs/>
      <w:spacing w:val="5"/>
    </w:rPr>
  </w:style>
  <w:style w:type="paragraph" w:customStyle="1" w:styleId="Bullet">
    <w:name w:val="Bullet"/>
    <w:basedOn w:val="Normal"/>
    <w:qFormat/>
    <w:rsid w:val="00393F51"/>
    <w:pPr>
      <w:numPr>
        <w:numId w:val="28"/>
      </w:numPr>
      <w:spacing w:after="120"/>
    </w:pPr>
  </w:style>
  <w:style w:type="paragraph" w:customStyle="1" w:styleId="Bullet2">
    <w:name w:val="Bullet 2"/>
    <w:basedOn w:val="Bullet"/>
    <w:qFormat/>
    <w:rsid w:val="00393F51"/>
    <w:pPr>
      <w:numPr>
        <w:numId w:val="27"/>
      </w:numPr>
    </w:pPr>
  </w:style>
  <w:style w:type="paragraph" w:customStyle="1" w:styleId="Bulletlast">
    <w:name w:val="Bullet last"/>
    <w:basedOn w:val="Bullet"/>
    <w:qFormat/>
    <w:rsid w:val="00393F51"/>
    <w:pPr>
      <w:spacing w:after="200"/>
    </w:pPr>
  </w:style>
  <w:style w:type="paragraph" w:customStyle="1" w:styleId="Default">
    <w:name w:val="Default"/>
    <w:rsid w:val="00393F51"/>
    <w:pPr>
      <w:widowControl/>
      <w:adjustRightInd w:val="0"/>
    </w:pPr>
    <w:rPr>
      <w:rFonts w:ascii="Arial" w:hAnsi="Arial" w:cs="Arial"/>
      <w:color w:val="000000"/>
      <w:sz w:val="24"/>
      <w:szCs w:val="24"/>
      <w:lang w:val="en-AU"/>
    </w:rPr>
  </w:style>
  <w:style w:type="character" w:styleId="Emphasis">
    <w:name w:val="Emphasis"/>
    <w:uiPriority w:val="20"/>
    <w:qFormat/>
    <w:rsid w:val="00393F51"/>
    <w:rPr>
      <w:rFonts w:ascii="Arial" w:hAnsi="Arial"/>
      <w:i/>
      <w:iCs/>
    </w:rPr>
  </w:style>
  <w:style w:type="character" w:styleId="FollowedHyperlink">
    <w:name w:val="FollowedHyperlink"/>
    <w:uiPriority w:val="99"/>
    <w:semiHidden/>
    <w:unhideWhenUsed/>
    <w:rsid w:val="00393F51"/>
    <w:rPr>
      <w:color w:val="800080"/>
      <w:u w:val="single"/>
    </w:rPr>
  </w:style>
  <w:style w:type="character" w:styleId="FootnoteReference">
    <w:name w:val="footnote reference"/>
    <w:uiPriority w:val="99"/>
    <w:unhideWhenUsed/>
    <w:rsid w:val="00393F51"/>
    <w:rPr>
      <w:rFonts w:ascii="Arial" w:hAnsi="Arial"/>
      <w:vertAlign w:val="superscript"/>
    </w:rPr>
  </w:style>
  <w:style w:type="paragraph" w:styleId="FootnoteText">
    <w:name w:val="footnote text"/>
    <w:basedOn w:val="Normal"/>
    <w:link w:val="FootnoteTextChar"/>
    <w:uiPriority w:val="99"/>
    <w:unhideWhenUsed/>
    <w:rsid w:val="000F1779"/>
    <w:pPr>
      <w:spacing w:after="60"/>
    </w:pPr>
    <w:rPr>
      <w:sz w:val="16"/>
    </w:rPr>
  </w:style>
  <w:style w:type="character" w:customStyle="1" w:styleId="FootnoteTextChar">
    <w:name w:val="Footnote Text Char"/>
    <w:link w:val="FootnoteText"/>
    <w:uiPriority w:val="99"/>
    <w:rsid w:val="000F1779"/>
    <w:rPr>
      <w:rFonts w:ascii="Arial" w:eastAsiaTheme="minorEastAsia" w:hAnsi="Arial" w:cs="Arial"/>
      <w:spacing w:val="-4"/>
      <w:sz w:val="16"/>
      <w:szCs w:val="24"/>
      <w:lang w:val="en-AU" w:eastAsia="en-AU"/>
    </w:rPr>
  </w:style>
  <w:style w:type="character" w:customStyle="1" w:styleId="Heading1Char">
    <w:name w:val="Heading 1 Char"/>
    <w:link w:val="Heading1"/>
    <w:uiPriority w:val="9"/>
    <w:rsid w:val="00481FB1"/>
    <w:rPr>
      <w:rFonts w:ascii="Arial" w:eastAsia="MS Gothic" w:hAnsi="Arial" w:cs="Times New Roman"/>
      <w:b/>
      <w:bCs/>
      <w:spacing w:val="-4"/>
      <w:sz w:val="36"/>
      <w:szCs w:val="24"/>
      <w:lang w:val="en-AU" w:eastAsia="en-AU"/>
    </w:rPr>
  </w:style>
  <w:style w:type="character" w:customStyle="1" w:styleId="Heading2Char">
    <w:name w:val="Heading 2 Char"/>
    <w:link w:val="Heading2"/>
    <w:uiPriority w:val="9"/>
    <w:rsid w:val="00393F51"/>
    <w:rPr>
      <w:rFonts w:ascii="Arial" w:eastAsia="MS Gothic" w:hAnsi="Arial" w:cs="Times New Roman"/>
      <w:b/>
      <w:bCs/>
      <w:sz w:val="32"/>
      <w:szCs w:val="26"/>
      <w:lang w:val="en-AU"/>
    </w:rPr>
  </w:style>
  <w:style w:type="paragraph" w:customStyle="1" w:styleId="Heading2numbered">
    <w:name w:val="Heading 2 numbered"/>
    <w:basedOn w:val="Heading2"/>
    <w:qFormat/>
    <w:rsid w:val="00393F51"/>
    <w:pPr>
      <w:numPr>
        <w:numId w:val="29"/>
      </w:numPr>
    </w:pPr>
  </w:style>
  <w:style w:type="character" w:customStyle="1" w:styleId="Heading3Char">
    <w:name w:val="Heading 3 Char"/>
    <w:link w:val="Heading3"/>
    <w:uiPriority w:val="9"/>
    <w:rsid w:val="00393F51"/>
    <w:rPr>
      <w:rFonts w:ascii="Arial" w:eastAsia="MS Gothic" w:hAnsi="Arial" w:cs="Arial"/>
      <w:b/>
      <w:bCs/>
      <w:sz w:val="28"/>
      <w:szCs w:val="24"/>
      <w:lang w:val="en-AU"/>
    </w:rPr>
  </w:style>
  <w:style w:type="character" w:customStyle="1" w:styleId="Heading4Char">
    <w:name w:val="Heading 4 Char"/>
    <w:link w:val="Heading4"/>
    <w:uiPriority w:val="9"/>
    <w:rsid w:val="00393F51"/>
    <w:rPr>
      <w:rFonts w:ascii="Arial" w:eastAsia="MS Gothic" w:hAnsi="Arial" w:cs="Arial"/>
      <w:b/>
      <w:bCs/>
      <w:iCs/>
      <w:sz w:val="24"/>
      <w:szCs w:val="24"/>
      <w:lang w:val="en-AU"/>
    </w:rPr>
  </w:style>
  <w:style w:type="character" w:customStyle="1" w:styleId="Heading5Char">
    <w:name w:val="Heading 5 Char"/>
    <w:link w:val="Heading5"/>
    <w:uiPriority w:val="9"/>
    <w:rsid w:val="00393F51"/>
    <w:rPr>
      <w:rFonts w:ascii="Arial" w:eastAsia="MS Mincho" w:hAnsi="Arial" w:cs="Times New Roman"/>
      <w:b/>
      <w:bCs/>
      <w:iCs/>
      <w:szCs w:val="26"/>
      <w:lang w:val="en-AU"/>
    </w:rPr>
  </w:style>
  <w:style w:type="character" w:customStyle="1" w:styleId="Heading6Char">
    <w:name w:val="Heading 6 Char"/>
    <w:link w:val="Heading6"/>
    <w:uiPriority w:val="9"/>
    <w:rsid w:val="00393F51"/>
    <w:rPr>
      <w:rFonts w:ascii="Arial" w:eastAsia="Times New Roman" w:hAnsi="Arial" w:cs="Times New Roman"/>
      <w:b/>
      <w:bCs/>
      <w:sz w:val="18"/>
      <w:lang w:val="en-AU"/>
    </w:rPr>
  </w:style>
  <w:style w:type="character" w:styleId="Hyperlink">
    <w:name w:val="Hyperlink"/>
    <w:uiPriority w:val="99"/>
    <w:unhideWhenUsed/>
    <w:rsid w:val="00393F51"/>
    <w:rPr>
      <w:rFonts w:ascii="Arial" w:hAnsi="Arial"/>
      <w:color w:val="0000FF"/>
      <w:u w:val="single"/>
    </w:rPr>
  </w:style>
  <w:style w:type="character" w:styleId="IntenseEmphasis">
    <w:name w:val="Intense Emphasis"/>
    <w:uiPriority w:val="21"/>
    <w:qFormat/>
    <w:rsid w:val="00393F51"/>
    <w:rPr>
      <w:rFonts w:ascii="Arial" w:hAnsi="Arial"/>
      <w:i/>
      <w:iCs/>
      <w:color w:val="5B9BD5"/>
    </w:rPr>
  </w:style>
  <w:style w:type="character" w:styleId="IntenseReference">
    <w:name w:val="Intense Reference"/>
    <w:uiPriority w:val="32"/>
    <w:qFormat/>
    <w:rsid w:val="00393F51"/>
    <w:rPr>
      <w:rFonts w:ascii="Arial" w:hAnsi="Arial"/>
      <w:b/>
      <w:bCs/>
      <w:smallCaps/>
      <w:color w:val="5B9BD5"/>
      <w:spacing w:val="5"/>
    </w:rPr>
  </w:style>
  <w:style w:type="paragraph" w:styleId="NormalWeb">
    <w:name w:val="Normal (Web)"/>
    <w:basedOn w:val="Normal"/>
    <w:uiPriority w:val="99"/>
    <w:semiHidden/>
    <w:unhideWhenUsed/>
    <w:rsid w:val="00393F51"/>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393F51"/>
  </w:style>
  <w:style w:type="character" w:styleId="Strong">
    <w:name w:val="Strong"/>
    <w:uiPriority w:val="22"/>
    <w:qFormat/>
    <w:rsid w:val="00393F51"/>
    <w:rPr>
      <w:rFonts w:ascii="Arial" w:hAnsi="Arial"/>
      <w:b/>
      <w:bCs/>
    </w:rPr>
  </w:style>
  <w:style w:type="paragraph" w:styleId="Subtitle">
    <w:name w:val="Subtitle"/>
    <w:basedOn w:val="Normal"/>
    <w:next w:val="Normal"/>
    <w:link w:val="SubtitleChar"/>
    <w:uiPriority w:val="11"/>
    <w:qFormat/>
    <w:rsid w:val="00D76A3A"/>
    <w:pPr>
      <w:spacing w:after="240"/>
      <w:outlineLvl w:val="1"/>
    </w:pPr>
    <w:rPr>
      <w:rFonts w:eastAsia="Times New Roman" w:cs="Times New Roman"/>
      <w:sz w:val="28"/>
      <w:szCs w:val="36"/>
    </w:rPr>
  </w:style>
  <w:style w:type="character" w:customStyle="1" w:styleId="SubtitleChar">
    <w:name w:val="Subtitle Char"/>
    <w:link w:val="Subtitle"/>
    <w:uiPriority w:val="11"/>
    <w:rsid w:val="00D76A3A"/>
    <w:rPr>
      <w:rFonts w:ascii="Arial" w:eastAsia="Times New Roman" w:hAnsi="Arial" w:cs="Times New Roman"/>
      <w:sz w:val="28"/>
      <w:szCs w:val="36"/>
      <w:lang w:val="en-AU"/>
    </w:rPr>
  </w:style>
  <w:style w:type="character" w:styleId="SubtleEmphasis">
    <w:name w:val="Subtle Emphasis"/>
    <w:uiPriority w:val="19"/>
    <w:qFormat/>
    <w:rsid w:val="00393F51"/>
    <w:rPr>
      <w:rFonts w:ascii="Arial" w:hAnsi="Arial"/>
      <w:i/>
      <w:iCs/>
      <w:color w:val="404040"/>
    </w:rPr>
  </w:style>
  <w:style w:type="character" w:styleId="SubtleReference">
    <w:name w:val="Subtle Reference"/>
    <w:uiPriority w:val="31"/>
    <w:qFormat/>
    <w:rsid w:val="00393F51"/>
    <w:rPr>
      <w:rFonts w:ascii="Arial" w:hAnsi="Arial"/>
      <w:smallCaps/>
      <w:color w:val="5A5A5A"/>
    </w:rPr>
  </w:style>
  <w:style w:type="paragraph" w:customStyle="1" w:styleId="TableCopy">
    <w:name w:val="Table Copy"/>
    <w:basedOn w:val="Normal"/>
    <w:qFormat/>
    <w:rsid w:val="000F1779"/>
    <w:pPr>
      <w:spacing w:before="60" w:after="60"/>
    </w:pPr>
  </w:style>
  <w:style w:type="paragraph" w:customStyle="1" w:styleId="TableBullet">
    <w:name w:val="Table Bullet"/>
    <w:basedOn w:val="TableCopy"/>
    <w:qFormat/>
    <w:rsid w:val="00E30EAC"/>
    <w:pPr>
      <w:numPr>
        <w:numId w:val="32"/>
      </w:numPr>
      <w:spacing w:line="220" w:lineRule="atLeast"/>
    </w:pPr>
    <w:rPr>
      <w:szCs w:val="22"/>
    </w:rPr>
  </w:style>
  <w:style w:type="table" w:styleId="TableGrid">
    <w:name w:val="Table Grid"/>
    <w:basedOn w:val="TableNormal"/>
    <w:uiPriority w:val="39"/>
    <w:rsid w:val="00393F51"/>
    <w:pPr>
      <w:widowControl/>
      <w:autoSpaceDE/>
      <w:autoSpaceDN/>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393F51"/>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DC06C4"/>
    <w:pPr>
      <w:keepNext/>
      <w:spacing w:before="60" w:after="60" w:line="220" w:lineRule="atLeast"/>
    </w:pPr>
    <w:rPr>
      <w:b/>
      <w:lang w:eastAsia="en-GB"/>
    </w:rPr>
  </w:style>
  <w:style w:type="character" w:customStyle="1" w:styleId="TitleChar">
    <w:name w:val="Title Char"/>
    <w:link w:val="Title"/>
    <w:uiPriority w:val="10"/>
    <w:rsid w:val="00D76A3A"/>
    <w:rPr>
      <w:rFonts w:ascii="Arial" w:eastAsia="MS Gothic" w:hAnsi="Arial" w:cs="Arial"/>
      <w:b/>
      <w:spacing w:val="5"/>
      <w:kern w:val="28"/>
      <w:sz w:val="52"/>
      <w:szCs w:val="52"/>
      <w:lang w:val="en-AU"/>
    </w:rPr>
  </w:style>
  <w:style w:type="paragraph" w:styleId="TOC1">
    <w:name w:val="toc 1"/>
    <w:basedOn w:val="Normal"/>
    <w:next w:val="Normal"/>
    <w:autoRedefine/>
    <w:uiPriority w:val="39"/>
    <w:unhideWhenUsed/>
    <w:rsid w:val="00393F51"/>
    <w:pPr>
      <w:spacing w:before="120" w:after="0"/>
    </w:pPr>
    <w:rPr>
      <w:b/>
    </w:rPr>
  </w:style>
  <w:style w:type="paragraph" w:styleId="TOC2">
    <w:name w:val="toc 2"/>
    <w:basedOn w:val="Normal"/>
    <w:next w:val="Normal"/>
    <w:autoRedefine/>
    <w:uiPriority w:val="39"/>
    <w:unhideWhenUsed/>
    <w:rsid w:val="00393F51"/>
    <w:pPr>
      <w:spacing w:after="0"/>
      <w:ind w:left="200"/>
    </w:pPr>
    <w:rPr>
      <w:szCs w:val="22"/>
    </w:rPr>
  </w:style>
  <w:style w:type="paragraph" w:styleId="TOC4">
    <w:name w:val="toc 4"/>
    <w:basedOn w:val="Normal"/>
    <w:next w:val="Normal"/>
    <w:autoRedefine/>
    <w:uiPriority w:val="39"/>
    <w:semiHidden/>
    <w:unhideWhenUsed/>
    <w:rsid w:val="00393F51"/>
    <w:pPr>
      <w:spacing w:after="0"/>
      <w:ind w:left="600"/>
    </w:pPr>
    <w:rPr>
      <w:rFonts w:ascii="Cambria" w:hAnsi="Cambria"/>
      <w:szCs w:val="20"/>
    </w:rPr>
  </w:style>
  <w:style w:type="paragraph" w:styleId="TOC5">
    <w:name w:val="toc 5"/>
    <w:basedOn w:val="Normal"/>
    <w:next w:val="Normal"/>
    <w:autoRedefine/>
    <w:uiPriority w:val="39"/>
    <w:semiHidden/>
    <w:unhideWhenUsed/>
    <w:rsid w:val="00393F51"/>
    <w:pPr>
      <w:spacing w:after="0"/>
      <w:ind w:left="800"/>
    </w:pPr>
    <w:rPr>
      <w:rFonts w:ascii="Cambria" w:hAnsi="Cambria"/>
      <w:szCs w:val="20"/>
    </w:rPr>
  </w:style>
  <w:style w:type="paragraph" w:styleId="TOC6">
    <w:name w:val="toc 6"/>
    <w:basedOn w:val="Normal"/>
    <w:next w:val="Normal"/>
    <w:autoRedefine/>
    <w:uiPriority w:val="39"/>
    <w:semiHidden/>
    <w:unhideWhenUsed/>
    <w:rsid w:val="00393F51"/>
    <w:pPr>
      <w:spacing w:after="0"/>
      <w:ind w:left="1000"/>
    </w:pPr>
    <w:rPr>
      <w:rFonts w:ascii="Cambria" w:hAnsi="Cambria"/>
      <w:szCs w:val="20"/>
    </w:rPr>
  </w:style>
  <w:style w:type="paragraph" w:styleId="TOC7">
    <w:name w:val="toc 7"/>
    <w:basedOn w:val="Normal"/>
    <w:next w:val="Normal"/>
    <w:autoRedefine/>
    <w:uiPriority w:val="39"/>
    <w:semiHidden/>
    <w:unhideWhenUsed/>
    <w:rsid w:val="00393F51"/>
    <w:pPr>
      <w:spacing w:after="0"/>
      <w:ind w:left="1200"/>
    </w:pPr>
    <w:rPr>
      <w:rFonts w:ascii="Cambria" w:hAnsi="Cambria"/>
      <w:szCs w:val="20"/>
    </w:rPr>
  </w:style>
  <w:style w:type="paragraph" w:styleId="TOC8">
    <w:name w:val="toc 8"/>
    <w:basedOn w:val="Normal"/>
    <w:next w:val="Normal"/>
    <w:autoRedefine/>
    <w:uiPriority w:val="39"/>
    <w:semiHidden/>
    <w:unhideWhenUsed/>
    <w:rsid w:val="00393F51"/>
    <w:pPr>
      <w:spacing w:after="0"/>
      <w:ind w:left="1400"/>
    </w:pPr>
    <w:rPr>
      <w:rFonts w:ascii="Cambria" w:hAnsi="Cambria"/>
      <w:szCs w:val="20"/>
    </w:rPr>
  </w:style>
  <w:style w:type="paragraph" w:styleId="TOC9">
    <w:name w:val="toc 9"/>
    <w:basedOn w:val="Normal"/>
    <w:next w:val="Normal"/>
    <w:autoRedefine/>
    <w:uiPriority w:val="39"/>
    <w:semiHidden/>
    <w:unhideWhenUsed/>
    <w:rsid w:val="00393F51"/>
    <w:pPr>
      <w:spacing w:after="0"/>
      <w:ind w:left="1600"/>
    </w:pPr>
    <w:rPr>
      <w:rFonts w:ascii="Cambria" w:hAnsi="Cambria"/>
      <w:szCs w:val="20"/>
    </w:rPr>
  </w:style>
  <w:style w:type="paragraph" w:styleId="TOCHeading">
    <w:name w:val="TOC Heading"/>
    <w:basedOn w:val="Heading1"/>
    <w:next w:val="Normal"/>
    <w:uiPriority w:val="39"/>
    <w:unhideWhenUsed/>
    <w:qFormat/>
    <w:rsid w:val="00F35939"/>
    <w:pPr>
      <w:spacing w:after="0" w:line="360" w:lineRule="auto"/>
      <w:outlineLvl w:val="9"/>
    </w:pPr>
    <w:rPr>
      <w:sz w:val="28"/>
      <w:szCs w:val="28"/>
    </w:rPr>
  </w:style>
  <w:style w:type="character" w:styleId="UnresolvedMention">
    <w:name w:val="Unresolved Mention"/>
    <w:basedOn w:val="DefaultParagraphFont"/>
    <w:uiPriority w:val="99"/>
    <w:rsid w:val="00386CD8"/>
    <w:rPr>
      <w:color w:val="605E5C"/>
      <w:shd w:val="clear" w:color="auto" w:fill="E1DFDD"/>
    </w:rPr>
  </w:style>
  <w:style w:type="paragraph" w:customStyle="1" w:styleId="NoParagraphStyle">
    <w:name w:val="[No Paragraph Style]"/>
    <w:rsid w:val="00481FB1"/>
    <w:pPr>
      <w:adjustRightInd w:val="0"/>
      <w:spacing w:line="288" w:lineRule="auto"/>
      <w:textAlignment w:val="center"/>
    </w:pPr>
    <w:rPr>
      <w:rFonts w:ascii="Minion Pro" w:eastAsiaTheme="minorEastAsia" w:hAnsi="Minion Pro" w:cs="Minion Pro"/>
      <w:color w:val="000000"/>
      <w:spacing w:val="-4"/>
      <w:sz w:val="24"/>
      <w:szCs w:val="24"/>
      <w:lang w:eastAsia="en-AU"/>
    </w:rPr>
  </w:style>
  <w:style w:type="paragraph" w:customStyle="1" w:styleId="H1Headings">
    <w:name w:val="H1 (Headings)"/>
    <w:basedOn w:val="NoParagraphStyle"/>
    <w:uiPriority w:val="99"/>
    <w:rsid w:val="00481FB1"/>
    <w:pPr>
      <w:suppressAutoHyphens/>
      <w:spacing w:after="567" w:line="480" w:lineRule="atLeast"/>
    </w:pPr>
    <w:rPr>
      <w:rFonts w:ascii="VIC" w:hAnsi="VIC" w:cs="VIC"/>
      <w:b/>
      <w:bCs/>
      <w:color w:val="FF9E18"/>
      <w:sz w:val="44"/>
      <w:szCs w:val="44"/>
    </w:rPr>
  </w:style>
  <w:style w:type="paragraph" w:customStyle="1" w:styleId="AckH1Acknowledgement">
    <w:name w:val="Ack H1 (Acknowledgement)"/>
    <w:basedOn w:val="Normal"/>
    <w:uiPriority w:val="99"/>
    <w:rsid w:val="00481FB1"/>
    <w:pPr>
      <w:autoSpaceDE w:val="0"/>
      <w:autoSpaceDN w:val="0"/>
      <w:adjustRightInd w:val="0"/>
      <w:spacing w:after="567" w:line="480" w:lineRule="atLeast"/>
      <w:textAlignment w:val="center"/>
    </w:pPr>
    <w:rPr>
      <w:rFonts w:ascii="VIC" w:hAnsi="VIC" w:cs="VIC"/>
      <w:b/>
      <w:bCs/>
      <w:color w:val="FFFFFF"/>
      <w:sz w:val="44"/>
      <w:szCs w:val="44"/>
      <w:lang w:eastAsia="en-GB"/>
    </w:rPr>
  </w:style>
  <w:style w:type="paragraph" w:customStyle="1" w:styleId="BODYCOPYTEXT">
    <w:name w:val="BODY COPY (TEXT)"/>
    <w:basedOn w:val="Normal"/>
    <w:uiPriority w:val="99"/>
    <w:rsid w:val="00481FB1"/>
    <w:pPr>
      <w:autoSpaceDE w:val="0"/>
      <w:autoSpaceDN w:val="0"/>
      <w:adjustRightInd w:val="0"/>
      <w:spacing w:after="170" w:line="220" w:lineRule="atLeast"/>
      <w:textAlignment w:val="center"/>
    </w:pPr>
    <w:rPr>
      <w:rFonts w:ascii="VIC Light" w:hAnsi="VIC Light" w:cs="VIC Light"/>
      <w:color w:val="000000"/>
      <w:sz w:val="18"/>
      <w:szCs w:val="18"/>
      <w:lang w:eastAsia="en-GB"/>
    </w:rPr>
  </w:style>
  <w:style w:type="paragraph" w:customStyle="1" w:styleId="AcktextAcknowledgement">
    <w:name w:val="Ack text (Acknowledgement)"/>
    <w:basedOn w:val="Normal"/>
    <w:uiPriority w:val="99"/>
    <w:rsid w:val="00481FB1"/>
    <w:pPr>
      <w:autoSpaceDE w:val="0"/>
      <w:autoSpaceDN w:val="0"/>
      <w:adjustRightInd w:val="0"/>
      <w:spacing w:after="170" w:line="220" w:lineRule="atLeast"/>
      <w:textAlignment w:val="center"/>
    </w:pPr>
    <w:rPr>
      <w:rFonts w:ascii="VIC Light" w:hAnsi="VIC Light" w:cs="VIC Light"/>
      <w:color w:val="FFFFFF"/>
      <w:sz w:val="18"/>
      <w:szCs w:val="18"/>
      <w:lang w:eastAsia="en-GB"/>
    </w:rPr>
  </w:style>
  <w:style w:type="paragraph" w:customStyle="1" w:styleId="INTROTEXT">
    <w:name w:val="INTRO  (TEXT)"/>
    <w:basedOn w:val="Normal"/>
    <w:uiPriority w:val="99"/>
    <w:rsid w:val="00481FB1"/>
    <w:pPr>
      <w:autoSpaceDE w:val="0"/>
      <w:autoSpaceDN w:val="0"/>
      <w:adjustRightInd w:val="0"/>
      <w:spacing w:after="170" w:line="288" w:lineRule="auto"/>
      <w:textAlignment w:val="center"/>
    </w:pPr>
    <w:rPr>
      <w:rFonts w:ascii="VIC Light" w:hAnsi="VIC Light" w:cs="VIC Light"/>
      <w:color w:val="A21442"/>
      <w:lang w:eastAsia="en-GB"/>
    </w:rPr>
  </w:style>
  <w:style w:type="paragraph" w:customStyle="1" w:styleId="BodyCopy1mmreturnTEXT">
    <w:name w:val="Body Copy 1mm return (TEXT)"/>
    <w:basedOn w:val="BODYCOPYTEXT"/>
    <w:uiPriority w:val="99"/>
    <w:rsid w:val="00481FB1"/>
    <w:pPr>
      <w:spacing w:after="57"/>
    </w:pPr>
  </w:style>
  <w:style w:type="paragraph" w:customStyle="1" w:styleId="NumberedbulletsL1Bullets">
    <w:name w:val="Numbered bullets L1 (Bullets)"/>
    <w:basedOn w:val="BODYCOPYTEXT"/>
    <w:uiPriority w:val="99"/>
    <w:rsid w:val="00481FB1"/>
    <w:pPr>
      <w:spacing w:after="57"/>
      <w:ind w:left="360" w:hanging="360"/>
    </w:pPr>
  </w:style>
  <w:style w:type="paragraph" w:customStyle="1" w:styleId="NumberedbulletsL1endBullets">
    <w:name w:val="Numbered bullets L1 end (Bullets)"/>
    <w:basedOn w:val="NumberedbulletsL1Bullets"/>
    <w:uiPriority w:val="99"/>
    <w:rsid w:val="00481FB1"/>
    <w:pPr>
      <w:spacing w:after="170"/>
    </w:pPr>
  </w:style>
  <w:style w:type="paragraph" w:customStyle="1" w:styleId="H3Headings">
    <w:name w:val="H3 (Headings)"/>
    <w:basedOn w:val="INTROTEXT"/>
    <w:uiPriority w:val="99"/>
    <w:rsid w:val="00481FB1"/>
    <w:pPr>
      <w:spacing w:before="170"/>
    </w:pPr>
    <w:rPr>
      <w:rFonts w:ascii="VIC" w:hAnsi="VIC" w:cs="VIC"/>
      <w:color w:val="FF9E18"/>
      <w:sz w:val="26"/>
      <w:szCs w:val="26"/>
    </w:rPr>
  </w:style>
  <w:style w:type="paragraph" w:customStyle="1" w:styleId="BulletL1Bullets">
    <w:name w:val="Bullet L1 (Bullets)"/>
    <w:basedOn w:val="BODYCOPYTEXT"/>
    <w:uiPriority w:val="99"/>
    <w:rsid w:val="00481FB1"/>
    <w:pPr>
      <w:spacing w:after="57"/>
      <w:ind w:left="340" w:hanging="340"/>
    </w:pPr>
  </w:style>
  <w:style w:type="paragraph" w:customStyle="1" w:styleId="BulletL1endBullets">
    <w:name w:val="Bullet L1 end (Bullets)"/>
    <w:basedOn w:val="BODYCOPYTEXT"/>
    <w:uiPriority w:val="99"/>
    <w:rsid w:val="00481FB1"/>
    <w:pPr>
      <w:ind w:left="340" w:hanging="340"/>
    </w:pPr>
  </w:style>
  <w:style w:type="paragraph" w:customStyle="1" w:styleId="H2Headings">
    <w:name w:val="H2 (Headings)"/>
    <w:basedOn w:val="INTROTEXT"/>
    <w:uiPriority w:val="99"/>
    <w:rsid w:val="00481FB1"/>
    <w:pPr>
      <w:spacing w:before="170"/>
    </w:pPr>
    <w:rPr>
      <w:rFonts w:ascii="VIC" w:hAnsi="VIC" w:cs="VIC"/>
      <w:b/>
      <w:bCs/>
      <w:color w:val="FF9E18"/>
      <w:sz w:val="28"/>
      <w:szCs w:val="28"/>
    </w:rPr>
  </w:style>
  <w:style w:type="paragraph" w:customStyle="1" w:styleId="H4Headings">
    <w:name w:val="H4 (Headings)"/>
    <w:basedOn w:val="BODYCOPYTEXT"/>
    <w:uiPriority w:val="99"/>
    <w:rsid w:val="00481FB1"/>
    <w:pPr>
      <w:spacing w:after="57" w:line="240" w:lineRule="atLeast"/>
    </w:pPr>
    <w:rPr>
      <w:rFonts w:ascii="VIC SemiBold" w:hAnsi="VIC SemiBold" w:cs="VIC SemiBold"/>
      <w:b/>
      <w:bCs/>
      <w:sz w:val="22"/>
      <w:szCs w:val="22"/>
    </w:rPr>
  </w:style>
  <w:style w:type="paragraph" w:customStyle="1" w:styleId="H2L2Headings">
    <w:name w:val="H2 L2 (Headings)"/>
    <w:basedOn w:val="H2Headings"/>
    <w:uiPriority w:val="99"/>
    <w:rsid w:val="00481FB1"/>
    <w:pPr>
      <w:tabs>
        <w:tab w:val="left" w:pos="680"/>
        <w:tab w:val="right" w:pos="4580"/>
      </w:tabs>
      <w:spacing w:after="113"/>
      <w:ind w:left="680" w:hanging="680"/>
    </w:pPr>
  </w:style>
  <w:style w:type="paragraph" w:customStyle="1" w:styleId="FigureInfographics">
    <w:name w:val="Figure (Infographics)"/>
    <w:basedOn w:val="INTROTEXT"/>
    <w:uiPriority w:val="99"/>
    <w:rsid w:val="00940C96"/>
    <w:pPr>
      <w:keepNext/>
      <w:spacing w:after="120" w:line="260" w:lineRule="atLeast"/>
    </w:pPr>
    <w:rPr>
      <w:rFonts w:ascii="Arial" w:hAnsi="Arial"/>
      <w:b/>
      <w:color w:val="auto"/>
    </w:rPr>
  </w:style>
  <w:style w:type="paragraph" w:customStyle="1" w:styleId="FootnotenoruleTEXT">
    <w:name w:val="Footnote no rule (TEXT)"/>
    <w:basedOn w:val="BODYCOPYTEXT"/>
    <w:uiPriority w:val="99"/>
    <w:rsid w:val="00481FB1"/>
    <w:pPr>
      <w:spacing w:before="28" w:after="0" w:line="288" w:lineRule="auto"/>
      <w:ind w:left="170" w:hanging="170"/>
    </w:pPr>
    <w:rPr>
      <w:sz w:val="12"/>
      <w:szCs w:val="12"/>
    </w:rPr>
  </w:style>
  <w:style w:type="paragraph" w:customStyle="1" w:styleId="NoteInfographics">
    <w:name w:val="Note (Infographics)"/>
    <w:basedOn w:val="FootnotenoruleTEXT"/>
    <w:uiPriority w:val="99"/>
    <w:rsid w:val="00481FB1"/>
    <w:pPr>
      <w:ind w:left="0" w:firstLine="0"/>
    </w:pPr>
    <w:rPr>
      <w:sz w:val="14"/>
      <w:szCs w:val="14"/>
    </w:rPr>
  </w:style>
  <w:style w:type="paragraph" w:customStyle="1" w:styleId="SourceitalicInfographics">
    <w:name w:val="Source italic (Infographics)"/>
    <w:basedOn w:val="NoteInfographics"/>
    <w:uiPriority w:val="99"/>
    <w:rsid w:val="00481FB1"/>
    <w:pPr>
      <w:spacing w:before="0"/>
    </w:pPr>
    <w:rPr>
      <w:rFonts w:ascii="VIC Light Italic" w:hAnsi="VIC Light Italic" w:cs="VIC Light Italic"/>
      <w:i/>
      <w:iCs/>
    </w:rPr>
  </w:style>
  <w:style w:type="paragraph" w:customStyle="1" w:styleId="9ptSemiboldTables">
    <w:name w:val="9pt Semibold (Tables)"/>
    <w:basedOn w:val="INTROTEXT"/>
    <w:uiPriority w:val="99"/>
    <w:rsid w:val="00481FB1"/>
    <w:pPr>
      <w:spacing w:line="220" w:lineRule="atLeast"/>
      <w:jc w:val="right"/>
    </w:pPr>
    <w:rPr>
      <w:rFonts w:ascii="VIC SemiBold" w:hAnsi="VIC SemiBold" w:cs="VIC SemiBold"/>
      <w:b/>
      <w:bCs/>
      <w:sz w:val="18"/>
      <w:szCs w:val="18"/>
    </w:rPr>
  </w:style>
  <w:style w:type="paragraph" w:customStyle="1" w:styleId="SemiboldInfographics">
    <w:name w:val="Semibold (Infographics)"/>
    <w:basedOn w:val="BODYCOPYTEXT"/>
    <w:uiPriority w:val="99"/>
    <w:rsid w:val="00481FB1"/>
    <w:pPr>
      <w:spacing w:before="113" w:after="0"/>
    </w:pPr>
    <w:rPr>
      <w:rFonts w:ascii="VIC SemiBold" w:eastAsia="Times New Roman" w:hAnsi="VIC SemiBold" w:cs="VIC SemiBold"/>
      <w:b/>
      <w:bCs/>
      <w:color w:val="E87200"/>
      <w:lang w:val="en-US" w:eastAsia="en-AU"/>
    </w:rPr>
  </w:style>
  <w:style w:type="paragraph" w:customStyle="1" w:styleId="16ptLightTables">
    <w:name w:val="16pt Light (Tables)"/>
    <w:basedOn w:val="INTROTEXT"/>
    <w:uiPriority w:val="99"/>
    <w:rsid w:val="00481FB1"/>
    <w:pPr>
      <w:spacing w:line="320" w:lineRule="atLeast"/>
      <w:jc w:val="right"/>
    </w:pPr>
    <w:rPr>
      <w:rFonts w:eastAsia="Times New Roman"/>
      <w:color w:val="E87200"/>
      <w:sz w:val="32"/>
      <w:szCs w:val="32"/>
      <w:lang w:val="en-US" w:eastAsia="en-AU"/>
    </w:rPr>
  </w:style>
  <w:style w:type="paragraph" w:customStyle="1" w:styleId="14ptLightTables">
    <w:name w:val="14pt Light (Tables)"/>
    <w:basedOn w:val="Normal"/>
    <w:uiPriority w:val="99"/>
    <w:rsid w:val="00481FB1"/>
    <w:pPr>
      <w:autoSpaceDE w:val="0"/>
      <w:autoSpaceDN w:val="0"/>
      <w:adjustRightInd w:val="0"/>
      <w:spacing w:after="170" w:line="320" w:lineRule="atLeast"/>
      <w:jc w:val="right"/>
      <w:textAlignment w:val="center"/>
    </w:pPr>
    <w:rPr>
      <w:rFonts w:ascii="VIC Light" w:eastAsia="Times New Roman" w:hAnsi="VIC Light" w:cs="VIC Light"/>
      <w:color w:val="E87200"/>
      <w:sz w:val="28"/>
      <w:szCs w:val="28"/>
      <w:lang w:val="en-US"/>
    </w:rPr>
  </w:style>
  <w:style w:type="character" w:customStyle="1" w:styleId="Bodysemibold">
    <w:name w:val="Body semibold"/>
    <w:uiPriority w:val="99"/>
    <w:rsid w:val="00481FB1"/>
    <w:rPr>
      <w:b/>
      <w:bCs/>
    </w:rPr>
  </w:style>
  <w:style w:type="character" w:customStyle="1" w:styleId="bodyitalics">
    <w:name w:val="body italics"/>
    <w:uiPriority w:val="99"/>
    <w:rsid w:val="00481FB1"/>
    <w:rPr>
      <w:i/>
      <w:iCs/>
    </w:rPr>
  </w:style>
  <w:style w:type="character" w:customStyle="1" w:styleId="H2L2baselineshift">
    <w:name w:val="H2 L2 baseline shift"/>
    <w:uiPriority w:val="99"/>
    <w:rsid w:val="00481FB1"/>
    <w:rPr>
      <w:position w:val="14"/>
    </w:rPr>
  </w:style>
  <w:style w:type="character" w:customStyle="1" w:styleId="Figurebold">
    <w:name w:val="Figure bold"/>
    <w:uiPriority w:val="99"/>
    <w:rsid w:val="00481FB1"/>
    <w:rPr>
      <w:b/>
      <w:bCs/>
      <w:color w:val="E87200"/>
    </w:rPr>
  </w:style>
  <w:style w:type="character" w:customStyle="1" w:styleId="Blue">
    <w:name w:val="Blue"/>
    <w:uiPriority w:val="99"/>
    <w:rsid w:val="00481FB1"/>
    <w:rPr>
      <w:rFonts w:ascii="VIC" w:hAnsi="VIC" w:cs="VIC"/>
      <w:b/>
      <w:bCs/>
      <w:color w:val="1EC0DA"/>
    </w:rPr>
  </w:style>
  <w:style w:type="character" w:styleId="CommentReference">
    <w:name w:val="annotation reference"/>
    <w:uiPriority w:val="99"/>
    <w:semiHidden/>
    <w:unhideWhenUsed/>
    <w:rsid w:val="00481FB1"/>
    <w:rPr>
      <w:sz w:val="16"/>
      <w:szCs w:val="16"/>
    </w:rPr>
  </w:style>
  <w:style w:type="paragraph" w:styleId="CommentText">
    <w:name w:val="annotation text"/>
    <w:basedOn w:val="Normal"/>
    <w:link w:val="CommentTextChar"/>
    <w:uiPriority w:val="99"/>
    <w:unhideWhenUsed/>
    <w:rsid w:val="00481FB1"/>
    <w:rPr>
      <w:szCs w:val="20"/>
    </w:rPr>
  </w:style>
  <w:style w:type="character" w:customStyle="1" w:styleId="CommentTextChar">
    <w:name w:val="Comment Text Char"/>
    <w:basedOn w:val="DefaultParagraphFont"/>
    <w:link w:val="CommentText"/>
    <w:uiPriority w:val="99"/>
    <w:rsid w:val="00481FB1"/>
    <w:rPr>
      <w:rFonts w:ascii="Arial" w:eastAsiaTheme="minorEastAsia" w:hAnsi="Arial" w:cs="Arial"/>
      <w:spacing w:val="-4"/>
      <w:sz w:val="24"/>
      <w:szCs w:val="20"/>
      <w:lang w:val="en-AU" w:eastAsia="en-AU"/>
    </w:rPr>
  </w:style>
  <w:style w:type="paragraph" w:customStyle="1" w:styleId="BasicParagraph">
    <w:name w:val="[Basic Paragraph]"/>
    <w:basedOn w:val="NoParagraphStyle"/>
    <w:uiPriority w:val="99"/>
    <w:rsid w:val="00481FB1"/>
    <w:pPr>
      <w:widowControl/>
    </w:pPr>
    <w:rPr>
      <w:rFonts w:ascii="VIC" w:hAnsi="VIC" w:cs="VIC"/>
    </w:rPr>
  </w:style>
  <w:style w:type="character" w:customStyle="1" w:styleId="bodybold">
    <w:name w:val="body bold"/>
    <w:uiPriority w:val="99"/>
    <w:rsid w:val="00481FB1"/>
    <w:rPr>
      <w:b/>
      <w:bCs/>
      <w:i/>
      <w:iCs/>
    </w:rPr>
  </w:style>
  <w:style w:type="character" w:customStyle="1" w:styleId="Bodymedium">
    <w:name w:val="Body medium"/>
    <w:uiPriority w:val="99"/>
    <w:rsid w:val="00481FB1"/>
    <w:rPr>
      <w:rFonts w:ascii="VIC Medium" w:hAnsi="VIC Medium" w:cs="VIC Medium"/>
    </w:rPr>
  </w:style>
  <w:style w:type="paragraph" w:styleId="CommentSubject">
    <w:name w:val="annotation subject"/>
    <w:basedOn w:val="CommentText"/>
    <w:next w:val="CommentText"/>
    <w:link w:val="CommentSubjectChar"/>
    <w:uiPriority w:val="99"/>
    <w:semiHidden/>
    <w:unhideWhenUsed/>
    <w:rsid w:val="00481FB1"/>
    <w:rPr>
      <w:b/>
      <w:bCs/>
    </w:rPr>
  </w:style>
  <w:style w:type="character" w:customStyle="1" w:styleId="CommentSubjectChar">
    <w:name w:val="Comment Subject Char"/>
    <w:basedOn w:val="CommentTextChar"/>
    <w:link w:val="CommentSubject"/>
    <w:uiPriority w:val="99"/>
    <w:semiHidden/>
    <w:rsid w:val="00481FB1"/>
    <w:rPr>
      <w:rFonts w:ascii="Arial" w:eastAsiaTheme="minorEastAsia" w:hAnsi="Arial" w:cs="Arial"/>
      <w:b/>
      <w:bCs/>
      <w:spacing w:val="-4"/>
      <w:sz w:val="24"/>
      <w:szCs w:val="20"/>
      <w:lang w:val="en-AU" w:eastAsia="en-AU"/>
    </w:rPr>
  </w:style>
  <w:style w:type="paragraph" w:customStyle="1" w:styleId="FootnoteTEXT0">
    <w:name w:val="Footnote (TEXT)"/>
    <w:basedOn w:val="INTROTEXT"/>
    <w:uiPriority w:val="99"/>
    <w:rsid w:val="00481FB1"/>
    <w:pPr>
      <w:pBdr>
        <w:top w:val="single" w:sz="2" w:space="11" w:color="auto"/>
      </w:pBdr>
      <w:tabs>
        <w:tab w:val="left" w:pos="160"/>
      </w:tabs>
      <w:spacing w:before="28" w:after="0"/>
      <w:ind w:left="170" w:hanging="170"/>
    </w:pPr>
    <w:rPr>
      <w:color w:val="000000"/>
      <w:sz w:val="12"/>
      <w:szCs w:val="12"/>
    </w:rPr>
  </w:style>
  <w:style w:type="character" w:customStyle="1" w:styleId="GridTable1Light1">
    <w:name w:val="Grid Table 1 Light1"/>
    <w:uiPriority w:val="33"/>
    <w:qFormat/>
    <w:rsid w:val="00481FB1"/>
    <w:rPr>
      <w:rFonts w:ascii="Arial" w:hAnsi="Arial"/>
      <w:b/>
      <w:bCs/>
      <w:i/>
      <w:iCs/>
      <w:spacing w:val="5"/>
    </w:rPr>
  </w:style>
  <w:style w:type="paragraph" w:customStyle="1" w:styleId="GridTable31">
    <w:name w:val="Grid Table 31"/>
    <w:basedOn w:val="Heading1"/>
    <w:next w:val="Normal"/>
    <w:uiPriority w:val="39"/>
    <w:unhideWhenUsed/>
    <w:qFormat/>
    <w:rsid w:val="00481FB1"/>
    <w:pPr>
      <w:spacing w:after="0" w:line="276" w:lineRule="auto"/>
      <w:outlineLvl w:val="9"/>
    </w:pPr>
    <w:rPr>
      <w:color w:val="365F91"/>
      <w:spacing w:val="-4"/>
      <w:sz w:val="28"/>
      <w:szCs w:val="28"/>
    </w:rPr>
  </w:style>
  <w:style w:type="character" w:customStyle="1" w:styleId="ListParagraphChar">
    <w:name w:val="List Paragraph Char"/>
    <w:aliases w:val="Report subheading Char"/>
    <w:link w:val="ListParagraph"/>
    <w:uiPriority w:val="34"/>
    <w:locked/>
    <w:rsid w:val="00481FB1"/>
    <w:rPr>
      <w:rFonts w:ascii="Arial" w:eastAsia="Times New Roman" w:hAnsi="Arial" w:cs="Arial"/>
      <w:color w:val="383834"/>
      <w:sz w:val="24"/>
      <w:szCs w:val="32"/>
      <w:lang w:val="en-AU" w:eastAsia="en-GB"/>
    </w:rPr>
  </w:style>
  <w:style w:type="character" w:styleId="Mention">
    <w:name w:val="Mention"/>
    <w:uiPriority w:val="99"/>
    <w:unhideWhenUsed/>
    <w:rsid w:val="00481FB1"/>
    <w:rPr>
      <w:color w:val="2B579A"/>
      <w:shd w:val="clear" w:color="auto" w:fill="E1DFDD"/>
    </w:rPr>
  </w:style>
  <w:style w:type="paragraph" w:styleId="NoSpacing">
    <w:name w:val="No Spacing"/>
    <w:uiPriority w:val="1"/>
    <w:qFormat/>
    <w:rsid w:val="00481FB1"/>
    <w:pPr>
      <w:widowControl/>
      <w:autoSpaceDE/>
      <w:autoSpaceDN/>
    </w:pPr>
    <w:rPr>
      <w:rFonts w:ascii="Arial" w:eastAsia="Calibri" w:hAnsi="Arial" w:cs="Arial"/>
      <w:spacing w:val="-4"/>
      <w:sz w:val="24"/>
      <w:szCs w:val="24"/>
    </w:rPr>
  </w:style>
  <w:style w:type="paragraph" w:customStyle="1" w:styleId="Numbered">
    <w:name w:val="Numbered"/>
    <w:basedOn w:val="Normal"/>
    <w:qFormat/>
    <w:rsid w:val="00481FB1"/>
    <w:pPr>
      <w:numPr>
        <w:numId w:val="36"/>
      </w:numPr>
    </w:pPr>
  </w:style>
  <w:style w:type="paragraph" w:customStyle="1" w:styleId="NumberedbulletsL2Bullets">
    <w:name w:val="Numbered bullets L2 (Bullets)"/>
    <w:basedOn w:val="BODYCOPYTEXT"/>
    <w:uiPriority w:val="99"/>
    <w:rsid w:val="00481FB1"/>
    <w:pPr>
      <w:spacing w:after="113"/>
      <w:ind w:left="567" w:hanging="227"/>
    </w:pPr>
  </w:style>
  <w:style w:type="character" w:customStyle="1" w:styleId="pink">
    <w:name w:val="pink"/>
    <w:uiPriority w:val="99"/>
    <w:rsid w:val="00481FB1"/>
    <w:rPr>
      <w:rFonts w:ascii="VIC" w:hAnsi="VIC" w:cs="VIC"/>
      <w:b/>
      <w:bCs/>
      <w:color w:val="FF9E18"/>
    </w:rPr>
  </w:style>
  <w:style w:type="character" w:customStyle="1" w:styleId="PlainTable31">
    <w:name w:val="Plain Table 31"/>
    <w:uiPriority w:val="19"/>
    <w:qFormat/>
    <w:rsid w:val="00481FB1"/>
    <w:rPr>
      <w:rFonts w:ascii="Arial" w:hAnsi="Arial"/>
      <w:i/>
      <w:iCs/>
      <w:color w:val="404040"/>
    </w:rPr>
  </w:style>
  <w:style w:type="character" w:customStyle="1" w:styleId="PlainTable41">
    <w:name w:val="Plain Table 41"/>
    <w:uiPriority w:val="21"/>
    <w:qFormat/>
    <w:rsid w:val="00481FB1"/>
    <w:rPr>
      <w:rFonts w:ascii="Arial" w:hAnsi="Arial"/>
      <w:i/>
      <w:iCs/>
      <w:color w:val="5B9BD5"/>
    </w:rPr>
  </w:style>
  <w:style w:type="character" w:customStyle="1" w:styleId="PlainTable51">
    <w:name w:val="Plain Table 51"/>
    <w:uiPriority w:val="31"/>
    <w:qFormat/>
    <w:rsid w:val="00481FB1"/>
    <w:rPr>
      <w:rFonts w:ascii="Arial" w:hAnsi="Arial"/>
      <w:smallCaps/>
      <w:color w:val="5A5A5A"/>
    </w:rPr>
  </w:style>
  <w:style w:type="paragraph" w:customStyle="1" w:styleId="Source">
    <w:name w:val="Source"/>
    <w:basedOn w:val="Normal"/>
    <w:qFormat/>
    <w:rsid w:val="00481FB1"/>
    <w:rPr>
      <w:sz w:val="20"/>
      <w:szCs w:val="20"/>
    </w:rPr>
  </w:style>
  <w:style w:type="character" w:customStyle="1" w:styleId="TableGridLight1">
    <w:name w:val="Table Grid Light1"/>
    <w:uiPriority w:val="32"/>
    <w:qFormat/>
    <w:rsid w:val="00481FB1"/>
    <w:rPr>
      <w:rFonts w:ascii="Arial" w:hAnsi="Arial"/>
      <w:b/>
      <w:bCs/>
      <w:smallCaps/>
      <w:color w:val="5B9BD5"/>
      <w:spacing w:val="5"/>
    </w:rPr>
  </w:style>
  <w:style w:type="paragraph" w:styleId="TOC3">
    <w:name w:val="toc 3"/>
    <w:basedOn w:val="Normal"/>
    <w:next w:val="Normal"/>
    <w:autoRedefine/>
    <w:uiPriority w:val="39"/>
    <w:unhideWhenUsed/>
    <w:rsid w:val="00481FB1"/>
    <w:pPr>
      <w:spacing w:after="0"/>
      <w:ind w:left="400"/>
    </w:pPr>
    <w:rPr>
      <w:rFonts w:ascii="Calibri" w:hAnsi="Calibri" w:cs="Calibri"/>
      <w:szCs w:val="20"/>
    </w:rPr>
  </w:style>
  <w:style w:type="paragraph" w:customStyle="1" w:styleId="Normalbeforebullet">
    <w:name w:val="Normal before bullet"/>
    <w:basedOn w:val="Normal"/>
    <w:qFormat/>
    <w:rsid w:val="00C9364E"/>
    <w:pPr>
      <w:keepNext/>
      <w:keepLines/>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390">
      <w:bodyDiv w:val="1"/>
      <w:marLeft w:val="0"/>
      <w:marRight w:val="0"/>
      <w:marTop w:val="0"/>
      <w:marBottom w:val="0"/>
      <w:divBdr>
        <w:top w:val="none" w:sz="0" w:space="0" w:color="auto"/>
        <w:left w:val="none" w:sz="0" w:space="0" w:color="auto"/>
        <w:bottom w:val="none" w:sz="0" w:space="0" w:color="auto"/>
        <w:right w:val="none" w:sz="0" w:space="0" w:color="auto"/>
      </w:divBdr>
    </w:div>
    <w:div w:id="285476151">
      <w:bodyDiv w:val="1"/>
      <w:marLeft w:val="0"/>
      <w:marRight w:val="0"/>
      <w:marTop w:val="0"/>
      <w:marBottom w:val="0"/>
      <w:divBdr>
        <w:top w:val="none" w:sz="0" w:space="0" w:color="auto"/>
        <w:left w:val="none" w:sz="0" w:space="0" w:color="auto"/>
        <w:bottom w:val="none" w:sz="0" w:space="0" w:color="auto"/>
        <w:right w:val="none" w:sz="0" w:space="0" w:color="auto"/>
      </w:divBdr>
    </w:div>
    <w:div w:id="311447489">
      <w:bodyDiv w:val="1"/>
      <w:marLeft w:val="0"/>
      <w:marRight w:val="0"/>
      <w:marTop w:val="0"/>
      <w:marBottom w:val="0"/>
      <w:divBdr>
        <w:top w:val="none" w:sz="0" w:space="0" w:color="auto"/>
        <w:left w:val="none" w:sz="0" w:space="0" w:color="auto"/>
        <w:bottom w:val="none" w:sz="0" w:space="0" w:color="auto"/>
        <w:right w:val="none" w:sz="0" w:space="0" w:color="auto"/>
      </w:divBdr>
    </w:div>
    <w:div w:id="792098071">
      <w:bodyDiv w:val="1"/>
      <w:marLeft w:val="0"/>
      <w:marRight w:val="0"/>
      <w:marTop w:val="0"/>
      <w:marBottom w:val="0"/>
      <w:divBdr>
        <w:top w:val="none" w:sz="0" w:space="0" w:color="auto"/>
        <w:left w:val="none" w:sz="0" w:space="0" w:color="auto"/>
        <w:bottom w:val="none" w:sz="0" w:space="0" w:color="auto"/>
        <w:right w:val="none" w:sz="0" w:space="0" w:color="auto"/>
      </w:divBdr>
    </w:div>
    <w:div w:id="1082797667">
      <w:bodyDiv w:val="1"/>
      <w:marLeft w:val="0"/>
      <w:marRight w:val="0"/>
      <w:marTop w:val="0"/>
      <w:marBottom w:val="0"/>
      <w:divBdr>
        <w:top w:val="none" w:sz="0" w:space="0" w:color="auto"/>
        <w:left w:val="none" w:sz="0" w:space="0" w:color="auto"/>
        <w:bottom w:val="none" w:sz="0" w:space="0" w:color="auto"/>
        <w:right w:val="none" w:sz="0" w:space="0" w:color="auto"/>
      </w:divBdr>
    </w:div>
    <w:div w:id="1178499149">
      <w:bodyDiv w:val="1"/>
      <w:marLeft w:val="0"/>
      <w:marRight w:val="0"/>
      <w:marTop w:val="0"/>
      <w:marBottom w:val="0"/>
      <w:divBdr>
        <w:top w:val="none" w:sz="0" w:space="0" w:color="auto"/>
        <w:left w:val="none" w:sz="0" w:space="0" w:color="auto"/>
        <w:bottom w:val="none" w:sz="0" w:space="0" w:color="auto"/>
        <w:right w:val="none" w:sz="0" w:space="0" w:color="auto"/>
      </w:divBdr>
    </w:div>
    <w:div w:id="1187451347">
      <w:bodyDiv w:val="1"/>
      <w:marLeft w:val="0"/>
      <w:marRight w:val="0"/>
      <w:marTop w:val="0"/>
      <w:marBottom w:val="0"/>
      <w:divBdr>
        <w:top w:val="none" w:sz="0" w:space="0" w:color="auto"/>
        <w:left w:val="none" w:sz="0" w:space="0" w:color="auto"/>
        <w:bottom w:val="none" w:sz="0" w:space="0" w:color="auto"/>
        <w:right w:val="none" w:sz="0" w:space="0" w:color="auto"/>
      </w:divBdr>
    </w:div>
    <w:div w:id="1243877765">
      <w:bodyDiv w:val="1"/>
      <w:marLeft w:val="0"/>
      <w:marRight w:val="0"/>
      <w:marTop w:val="0"/>
      <w:marBottom w:val="0"/>
      <w:divBdr>
        <w:top w:val="none" w:sz="0" w:space="0" w:color="auto"/>
        <w:left w:val="none" w:sz="0" w:space="0" w:color="auto"/>
        <w:bottom w:val="none" w:sz="0" w:space="0" w:color="auto"/>
        <w:right w:val="none" w:sz="0" w:space="0" w:color="auto"/>
      </w:divBdr>
    </w:div>
    <w:div w:id="1282223921">
      <w:bodyDiv w:val="1"/>
      <w:marLeft w:val="0"/>
      <w:marRight w:val="0"/>
      <w:marTop w:val="0"/>
      <w:marBottom w:val="0"/>
      <w:divBdr>
        <w:top w:val="none" w:sz="0" w:space="0" w:color="auto"/>
        <w:left w:val="none" w:sz="0" w:space="0" w:color="auto"/>
        <w:bottom w:val="none" w:sz="0" w:space="0" w:color="auto"/>
        <w:right w:val="none" w:sz="0" w:space="0" w:color="auto"/>
      </w:divBdr>
    </w:div>
    <w:div w:id="1405955773">
      <w:bodyDiv w:val="1"/>
      <w:marLeft w:val="0"/>
      <w:marRight w:val="0"/>
      <w:marTop w:val="0"/>
      <w:marBottom w:val="0"/>
      <w:divBdr>
        <w:top w:val="none" w:sz="0" w:space="0" w:color="auto"/>
        <w:left w:val="none" w:sz="0" w:space="0" w:color="auto"/>
        <w:bottom w:val="none" w:sz="0" w:space="0" w:color="auto"/>
        <w:right w:val="none" w:sz="0" w:space="0" w:color="auto"/>
      </w:divBdr>
    </w:div>
    <w:div w:id="1876579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nergy.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_Figure_1:_Map"/><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dustry.gov.au/sites/default/files/2019-11/australias-national-hydrogen-strateg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a's%20Envy\Desktop\DJ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B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4605c5f9d584382a57fb8476d85f713 xmlns="1970f3ff-c7c3-4b73-8f0c-0bc260d159f3">
      <Terms xmlns="http://schemas.microsoft.com/office/infopath/2007/PartnerControls"/>
    </b4605c5f9d584382a57fb8476d85f713>
    <p31afe295eb448f092f13ab8c2af2c33 xmlns="1970f3ff-c7c3-4b73-8f0c-0bc260d159f3">
      <Terms xmlns="http://schemas.microsoft.com/office/infopath/2007/PartnerControls"/>
    </p31afe295eb448f092f13ab8c2af2c33>
    <g46a9f61d38540a784cfecbd3da27bca xmlns="1970f3ff-c7c3-4b73-8f0c-0bc260d159f3">
      <Terms xmlns="http://schemas.microsoft.com/office/infopath/2007/PartnerControls"/>
    </g46a9f61d38540a784cfecbd3da27bca>
    <hcae176ec3a54dbeadeeec1b38baec58 xmlns="1970f3ff-c7c3-4b73-8f0c-0bc260d159f3">
      <Terms xmlns="http://schemas.microsoft.com/office/infopath/2007/PartnerControls"/>
    </hcae176ec3a54dbeadeeec1b38baec58>
    <lf5681727d5b4cc1a5c417fcf66e2a7b xmlns="1970f3ff-c7c3-4b73-8f0c-0bc260d159f3">
      <Terms xmlns="http://schemas.microsoft.com/office/infopath/2007/PartnerControls"/>
    </lf5681727d5b4cc1a5c417fcf66e2a7b>
    <lcf76f155ced4ddcb4097134ff3c332f xmlns="029c08ca-17ba-47d3-a4d3-5c72257ad7c4">
      <Terms xmlns="http://schemas.microsoft.com/office/infopath/2007/PartnerControls"/>
    </lcf76f155ced4ddcb4097134ff3c332f>
    <TaxCatchAll xmlns="620eb5da-c6d3-451c-9903-f568d8f028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7361F-5B65-480C-8C76-F7874B0AC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9DC228-DC3F-4186-9AD9-A8F794CA7457}">
  <ds:schemaRefs>
    <ds:schemaRef ds:uri="http://schemas.microsoft.com/office/2006/metadata/properties"/>
    <ds:schemaRef ds:uri="http://schemas.microsoft.com/office/infopath/2007/PartnerControls"/>
    <ds:schemaRef ds:uri="1970f3ff-c7c3-4b73-8f0c-0bc260d159f3"/>
    <ds:schemaRef ds:uri="029c08ca-17ba-47d3-a4d3-5c72257ad7c4"/>
    <ds:schemaRef ds:uri="620eb5da-c6d3-451c-9903-f568d8f02820"/>
  </ds:schemaRefs>
</ds:datastoreItem>
</file>

<file path=customXml/itemProps3.xml><?xml version="1.0" encoding="utf-8"?>
<ds:datastoreItem xmlns:ds="http://schemas.openxmlformats.org/officeDocument/2006/customXml" ds:itemID="{7841A587-8FB3-4F1F-998A-6541336D5A99}">
  <ds:schemaRefs>
    <ds:schemaRef ds:uri="http://schemas.microsoft.com/sharepoint/v3/contenttype/forms"/>
  </ds:schemaRefs>
</ds:datastoreItem>
</file>

<file path=customXml/itemProps4.xml><?xml version="1.0" encoding="utf-8"?>
<ds:datastoreItem xmlns:ds="http://schemas.openxmlformats.org/officeDocument/2006/customXml" ds:itemID="{FD683811-EFF2-433C-8DE1-1A197AD4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DJPR Template.dotx</Template>
  <TotalTime>15</TotalTime>
  <Pages>55</Pages>
  <Words>17101</Words>
  <Characters>97481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Samaa Kirby</dc:creator>
  <cp:keywords/>
  <cp:lastModifiedBy>Jacqui E Mitchell (DJSIR)</cp:lastModifiedBy>
  <cp:revision>12</cp:revision>
  <dcterms:created xsi:type="dcterms:W3CDTF">2022-11-02T17:00:00Z</dcterms:created>
  <dcterms:modified xsi:type="dcterms:W3CDTF">2023-11-15T05:26:00Z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Microsoft® PowerPoint® for Microsoft 365</vt:lpwstr>
  </property>
  <property fmtid="{D5CDD505-2E9C-101B-9397-08002B2CF9AE}" pid="4" name="LastSaved">
    <vt:filetime>2020-12-17T00:00:00Z</vt:filetime>
  </property>
  <property fmtid="{D5CDD505-2E9C-101B-9397-08002B2CF9AE}" pid="5" name="MSIP_Label_d00a4df9-c942-4b09-b23a-6c1023f6de27_Enabled">
    <vt:lpwstr>true</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Method">
    <vt:lpwstr>Privileged</vt:lpwstr>
  </property>
  <property fmtid="{D5CDD505-2E9C-101B-9397-08002B2CF9AE}" pid="8" name="MediaServiceImageTags">
    <vt:lpwstr/>
  </property>
  <property fmtid="{D5CDD505-2E9C-101B-9397-08002B2CF9AE}" pid="9" name="DEDJTRSection">
    <vt:lpwstr/>
  </property>
  <property fmtid="{D5CDD505-2E9C-101B-9397-08002B2CF9AE}" pid="10" name="ContentTypeId">
    <vt:lpwstr>0x010100611F6414DFB111E7BA88F9DF1743E317001C124DEDA69E9741A93FEE8CEDDD8130</vt:lpwstr>
  </property>
  <property fmtid="{D5CDD505-2E9C-101B-9397-08002B2CF9AE}" pid="11" name="MSIP_Label_d00a4df9-c942-4b09-b23a-6c1023f6de27_ContentBits">
    <vt:lpwstr>3</vt:lpwstr>
  </property>
  <property fmtid="{D5CDD505-2E9C-101B-9397-08002B2CF9AE}" pid="12" name="MSIP_Label_d00a4df9-c942-4b09-b23a-6c1023f6de27_SetDate">
    <vt:lpwstr>2022-06-15T02:48:40Z</vt:lpwstr>
  </property>
  <property fmtid="{D5CDD505-2E9C-101B-9397-08002B2CF9AE}" pid="13" name="DEDJTRGroup">
    <vt:lpwstr/>
  </property>
  <property fmtid="{D5CDD505-2E9C-101B-9397-08002B2CF9AE}" pid="14" name="MSIP_Label_d00a4df9-c942-4b09-b23a-6c1023f6de27_Name">
    <vt:lpwstr>Official (DJPR)</vt:lpwstr>
  </property>
  <property fmtid="{D5CDD505-2E9C-101B-9397-08002B2CF9AE}" pid="15" name="DEDJTRSecurityClassification">
    <vt:lpwstr/>
  </property>
  <property fmtid="{D5CDD505-2E9C-101B-9397-08002B2CF9AE}" pid="16" name="MSIP_Label_d00a4df9-c942-4b09-b23a-6c1023f6de27_ActionId">
    <vt:lpwstr>c1d6a309-abaa-496c-821e-48dab261bf1c</vt:lpwstr>
  </property>
  <property fmtid="{D5CDD505-2E9C-101B-9397-08002B2CF9AE}" pid="17" name="DEDJTRDivision">
    <vt:lpwstr/>
  </property>
  <property fmtid="{D5CDD505-2E9C-101B-9397-08002B2CF9AE}" pid="18" name="DEDJTRBranch">
    <vt:lpwstr/>
  </property>
</Properties>
</file>