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71E7C" w14:textId="64C438CB" w:rsidR="009D5328" w:rsidRPr="001245F6" w:rsidRDefault="001A5CD4" w:rsidP="008A00C8">
      <w:pPr>
        <w:pStyle w:val="Title"/>
        <w:spacing w:before="100" w:beforeAutospacing="1" w:after="100" w:afterAutospacing="1"/>
      </w:pPr>
      <w:r>
        <w:t>Ovens Murray</w:t>
      </w:r>
    </w:p>
    <w:p w14:paraId="6193342F" w14:textId="4D0F4570" w:rsidR="00826A4F" w:rsidRPr="00AC35F6" w:rsidRDefault="009D5328" w:rsidP="008A00C8">
      <w:pPr>
        <w:pStyle w:val="Subtitle"/>
        <w:spacing w:before="100" w:beforeAutospacing="1" w:after="100" w:afterAutospacing="1"/>
        <w:rPr>
          <w:rFonts w:cs="Arial"/>
        </w:rPr>
      </w:pPr>
      <w:bookmarkStart w:id="0" w:name="_Toc104970165"/>
      <w:r w:rsidRPr="001245F6">
        <w:rPr>
          <w:rFonts w:cs="Arial"/>
        </w:rPr>
        <w:t>Regional Economic Development Strategy</w:t>
      </w:r>
      <w:bookmarkEnd w:id="0"/>
      <w:r w:rsidRPr="001245F6">
        <w:rPr>
          <w:rFonts w:cs="Arial"/>
        </w:rPr>
        <w:t xml:space="preserve"> – Summary </w:t>
      </w:r>
    </w:p>
    <w:p w14:paraId="1D8DA885" w14:textId="77777777" w:rsidR="00E70E24" w:rsidRDefault="00E70E24" w:rsidP="008A00C8">
      <w:pPr>
        <w:pStyle w:val="Subtitle"/>
        <w:spacing w:before="100" w:beforeAutospacing="1" w:after="100" w:afterAutospacing="1"/>
        <w:rPr>
          <w:rFonts w:cs="Arial"/>
        </w:rPr>
      </w:pPr>
      <w:bookmarkStart w:id="1" w:name="_Toc104970166"/>
      <w:r w:rsidRPr="001245F6">
        <w:rPr>
          <w:rFonts w:cs="Arial"/>
        </w:rPr>
        <w:t>State Government of Victoria</w:t>
      </w:r>
      <w:bookmarkEnd w:id="1"/>
    </w:p>
    <w:p w14:paraId="05D52B59" w14:textId="6353E280" w:rsidR="00064FF3" w:rsidRPr="00241A94" w:rsidRDefault="00064FF3" w:rsidP="008A00C8">
      <w:pPr>
        <w:pStyle w:val="Subtitle"/>
        <w:spacing w:before="100" w:beforeAutospacing="1" w:after="100" w:afterAutospacing="1"/>
        <w:rPr>
          <w:b w:val="0"/>
          <w:bCs w:val="0"/>
          <w:sz w:val="24"/>
          <w:szCs w:val="24"/>
        </w:rPr>
      </w:pPr>
      <w:r w:rsidRPr="00241A94">
        <w:rPr>
          <w:b w:val="0"/>
          <w:bCs w:val="0"/>
          <w:sz w:val="24"/>
          <w:szCs w:val="24"/>
        </w:rPr>
        <w:t xml:space="preserve">The </w:t>
      </w:r>
      <w:r w:rsidR="001A5CD4">
        <w:rPr>
          <w:b w:val="0"/>
          <w:bCs w:val="0"/>
          <w:sz w:val="24"/>
          <w:szCs w:val="24"/>
        </w:rPr>
        <w:t>Ovens Murray</w:t>
      </w:r>
      <w:r w:rsidRPr="00241A94">
        <w:rPr>
          <w:b w:val="0"/>
          <w:bCs w:val="0"/>
          <w:sz w:val="24"/>
          <w:szCs w:val="24"/>
        </w:rPr>
        <w:t xml:space="preserve"> REDS uses data and evidence to profile the region’s economy and identify key strategic directions to drive economic growth.</w:t>
      </w:r>
    </w:p>
    <w:p w14:paraId="4C08731D" w14:textId="0DF0316B" w:rsidR="00F35DC3" w:rsidRDefault="00F35DC3" w:rsidP="008A00C8">
      <w:pPr>
        <w:pStyle w:val="Heading1"/>
        <w:spacing w:before="100" w:beforeAutospacing="1" w:after="100" w:afterAutospacing="1"/>
        <w:rPr>
          <w:rFonts w:ascii="Arial" w:hAnsi="Arial" w:cs="Arial"/>
          <w:b/>
          <w:bCs/>
          <w:color w:val="auto"/>
          <w:sz w:val="36"/>
          <w:szCs w:val="36"/>
        </w:rPr>
      </w:pPr>
      <w:r w:rsidRPr="0051145A">
        <w:rPr>
          <w:rFonts w:ascii="Arial" w:hAnsi="Arial" w:cs="Arial"/>
          <w:b/>
          <w:bCs/>
          <w:color w:val="auto"/>
          <w:sz w:val="36"/>
          <w:szCs w:val="36"/>
        </w:rPr>
        <w:t>Regional Profile</w:t>
      </w:r>
    </w:p>
    <w:p w14:paraId="62F61C4A" w14:textId="3FC89399" w:rsidR="00B815BC" w:rsidRPr="00670F30" w:rsidRDefault="001A5CD4" w:rsidP="008A00C8">
      <w:pPr>
        <w:pStyle w:val="Heading2"/>
        <w:spacing w:before="100" w:beforeAutospacing="1" w:after="100" w:afterAutospacing="1"/>
        <w:rPr>
          <w:rFonts w:ascii="Arial" w:eastAsia="MS Mincho" w:hAnsi="Arial" w:cs="Arial"/>
          <w:b/>
          <w:bCs/>
          <w:color w:val="auto"/>
          <w:sz w:val="32"/>
          <w:szCs w:val="32"/>
          <w:lang w:val="en-AU"/>
        </w:rPr>
      </w:pPr>
      <w:bookmarkStart w:id="2" w:name="_Hlk106115633"/>
      <w:r>
        <w:rPr>
          <w:rFonts w:ascii="Arial" w:eastAsia="MS Mincho" w:hAnsi="Arial" w:cs="Arial"/>
          <w:b/>
          <w:bCs/>
          <w:color w:val="auto"/>
          <w:sz w:val="32"/>
          <w:szCs w:val="32"/>
          <w:lang w:val="en-AU"/>
        </w:rPr>
        <w:t>Ovens Murray</w:t>
      </w:r>
      <w:r w:rsidR="00B815BC" w:rsidRPr="00670F30">
        <w:rPr>
          <w:rFonts w:ascii="Arial" w:eastAsia="MS Mincho" w:hAnsi="Arial" w:cs="Arial"/>
          <w:b/>
          <w:bCs/>
          <w:color w:val="auto"/>
          <w:sz w:val="32"/>
          <w:szCs w:val="32"/>
          <w:lang w:val="en-AU"/>
        </w:rPr>
        <w:t xml:space="preserve"> Regional Profile</w:t>
      </w:r>
      <w:bookmarkEnd w:id="2"/>
    </w:p>
    <w:tbl>
      <w:tblPr>
        <w:tblStyle w:val="TableGrid"/>
        <w:tblW w:w="7394" w:type="dxa"/>
        <w:tblLook w:val="04A0" w:firstRow="1" w:lastRow="0" w:firstColumn="1" w:lastColumn="0" w:noHBand="0" w:noVBand="1"/>
      </w:tblPr>
      <w:tblGrid>
        <w:gridCol w:w="3697"/>
        <w:gridCol w:w="3697"/>
      </w:tblGrid>
      <w:tr w:rsidR="001E5C6E" w:rsidRPr="00206BCF" w14:paraId="61327294" w14:textId="77777777" w:rsidTr="001E5C6E">
        <w:trPr>
          <w:trHeight w:val="209"/>
        </w:trPr>
        <w:tc>
          <w:tcPr>
            <w:tcW w:w="3697" w:type="dxa"/>
            <w:vAlign w:val="center"/>
          </w:tcPr>
          <w:p w14:paraId="38BF4C35" w14:textId="6CE23BB1" w:rsidR="001E5C6E" w:rsidRPr="00206BCF" w:rsidRDefault="001E5C6E" w:rsidP="001E5C6E">
            <w:pPr>
              <w:pStyle w:val="TableCopy"/>
              <w:spacing w:before="100" w:beforeAutospacing="1" w:after="100" w:afterAutospacing="1"/>
            </w:pPr>
            <w:r w:rsidRPr="00206BCF">
              <w:t>Population (2020)</w:t>
            </w:r>
          </w:p>
        </w:tc>
        <w:tc>
          <w:tcPr>
            <w:tcW w:w="3697" w:type="dxa"/>
            <w:vAlign w:val="center"/>
          </w:tcPr>
          <w:p w14:paraId="453F8387" w14:textId="44806834" w:rsidR="001E5C6E" w:rsidRPr="00206BCF" w:rsidRDefault="00870BF7" w:rsidP="001E5C6E">
            <w:pPr>
              <w:pStyle w:val="TableCopy"/>
              <w:spacing w:before="100" w:beforeAutospacing="1" w:after="100" w:afterAutospacing="1"/>
            </w:pPr>
            <w:r>
              <w:t>131,400</w:t>
            </w:r>
          </w:p>
        </w:tc>
      </w:tr>
      <w:tr w:rsidR="001E5C6E" w:rsidRPr="00206BCF" w14:paraId="41F4F6A6" w14:textId="77777777" w:rsidTr="001E5C6E">
        <w:trPr>
          <w:trHeight w:val="319"/>
        </w:trPr>
        <w:tc>
          <w:tcPr>
            <w:tcW w:w="3697" w:type="dxa"/>
            <w:vAlign w:val="center"/>
          </w:tcPr>
          <w:p w14:paraId="553DCE68" w14:textId="3E18E279" w:rsidR="001E5C6E" w:rsidRPr="00206BCF" w:rsidRDefault="001E5C6E" w:rsidP="001E5C6E">
            <w:pPr>
              <w:pStyle w:val="TableCopy"/>
              <w:spacing w:before="100" w:beforeAutospacing="1" w:after="100" w:afterAutospacing="1"/>
            </w:pPr>
            <w:r w:rsidRPr="00206BCF">
              <w:t>Population growth (2011-20)</w:t>
            </w:r>
          </w:p>
        </w:tc>
        <w:tc>
          <w:tcPr>
            <w:tcW w:w="3697" w:type="dxa"/>
            <w:vAlign w:val="center"/>
          </w:tcPr>
          <w:p w14:paraId="6762877B" w14:textId="04B647FA" w:rsidR="001E5C6E" w:rsidRPr="00206BCF" w:rsidRDefault="004C39A5" w:rsidP="001E5C6E">
            <w:pPr>
              <w:pStyle w:val="TableCopy"/>
              <w:spacing w:before="100" w:beforeAutospacing="1" w:after="100" w:afterAutospacing="1"/>
            </w:pPr>
            <w:r>
              <w:t>11.1%</w:t>
            </w:r>
          </w:p>
        </w:tc>
      </w:tr>
      <w:tr w:rsidR="001E5C6E" w:rsidRPr="00206BCF" w14:paraId="3928B135" w14:textId="77777777" w:rsidTr="001E5C6E">
        <w:trPr>
          <w:trHeight w:val="209"/>
        </w:trPr>
        <w:tc>
          <w:tcPr>
            <w:tcW w:w="3697" w:type="dxa"/>
            <w:vAlign w:val="center"/>
          </w:tcPr>
          <w:p w14:paraId="7B921B13" w14:textId="5BB50875" w:rsidR="001E5C6E" w:rsidRPr="00206BCF" w:rsidRDefault="001E5C6E" w:rsidP="001E5C6E">
            <w:pPr>
              <w:pStyle w:val="TableCopy"/>
              <w:spacing w:before="100" w:beforeAutospacing="1" w:after="100" w:afterAutospacing="1"/>
            </w:pPr>
            <w:r w:rsidRPr="00206BCF">
              <w:t>Gross regional product (2020)</w:t>
            </w:r>
          </w:p>
        </w:tc>
        <w:tc>
          <w:tcPr>
            <w:tcW w:w="3697" w:type="dxa"/>
            <w:vAlign w:val="center"/>
          </w:tcPr>
          <w:p w14:paraId="0CD69990" w14:textId="5968856C" w:rsidR="001E5C6E" w:rsidRPr="00206BCF" w:rsidRDefault="004C39A5" w:rsidP="001E5C6E">
            <w:pPr>
              <w:pStyle w:val="TableCopy"/>
              <w:spacing w:before="100" w:beforeAutospacing="1" w:after="100" w:afterAutospacing="1"/>
            </w:pPr>
            <w:r>
              <w:t>$6.5B</w:t>
            </w:r>
          </w:p>
        </w:tc>
      </w:tr>
    </w:tbl>
    <w:p w14:paraId="0731A137" w14:textId="30E09F8B" w:rsidR="00421CBF" w:rsidRPr="00A039B4" w:rsidRDefault="00421CBF" w:rsidP="008A00C8">
      <w:pPr>
        <w:spacing w:before="100" w:beforeAutospacing="1" w:after="100" w:afterAutospacing="1"/>
        <w:rPr>
          <w:rFonts w:ascii="Arial" w:hAnsi="Arial" w:cs="Arial"/>
          <w:b/>
          <w:bCs/>
          <w:sz w:val="24"/>
          <w:szCs w:val="24"/>
        </w:rPr>
      </w:pPr>
      <w:r w:rsidRPr="00A039B4">
        <w:rPr>
          <w:rFonts w:ascii="Arial" w:hAnsi="Arial" w:cs="Arial"/>
          <w:b/>
          <w:bCs/>
          <w:sz w:val="24"/>
          <w:szCs w:val="24"/>
        </w:rPr>
        <w:t>Figure</w:t>
      </w:r>
      <w:r w:rsidR="003E29EB">
        <w:rPr>
          <w:rFonts w:ascii="Arial" w:hAnsi="Arial" w:cs="Arial"/>
          <w:b/>
          <w:bCs/>
          <w:sz w:val="24"/>
          <w:szCs w:val="24"/>
        </w:rPr>
        <w:t xml:space="preserve"> 1</w:t>
      </w:r>
      <w:r w:rsidRPr="00A039B4">
        <w:rPr>
          <w:rFonts w:ascii="Arial" w:hAnsi="Arial" w:cs="Arial"/>
          <w:b/>
          <w:bCs/>
          <w:sz w:val="24"/>
          <w:szCs w:val="24"/>
        </w:rPr>
        <w:t xml:space="preserve">: Map of </w:t>
      </w:r>
      <w:r w:rsidR="001A5CD4">
        <w:rPr>
          <w:rFonts w:ascii="Arial" w:hAnsi="Arial" w:cs="Arial"/>
          <w:b/>
          <w:bCs/>
          <w:sz w:val="24"/>
          <w:szCs w:val="24"/>
        </w:rPr>
        <w:t>Ovens Murray</w:t>
      </w:r>
    </w:p>
    <w:p w14:paraId="210775E8" w14:textId="024E5922" w:rsidR="00B74E41" w:rsidRDefault="005D5CAA" w:rsidP="008A00C8">
      <w:pPr>
        <w:spacing w:before="100" w:beforeAutospacing="1" w:after="100" w:afterAutospacing="1"/>
        <w:rPr>
          <w:noProof/>
        </w:rPr>
      </w:pPr>
      <w:r>
        <w:rPr>
          <w:noProof/>
        </w:rPr>
        <w:drawing>
          <wp:inline distT="0" distB="0" distL="0" distR="0" wp14:anchorId="12BE264D" wp14:editId="27BF0339">
            <wp:extent cx="2435217" cy="2705100"/>
            <wp:effectExtent l="0" t="0" r="3810" b="0"/>
            <wp:docPr id="1" name="Picture 1" descr="Map showing an overview of the Ovens Murray Regional Partnership region and its location in Victoria. The Ovens Murray region is made up of the Mansfield, Benalla, Wangaratta, Alpine, Indigo, Wodonga and Towong Local Government Are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 showing an overview of the Ovens Murray Regional Partnership region and its location in Victoria. The Ovens Murray region is made up of the Mansfield, Benalla, Wangaratta, Alpine, Indigo, Wodonga and Towong Local Government Areas. "/>
                    <pic:cNvPicPr/>
                  </pic:nvPicPr>
                  <pic:blipFill>
                    <a:blip r:embed="rId10">
                      <a:extLst>
                        <a:ext uri="{28A0092B-C50C-407E-A947-70E740481C1C}">
                          <a14:useLocalDpi xmlns:a14="http://schemas.microsoft.com/office/drawing/2010/main" val="0"/>
                        </a:ext>
                      </a:extLst>
                    </a:blip>
                    <a:stretch>
                      <a:fillRect/>
                    </a:stretch>
                  </pic:blipFill>
                  <pic:spPr>
                    <a:xfrm>
                      <a:off x="0" y="0"/>
                      <a:ext cx="2435217" cy="2705100"/>
                    </a:xfrm>
                    <a:prstGeom prst="rect">
                      <a:avLst/>
                    </a:prstGeom>
                  </pic:spPr>
                </pic:pic>
              </a:graphicData>
            </a:graphic>
          </wp:inline>
        </w:drawing>
      </w:r>
    </w:p>
    <w:p w14:paraId="6341A957" w14:textId="2084C0BA" w:rsidR="00240C90" w:rsidRPr="00670F30" w:rsidRDefault="00240C90" w:rsidP="008A00C8">
      <w:pPr>
        <w:pStyle w:val="Heading2"/>
        <w:spacing w:before="100" w:beforeAutospacing="1" w:after="100" w:afterAutospacing="1"/>
        <w:rPr>
          <w:rFonts w:ascii="Arial" w:eastAsia="MS Mincho" w:hAnsi="Arial" w:cs="Arial"/>
          <w:b/>
          <w:bCs/>
          <w:color w:val="auto"/>
          <w:sz w:val="32"/>
          <w:szCs w:val="32"/>
          <w:lang w:val="en-AU"/>
        </w:rPr>
      </w:pPr>
      <w:r w:rsidRPr="00670F30">
        <w:rPr>
          <w:rFonts w:ascii="Arial" w:eastAsia="MS Mincho" w:hAnsi="Arial" w:cs="Arial"/>
          <w:b/>
          <w:bCs/>
          <w:color w:val="auto"/>
          <w:sz w:val="32"/>
          <w:szCs w:val="32"/>
          <w:lang w:val="en-AU"/>
        </w:rPr>
        <w:lastRenderedPageBreak/>
        <w:t>Employment</w:t>
      </w:r>
    </w:p>
    <w:tbl>
      <w:tblPr>
        <w:tblStyle w:val="TableGrid"/>
        <w:tblW w:w="8624" w:type="dxa"/>
        <w:tblLook w:val="04A0" w:firstRow="1" w:lastRow="0" w:firstColumn="1" w:lastColumn="0" w:noHBand="0" w:noVBand="1"/>
      </w:tblPr>
      <w:tblGrid>
        <w:gridCol w:w="4312"/>
        <w:gridCol w:w="4312"/>
      </w:tblGrid>
      <w:tr w:rsidR="00C349FB" w:rsidRPr="00DD7BBC" w14:paraId="2AAD8B5A" w14:textId="77777777" w:rsidTr="00C349FB">
        <w:trPr>
          <w:trHeight w:val="494"/>
          <w:tblHeader/>
        </w:trPr>
        <w:tc>
          <w:tcPr>
            <w:tcW w:w="4312" w:type="dxa"/>
          </w:tcPr>
          <w:p w14:paraId="1E319CAE" w14:textId="45C84252" w:rsidR="00C349FB" w:rsidRPr="00DD7BBC" w:rsidRDefault="00C349FB" w:rsidP="008A00C8">
            <w:pPr>
              <w:pStyle w:val="TableCopy"/>
              <w:tabs>
                <w:tab w:val="right" w:pos="2619"/>
              </w:tabs>
              <w:spacing w:before="100" w:beforeAutospacing="1" w:after="100" w:afterAutospacing="1"/>
              <w:rPr>
                <w:b/>
                <w:bCs/>
              </w:rPr>
            </w:pPr>
            <w:r w:rsidRPr="00DD7BBC">
              <w:rPr>
                <w:b/>
                <w:bCs/>
              </w:rPr>
              <w:t>Unemployment rate (</w:t>
            </w:r>
            <w:r>
              <w:rPr>
                <w:b/>
                <w:bCs/>
              </w:rPr>
              <w:t>September</w:t>
            </w:r>
            <w:r w:rsidRPr="00DD7BBC">
              <w:rPr>
                <w:b/>
                <w:bCs/>
              </w:rPr>
              <w:t xml:space="preserve"> 2021)</w:t>
            </w:r>
          </w:p>
        </w:tc>
        <w:tc>
          <w:tcPr>
            <w:tcW w:w="4312" w:type="dxa"/>
          </w:tcPr>
          <w:p w14:paraId="749246A8" w14:textId="77777777" w:rsidR="00C349FB" w:rsidRPr="00DD7BBC" w:rsidRDefault="00C349FB" w:rsidP="008A00C8">
            <w:pPr>
              <w:pStyle w:val="TableCopy"/>
              <w:spacing w:before="100" w:beforeAutospacing="1" w:after="100" w:afterAutospacing="1"/>
              <w:rPr>
                <w:b/>
                <w:bCs/>
              </w:rPr>
            </w:pPr>
            <w:r w:rsidRPr="00DD7BBC">
              <w:rPr>
                <w:b/>
                <w:bCs/>
              </w:rPr>
              <w:t>Average annual employment growth (2011</w:t>
            </w:r>
            <w:r>
              <w:rPr>
                <w:b/>
                <w:bCs/>
              </w:rPr>
              <w:t>–</w:t>
            </w:r>
            <w:r w:rsidRPr="00DD7BBC">
              <w:rPr>
                <w:b/>
                <w:bCs/>
              </w:rPr>
              <w:t>20)</w:t>
            </w:r>
          </w:p>
        </w:tc>
      </w:tr>
      <w:tr w:rsidR="00C349FB" w:rsidRPr="00E70028" w14:paraId="6BCBB8DB" w14:textId="77777777" w:rsidTr="00C349FB">
        <w:trPr>
          <w:trHeight w:val="1090"/>
        </w:trPr>
        <w:tc>
          <w:tcPr>
            <w:tcW w:w="4312" w:type="dxa"/>
          </w:tcPr>
          <w:p w14:paraId="5EC7B9F6" w14:textId="507C8F80" w:rsidR="00C349FB" w:rsidRPr="00E70028" w:rsidRDefault="001A5CD4" w:rsidP="008A00C8">
            <w:pPr>
              <w:pStyle w:val="TableCopy"/>
              <w:spacing w:before="100" w:beforeAutospacing="1" w:after="100" w:afterAutospacing="1"/>
            </w:pPr>
            <w:r>
              <w:t>Ovens Murray</w:t>
            </w:r>
            <w:r w:rsidR="00C349FB" w:rsidRPr="00E70028">
              <w:t xml:space="preserve">: </w:t>
            </w:r>
            <w:r w:rsidR="007514C9">
              <w:t>3.</w:t>
            </w:r>
            <w:r w:rsidR="004C39A5">
              <w:t>1</w:t>
            </w:r>
            <w:r w:rsidR="00F56B94">
              <w:t>%</w:t>
            </w:r>
          </w:p>
          <w:p w14:paraId="2F35EA09" w14:textId="77777777" w:rsidR="00C349FB" w:rsidRPr="00E70028" w:rsidRDefault="00C349FB" w:rsidP="008A00C8">
            <w:pPr>
              <w:pStyle w:val="TableCopy"/>
              <w:spacing w:before="100" w:beforeAutospacing="1" w:after="100" w:afterAutospacing="1"/>
            </w:pPr>
            <w:r w:rsidRPr="00E70028">
              <w:t>Regional average: 4.</w:t>
            </w:r>
            <w:r>
              <w:t>2</w:t>
            </w:r>
            <w:r w:rsidRPr="00E70028">
              <w:t>%</w:t>
            </w:r>
          </w:p>
          <w:p w14:paraId="426022AD" w14:textId="77777777" w:rsidR="00C349FB" w:rsidRPr="00E70028" w:rsidRDefault="00C349FB" w:rsidP="008A00C8">
            <w:pPr>
              <w:pStyle w:val="TableCopy"/>
              <w:spacing w:before="100" w:beforeAutospacing="1" w:after="100" w:afterAutospacing="1"/>
            </w:pPr>
            <w:r w:rsidRPr="00E70028">
              <w:t xml:space="preserve">Metropolitan Melbourne: </w:t>
            </w:r>
            <w:r>
              <w:t>6.0</w:t>
            </w:r>
            <w:r w:rsidRPr="00E70028">
              <w:t>%</w:t>
            </w:r>
          </w:p>
        </w:tc>
        <w:tc>
          <w:tcPr>
            <w:tcW w:w="4312" w:type="dxa"/>
          </w:tcPr>
          <w:p w14:paraId="7931D9A7" w14:textId="10A21AE4" w:rsidR="00C349FB" w:rsidRPr="00E70028" w:rsidRDefault="001A5CD4" w:rsidP="008A00C8">
            <w:pPr>
              <w:pStyle w:val="TableCopy"/>
              <w:spacing w:before="100" w:beforeAutospacing="1" w:after="100" w:afterAutospacing="1"/>
            </w:pPr>
            <w:r>
              <w:t>Ovens Murray</w:t>
            </w:r>
            <w:r w:rsidR="00C349FB" w:rsidRPr="00E70028">
              <w:t xml:space="preserve">: </w:t>
            </w:r>
            <w:r w:rsidR="007514C9">
              <w:t>0.</w:t>
            </w:r>
            <w:r w:rsidR="004C39A5">
              <w:t>4</w:t>
            </w:r>
            <w:r w:rsidR="00542B83">
              <w:t>%</w:t>
            </w:r>
          </w:p>
          <w:p w14:paraId="0877CED6" w14:textId="77777777" w:rsidR="00C349FB" w:rsidRPr="00E70028" w:rsidRDefault="00C349FB" w:rsidP="008A00C8">
            <w:pPr>
              <w:pStyle w:val="TableCopy"/>
              <w:spacing w:before="100" w:beforeAutospacing="1" w:after="100" w:afterAutospacing="1"/>
            </w:pPr>
            <w:r w:rsidRPr="00E70028">
              <w:t>Regional average: 1.0%</w:t>
            </w:r>
          </w:p>
          <w:p w14:paraId="7746A242" w14:textId="77777777" w:rsidR="00C349FB" w:rsidRPr="00E70028" w:rsidRDefault="00C349FB" w:rsidP="008A00C8">
            <w:pPr>
              <w:pStyle w:val="TableCopy"/>
              <w:spacing w:before="100" w:beforeAutospacing="1" w:after="100" w:afterAutospacing="1"/>
            </w:pPr>
            <w:r w:rsidRPr="00E70028">
              <w:t>Metropolitan Melbourne: 2.1%</w:t>
            </w:r>
          </w:p>
        </w:tc>
      </w:tr>
    </w:tbl>
    <w:p w14:paraId="4D41AF5C" w14:textId="77B15153" w:rsidR="00240C90" w:rsidRPr="00670F30" w:rsidRDefault="00240C90" w:rsidP="008A00C8">
      <w:pPr>
        <w:pStyle w:val="Heading2"/>
        <w:spacing w:before="100" w:beforeAutospacing="1" w:after="100" w:afterAutospacing="1"/>
        <w:rPr>
          <w:rFonts w:ascii="Arial" w:eastAsia="MS Mincho" w:hAnsi="Arial" w:cs="Arial"/>
          <w:b/>
          <w:bCs/>
          <w:color w:val="auto"/>
          <w:sz w:val="32"/>
          <w:szCs w:val="32"/>
          <w:lang w:val="en-AU"/>
        </w:rPr>
      </w:pPr>
      <w:r w:rsidRPr="00670F30">
        <w:rPr>
          <w:rFonts w:ascii="Arial" w:eastAsia="MS Mincho" w:hAnsi="Arial" w:cs="Arial"/>
          <w:b/>
          <w:bCs/>
          <w:color w:val="auto"/>
          <w:sz w:val="32"/>
          <w:szCs w:val="32"/>
          <w:lang w:val="en-AU"/>
        </w:rPr>
        <w:t xml:space="preserve">Top </w:t>
      </w:r>
      <w:r w:rsidR="00C349FB" w:rsidRPr="00670F30">
        <w:rPr>
          <w:rFonts w:ascii="Arial" w:eastAsia="MS Mincho" w:hAnsi="Arial" w:cs="Arial"/>
          <w:b/>
          <w:bCs/>
          <w:color w:val="auto"/>
          <w:sz w:val="32"/>
          <w:szCs w:val="32"/>
          <w:lang w:val="en-AU"/>
        </w:rPr>
        <w:t>employing sectors (2020)</w:t>
      </w:r>
    </w:p>
    <w:tbl>
      <w:tblPr>
        <w:tblStyle w:val="TableGrid"/>
        <w:tblW w:w="9343" w:type="dxa"/>
        <w:tblLook w:val="04A0" w:firstRow="1" w:lastRow="0" w:firstColumn="1" w:lastColumn="0" w:noHBand="0" w:noVBand="1"/>
      </w:tblPr>
      <w:tblGrid>
        <w:gridCol w:w="6675"/>
        <w:gridCol w:w="2668"/>
      </w:tblGrid>
      <w:tr w:rsidR="009E373C" w:rsidRPr="0055442F" w14:paraId="1FB09F46" w14:textId="77777777" w:rsidTr="00ED2699">
        <w:tc>
          <w:tcPr>
            <w:tcW w:w="4248" w:type="dxa"/>
            <w:noWrap/>
            <w:hideMark/>
          </w:tcPr>
          <w:p w14:paraId="7910A203" w14:textId="77777777" w:rsidR="009E373C" w:rsidRPr="0055442F" w:rsidRDefault="009E373C" w:rsidP="008A00C8">
            <w:pPr>
              <w:pStyle w:val="TableCopy"/>
              <w:spacing w:before="100" w:beforeAutospacing="1" w:after="100" w:afterAutospacing="1"/>
              <w:rPr>
                <w:b/>
                <w:bCs/>
              </w:rPr>
            </w:pPr>
            <w:r w:rsidRPr="0055442F">
              <w:rPr>
                <w:b/>
                <w:bCs/>
              </w:rPr>
              <w:t>Industry</w:t>
            </w:r>
          </w:p>
        </w:tc>
        <w:tc>
          <w:tcPr>
            <w:tcW w:w="1698" w:type="dxa"/>
          </w:tcPr>
          <w:p w14:paraId="0E243FCF" w14:textId="77777777" w:rsidR="009E373C" w:rsidRPr="0055442F" w:rsidRDefault="009E373C" w:rsidP="008A00C8">
            <w:pPr>
              <w:pStyle w:val="TableCopy"/>
              <w:spacing w:before="100" w:beforeAutospacing="1" w:after="100" w:afterAutospacing="1"/>
              <w:rPr>
                <w:b/>
                <w:bCs/>
              </w:rPr>
            </w:pPr>
            <w:r w:rsidRPr="0055442F">
              <w:rPr>
                <w:b/>
                <w:bCs/>
              </w:rPr>
              <w:t>Workers</w:t>
            </w:r>
          </w:p>
        </w:tc>
      </w:tr>
      <w:tr w:rsidR="009E373C" w:rsidRPr="00395E30" w14:paraId="782577B5" w14:textId="77777777" w:rsidTr="00ED2699">
        <w:tc>
          <w:tcPr>
            <w:tcW w:w="4248" w:type="dxa"/>
          </w:tcPr>
          <w:p w14:paraId="55DB0750" w14:textId="1BD68A47" w:rsidR="009E373C" w:rsidRPr="00395E30" w:rsidRDefault="006003D2" w:rsidP="008A00C8">
            <w:pPr>
              <w:pStyle w:val="TableCopy"/>
              <w:spacing w:before="100" w:beforeAutospacing="1" w:after="100" w:afterAutospacing="1"/>
            </w:pPr>
            <w:r>
              <w:t xml:space="preserve">Health care and social assistance </w:t>
            </w:r>
          </w:p>
        </w:tc>
        <w:tc>
          <w:tcPr>
            <w:tcW w:w="1698" w:type="dxa"/>
          </w:tcPr>
          <w:p w14:paraId="4EB45B75" w14:textId="108393A6" w:rsidR="009E373C" w:rsidRPr="00395E30" w:rsidRDefault="0029587B" w:rsidP="008A00C8">
            <w:pPr>
              <w:pStyle w:val="TableCopy"/>
              <w:spacing w:before="100" w:beforeAutospacing="1" w:after="100" w:afterAutospacing="1"/>
              <w:rPr>
                <w:color w:val="000000"/>
              </w:rPr>
            </w:pPr>
            <w:r>
              <w:t>7,800</w:t>
            </w:r>
          </w:p>
        </w:tc>
      </w:tr>
      <w:tr w:rsidR="009E373C" w:rsidRPr="00395E30" w14:paraId="1356B36E" w14:textId="77777777" w:rsidTr="00ED2699">
        <w:tc>
          <w:tcPr>
            <w:tcW w:w="4248" w:type="dxa"/>
          </w:tcPr>
          <w:p w14:paraId="506E63A6" w14:textId="1849C953" w:rsidR="009E373C" w:rsidRPr="00395E30" w:rsidRDefault="006003D2" w:rsidP="008A00C8">
            <w:pPr>
              <w:pStyle w:val="TableCopy"/>
              <w:spacing w:before="100" w:beforeAutospacing="1" w:after="100" w:afterAutospacing="1"/>
            </w:pPr>
            <w:r>
              <w:t xml:space="preserve">Manufacturing </w:t>
            </w:r>
          </w:p>
        </w:tc>
        <w:tc>
          <w:tcPr>
            <w:tcW w:w="1698" w:type="dxa"/>
          </w:tcPr>
          <w:p w14:paraId="35F1ABC0" w14:textId="61BD34EA" w:rsidR="009E373C" w:rsidRPr="00395E30" w:rsidRDefault="0029587B" w:rsidP="008A00C8">
            <w:pPr>
              <w:pStyle w:val="TableCopy"/>
              <w:spacing w:before="100" w:beforeAutospacing="1" w:after="100" w:afterAutospacing="1"/>
              <w:rPr>
                <w:color w:val="000000"/>
              </w:rPr>
            </w:pPr>
            <w:r>
              <w:t>7,200</w:t>
            </w:r>
          </w:p>
        </w:tc>
      </w:tr>
      <w:tr w:rsidR="009E373C" w:rsidRPr="00395E30" w14:paraId="3ACF3E57" w14:textId="77777777" w:rsidTr="00ED2699">
        <w:tc>
          <w:tcPr>
            <w:tcW w:w="4248" w:type="dxa"/>
          </w:tcPr>
          <w:p w14:paraId="002E2BCD" w14:textId="2C333000" w:rsidR="009E373C" w:rsidRPr="00395E30" w:rsidRDefault="00A03B40" w:rsidP="008A00C8">
            <w:pPr>
              <w:pStyle w:val="TableCopy"/>
              <w:spacing w:before="100" w:beforeAutospacing="1" w:after="100" w:afterAutospacing="1"/>
            </w:pPr>
            <w:r>
              <w:t xml:space="preserve">Agriculture, </w:t>
            </w:r>
            <w:proofErr w:type="gramStart"/>
            <w:r>
              <w:t>forestry</w:t>
            </w:r>
            <w:proofErr w:type="gramEnd"/>
            <w:r>
              <w:t xml:space="preserve"> and fishing </w:t>
            </w:r>
          </w:p>
        </w:tc>
        <w:tc>
          <w:tcPr>
            <w:tcW w:w="1698" w:type="dxa"/>
          </w:tcPr>
          <w:p w14:paraId="06530ABA" w14:textId="42C539A8" w:rsidR="009E373C" w:rsidRPr="00395E30" w:rsidRDefault="0029587B" w:rsidP="008A00C8">
            <w:pPr>
              <w:pStyle w:val="TableCopy"/>
              <w:spacing w:before="100" w:beforeAutospacing="1" w:after="100" w:afterAutospacing="1"/>
              <w:rPr>
                <w:color w:val="000000"/>
              </w:rPr>
            </w:pPr>
            <w:r>
              <w:t>5,800</w:t>
            </w:r>
          </w:p>
        </w:tc>
      </w:tr>
      <w:tr w:rsidR="009E373C" w:rsidRPr="00395E30" w14:paraId="5FA8F712" w14:textId="77777777" w:rsidTr="00ED2699">
        <w:tc>
          <w:tcPr>
            <w:tcW w:w="4248" w:type="dxa"/>
          </w:tcPr>
          <w:p w14:paraId="3B975D5E" w14:textId="6D88F900" w:rsidR="009E373C" w:rsidRPr="00395E30" w:rsidRDefault="00A03B40" w:rsidP="008A00C8">
            <w:pPr>
              <w:pStyle w:val="TableCopy"/>
              <w:spacing w:before="100" w:beforeAutospacing="1" w:after="100" w:afterAutospacing="1"/>
            </w:pPr>
            <w:r>
              <w:t xml:space="preserve">Retail trade </w:t>
            </w:r>
          </w:p>
        </w:tc>
        <w:tc>
          <w:tcPr>
            <w:tcW w:w="1698" w:type="dxa"/>
          </w:tcPr>
          <w:p w14:paraId="38E5B6F7" w14:textId="3AC56086" w:rsidR="009E373C" w:rsidRPr="00395E30" w:rsidRDefault="0029587B" w:rsidP="008A00C8">
            <w:pPr>
              <w:pStyle w:val="TableCopy"/>
              <w:spacing w:before="100" w:beforeAutospacing="1" w:after="100" w:afterAutospacing="1"/>
              <w:rPr>
                <w:color w:val="000000"/>
              </w:rPr>
            </w:pPr>
            <w:r>
              <w:t>5,600</w:t>
            </w:r>
          </w:p>
        </w:tc>
      </w:tr>
      <w:tr w:rsidR="009E373C" w:rsidRPr="00395E30" w14:paraId="2477695D" w14:textId="77777777" w:rsidTr="00ED2699">
        <w:tc>
          <w:tcPr>
            <w:tcW w:w="4248" w:type="dxa"/>
          </w:tcPr>
          <w:p w14:paraId="701B6978" w14:textId="2975178B" w:rsidR="009E373C" w:rsidRPr="00395E30" w:rsidRDefault="00A03B40" w:rsidP="008A00C8">
            <w:pPr>
              <w:pStyle w:val="TableCopy"/>
              <w:spacing w:before="100" w:beforeAutospacing="1" w:after="100" w:afterAutospacing="1"/>
            </w:pPr>
            <w:r>
              <w:t xml:space="preserve">Construction </w:t>
            </w:r>
          </w:p>
        </w:tc>
        <w:tc>
          <w:tcPr>
            <w:tcW w:w="1698" w:type="dxa"/>
          </w:tcPr>
          <w:p w14:paraId="66AA0B11" w14:textId="0C150884" w:rsidR="009E373C" w:rsidRPr="00395E30" w:rsidRDefault="0029587B" w:rsidP="008A00C8">
            <w:pPr>
              <w:pStyle w:val="TableCopy"/>
              <w:spacing w:before="100" w:beforeAutospacing="1" w:after="100" w:afterAutospacing="1"/>
              <w:rPr>
                <w:color w:val="000000"/>
              </w:rPr>
            </w:pPr>
            <w:r>
              <w:t>5,400</w:t>
            </w:r>
          </w:p>
        </w:tc>
      </w:tr>
      <w:tr w:rsidR="009E373C" w:rsidRPr="00395E30" w14:paraId="5E5B40E6" w14:textId="77777777" w:rsidTr="00ED2699">
        <w:tc>
          <w:tcPr>
            <w:tcW w:w="4248" w:type="dxa"/>
          </w:tcPr>
          <w:p w14:paraId="5474ED5C" w14:textId="177C280D" w:rsidR="009E373C" w:rsidRPr="00395E30" w:rsidRDefault="00A03B40" w:rsidP="008A00C8">
            <w:pPr>
              <w:pStyle w:val="TableCopy"/>
              <w:spacing w:before="100" w:beforeAutospacing="1" w:after="100" w:afterAutospacing="1"/>
            </w:pPr>
            <w:r>
              <w:t xml:space="preserve">Education and training </w:t>
            </w:r>
          </w:p>
        </w:tc>
        <w:tc>
          <w:tcPr>
            <w:tcW w:w="1698" w:type="dxa"/>
          </w:tcPr>
          <w:p w14:paraId="24C2C062" w14:textId="111946DA" w:rsidR="009E373C" w:rsidRPr="00395E30" w:rsidRDefault="0029587B" w:rsidP="008A00C8">
            <w:pPr>
              <w:pStyle w:val="TableCopy"/>
              <w:spacing w:before="100" w:beforeAutospacing="1" w:after="100" w:afterAutospacing="1"/>
            </w:pPr>
            <w:r>
              <w:t>4,600</w:t>
            </w:r>
          </w:p>
        </w:tc>
      </w:tr>
    </w:tbl>
    <w:p w14:paraId="68C9013B" w14:textId="5541ACEA" w:rsidR="00E1380E" w:rsidRPr="00670F30" w:rsidRDefault="00C349FB" w:rsidP="008A00C8">
      <w:pPr>
        <w:pStyle w:val="Heading2"/>
        <w:spacing w:before="100" w:beforeAutospacing="1" w:after="100" w:afterAutospacing="1"/>
        <w:rPr>
          <w:rFonts w:ascii="Arial" w:eastAsia="MS Mincho" w:hAnsi="Arial" w:cs="Arial"/>
          <w:b/>
          <w:bCs/>
          <w:color w:val="auto"/>
          <w:sz w:val="32"/>
          <w:szCs w:val="32"/>
          <w:lang w:val="en-AU"/>
        </w:rPr>
      </w:pPr>
      <w:r w:rsidRPr="00670F30">
        <w:rPr>
          <w:rFonts w:ascii="Arial" w:eastAsia="MS Mincho" w:hAnsi="Arial" w:cs="Arial"/>
          <w:b/>
          <w:bCs/>
          <w:color w:val="auto"/>
          <w:sz w:val="32"/>
          <w:szCs w:val="32"/>
          <w:lang w:val="en-AU"/>
        </w:rPr>
        <w:t>Top sectors by gross value add (2020)</w:t>
      </w:r>
    </w:p>
    <w:tbl>
      <w:tblPr>
        <w:tblStyle w:val="TableGrid"/>
        <w:tblW w:w="9343" w:type="dxa"/>
        <w:tblLook w:val="04A0" w:firstRow="1" w:lastRow="0" w:firstColumn="1" w:lastColumn="0" w:noHBand="0" w:noVBand="1"/>
      </w:tblPr>
      <w:tblGrid>
        <w:gridCol w:w="6675"/>
        <w:gridCol w:w="2668"/>
      </w:tblGrid>
      <w:tr w:rsidR="00C6552B" w:rsidRPr="0055442F" w14:paraId="0412C64F" w14:textId="77777777" w:rsidTr="00ED2699">
        <w:tc>
          <w:tcPr>
            <w:tcW w:w="4248" w:type="dxa"/>
            <w:noWrap/>
            <w:hideMark/>
          </w:tcPr>
          <w:p w14:paraId="2A93C5A4" w14:textId="77777777" w:rsidR="00C6552B" w:rsidRPr="0055442F" w:rsidRDefault="00C6552B" w:rsidP="008A00C8">
            <w:pPr>
              <w:pStyle w:val="TableCopy"/>
              <w:spacing w:before="100" w:beforeAutospacing="1" w:after="100" w:afterAutospacing="1"/>
              <w:rPr>
                <w:b/>
                <w:bCs/>
              </w:rPr>
            </w:pPr>
            <w:r w:rsidRPr="0055442F">
              <w:rPr>
                <w:b/>
                <w:bCs/>
              </w:rPr>
              <w:t>Industry</w:t>
            </w:r>
          </w:p>
        </w:tc>
        <w:tc>
          <w:tcPr>
            <w:tcW w:w="1698" w:type="dxa"/>
          </w:tcPr>
          <w:p w14:paraId="0211E88B" w14:textId="594F7AD7" w:rsidR="00C6552B" w:rsidRPr="0055442F" w:rsidRDefault="00344BD5" w:rsidP="008A00C8">
            <w:pPr>
              <w:pStyle w:val="TableCopy"/>
              <w:spacing w:before="100" w:beforeAutospacing="1" w:after="100" w:afterAutospacing="1"/>
              <w:rPr>
                <w:b/>
                <w:bCs/>
              </w:rPr>
            </w:pPr>
            <w:r>
              <w:rPr>
                <w:b/>
                <w:bCs/>
              </w:rPr>
              <w:t>G</w:t>
            </w:r>
            <w:r w:rsidR="004C39A5">
              <w:rPr>
                <w:b/>
                <w:bCs/>
              </w:rPr>
              <w:t xml:space="preserve">ross value </w:t>
            </w:r>
            <w:proofErr w:type="gramStart"/>
            <w:r w:rsidR="004C39A5">
              <w:rPr>
                <w:b/>
                <w:bCs/>
              </w:rPr>
              <w:t>add</w:t>
            </w:r>
            <w:proofErr w:type="gramEnd"/>
          </w:p>
        </w:tc>
      </w:tr>
      <w:tr w:rsidR="00C6552B" w:rsidRPr="00395E30" w14:paraId="0D3E8598" w14:textId="77777777" w:rsidTr="00ED2699">
        <w:tc>
          <w:tcPr>
            <w:tcW w:w="4248" w:type="dxa"/>
          </w:tcPr>
          <w:p w14:paraId="5F4E85D0" w14:textId="0CDF0D4F" w:rsidR="00C6552B" w:rsidRPr="00395E30" w:rsidRDefault="00A03B40" w:rsidP="008A00C8">
            <w:pPr>
              <w:pStyle w:val="TableCopy"/>
              <w:spacing w:before="100" w:beforeAutospacing="1" w:after="100" w:afterAutospacing="1"/>
            </w:pPr>
            <w:r>
              <w:t xml:space="preserve">Manufacturing </w:t>
            </w:r>
          </w:p>
        </w:tc>
        <w:tc>
          <w:tcPr>
            <w:tcW w:w="1698" w:type="dxa"/>
          </w:tcPr>
          <w:p w14:paraId="62706779" w14:textId="1642A8A9" w:rsidR="00C6552B" w:rsidRPr="00395E30" w:rsidRDefault="0029587B" w:rsidP="008A00C8">
            <w:pPr>
              <w:pStyle w:val="TableCopy"/>
              <w:spacing w:before="100" w:beforeAutospacing="1" w:after="100" w:afterAutospacing="1"/>
              <w:rPr>
                <w:color w:val="000000"/>
              </w:rPr>
            </w:pPr>
            <w:r>
              <w:t>$743.2 Million</w:t>
            </w:r>
          </w:p>
        </w:tc>
      </w:tr>
      <w:tr w:rsidR="00C6552B" w:rsidRPr="00395E30" w14:paraId="6E5D60EB" w14:textId="77777777" w:rsidTr="00ED2699">
        <w:tc>
          <w:tcPr>
            <w:tcW w:w="4248" w:type="dxa"/>
          </w:tcPr>
          <w:p w14:paraId="3297DCA1" w14:textId="41E7F04A" w:rsidR="00C6552B" w:rsidRPr="00395E30" w:rsidRDefault="00A03B40" w:rsidP="008A00C8">
            <w:pPr>
              <w:pStyle w:val="TableCopy"/>
              <w:spacing w:before="100" w:beforeAutospacing="1" w:after="100" w:afterAutospacing="1"/>
            </w:pPr>
            <w:r>
              <w:t xml:space="preserve">Health care and social assistance </w:t>
            </w:r>
          </w:p>
        </w:tc>
        <w:tc>
          <w:tcPr>
            <w:tcW w:w="1698" w:type="dxa"/>
          </w:tcPr>
          <w:p w14:paraId="06F7E01D" w14:textId="6AEC60D9" w:rsidR="00C6552B" w:rsidRPr="00395E30" w:rsidRDefault="0029587B" w:rsidP="008A00C8">
            <w:pPr>
              <w:pStyle w:val="TableCopy"/>
              <w:spacing w:before="100" w:beforeAutospacing="1" w:after="100" w:afterAutospacing="1"/>
              <w:rPr>
                <w:color w:val="000000"/>
              </w:rPr>
            </w:pPr>
            <w:r>
              <w:t>$660.0 Million</w:t>
            </w:r>
          </w:p>
        </w:tc>
      </w:tr>
      <w:tr w:rsidR="00C6552B" w:rsidRPr="00395E30" w14:paraId="3CC31164" w14:textId="77777777" w:rsidTr="00ED2699">
        <w:tc>
          <w:tcPr>
            <w:tcW w:w="4248" w:type="dxa"/>
          </w:tcPr>
          <w:p w14:paraId="0F5C13E8" w14:textId="0DE1BAFA" w:rsidR="00C6552B" w:rsidRPr="00395E30" w:rsidRDefault="00A03B40" w:rsidP="008A00C8">
            <w:pPr>
              <w:pStyle w:val="TableCopy"/>
              <w:spacing w:before="100" w:beforeAutospacing="1" w:after="100" w:afterAutospacing="1"/>
            </w:pPr>
            <w:r>
              <w:t xml:space="preserve">Construction </w:t>
            </w:r>
          </w:p>
        </w:tc>
        <w:tc>
          <w:tcPr>
            <w:tcW w:w="1698" w:type="dxa"/>
          </w:tcPr>
          <w:p w14:paraId="5A745A8F" w14:textId="5074171F" w:rsidR="00C6552B" w:rsidRPr="00395E30" w:rsidRDefault="0029587B" w:rsidP="008A00C8">
            <w:pPr>
              <w:pStyle w:val="TableCopy"/>
              <w:spacing w:before="100" w:beforeAutospacing="1" w:after="100" w:afterAutospacing="1"/>
              <w:rPr>
                <w:color w:val="000000"/>
              </w:rPr>
            </w:pPr>
            <w:r>
              <w:t>$531.2 Million</w:t>
            </w:r>
          </w:p>
        </w:tc>
      </w:tr>
      <w:tr w:rsidR="00C6552B" w:rsidRPr="00395E30" w14:paraId="41869C6B" w14:textId="77777777" w:rsidTr="00ED2699">
        <w:tc>
          <w:tcPr>
            <w:tcW w:w="4248" w:type="dxa"/>
          </w:tcPr>
          <w:p w14:paraId="227F0352" w14:textId="374AC5E1" w:rsidR="00C6552B" w:rsidRPr="00395E30" w:rsidRDefault="00A03B40" w:rsidP="008A00C8">
            <w:pPr>
              <w:pStyle w:val="TableCopy"/>
              <w:spacing w:before="100" w:beforeAutospacing="1" w:after="100" w:afterAutospacing="1"/>
            </w:pPr>
            <w:r>
              <w:t xml:space="preserve">Public administration and safety </w:t>
            </w:r>
          </w:p>
        </w:tc>
        <w:tc>
          <w:tcPr>
            <w:tcW w:w="1698" w:type="dxa"/>
          </w:tcPr>
          <w:p w14:paraId="7DAF1A08" w14:textId="1144962F" w:rsidR="00C6552B" w:rsidRPr="00395E30" w:rsidRDefault="0029587B" w:rsidP="008A00C8">
            <w:pPr>
              <w:pStyle w:val="TableCopy"/>
              <w:spacing w:before="100" w:beforeAutospacing="1" w:after="100" w:afterAutospacing="1"/>
              <w:rPr>
                <w:color w:val="000000"/>
              </w:rPr>
            </w:pPr>
            <w:r>
              <w:t>$488.5 Million</w:t>
            </w:r>
          </w:p>
        </w:tc>
      </w:tr>
      <w:tr w:rsidR="00C6552B" w:rsidRPr="00395E30" w14:paraId="24926785" w14:textId="77777777" w:rsidTr="00ED2699">
        <w:tc>
          <w:tcPr>
            <w:tcW w:w="4248" w:type="dxa"/>
          </w:tcPr>
          <w:p w14:paraId="642B83EB" w14:textId="5EB2FECB" w:rsidR="00C6552B" w:rsidRPr="00395E30" w:rsidRDefault="0029587B" w:rsidP="008A00C8">
            <w:pPr>
              <w:pStyle w:val="TableCopy"/>
              <w:spacing w:before="100" w:beforeAutospacing="1" w:after="100" w:afterAutospacing="1"/>
            </w:pPr>
            <w:r>
              <w:t xml:space="preserve">Education and training </w:t>
            </w:r>
          </w:p>
        </w:tc>
        <w:tc>
          <w:tcPr>
            <w:tcW w:w="1698" w:type="dxa"/>
          </w:tcPr>
          <w:p w14:paraId="7470C069" w14:textId="7A2B29A0" w:rsidR="00C6552B" w:rsidRPr="00395E30" w:rsidRDefault="0029587B" w:rsidP="008A00C8">
            <w:pPr>
              <w:pStyle w:val="TableCopy"/>
              <w:spacing w:before="100" w:beforeAutospacing="1" w:after="100" w:afterAutospacing="1"/>
              <w:rPr>
                <w:color w:val="000000"/>
              </w:rPr>
            </w:pPr>
            <w:r>
              <w:t>$448.3 Million</w:t>
            </w:r>
          </w:p>
        </w:tc>
      </w:tr>
      <w:tr w:rsidR="00C6552B" w:rsidRPr="00395E30" w14:paraId="00F182DD" w14:textId="77777777" w:rsidTr="00ED2699">
        <w:tc>
          <w:tcPr>
            <w:tcW w:w="4248" w:type="dxa"/>
          </w:tcPr>
          <w:p w14:paraId="1F9A1809" w14:textId="6AF060C1" w:rsidR="00C6552B" w:rsidRPr="00395E30" w:rsidRDefault="0029587B" w:rsidP="008A00C8">
            <w:pPr>
              <w:pStyle w:val="TableCopy"/>
              <w:spacing w:before="100" w:beforeAutospacing="1" w:after="100" w:afterAutospacing="1"/>
            </w:pPr>
            <w:r>
              <w:t xml:space="preserve">Agriculture, </w:t>
            </w:r>
            <w:proofErr w:type="gramStart"/>
            <w:r>
              <w:t>forestry</w:t>
            </w:r>
            <w:proofErr w:type="gramEnd"/>
            <w:r>
              <w:t xml:space="preserve"> and fishing </w:t>
            </w:r>
          </w:p>
        </w:tc>
        <w:tc>
          <w:tcPr>
            <w:tcW w:w="1698" w:type="dxa"/>
          </w:tcPr>
          <w:p w14:paraId="7598C604" w14:textId="543F91AC" w:rsidR="00C6552B" w:rsidRPr="00395E30" w:rsidRDefault="0029587B" w:rsidP="008A00C8">
            <w:pPr>
              <w:pStyle w:val="TableCopy"/>
              <w:spacing w:before="100" w:beforeAutospacing="1" w:after="100" w:afterAutospacing="1"/>
            </w:pPr>
            <w:r>
              <w:t>$381.1 Million</w:t>
            </w:r>
          </w:p>
        </w:tc>
      </w:tr>
    </w:tbl>
    <w:p w14:paraId="37F8325B" w14:textId="176A7973" w:rsidR="00304CB6" w:rsidRDefault="00304CB6" w:rsidP="008A00C8">
      <w:pPr>
        <w:pStyle w:val="Heading1"/>
        <w:spacing w:before="100" w:beforeAutospacing="1" w:after="100" w:afterAutospacing="1"/>
        <w:rPr>
          <w:rFonts w:ascii="Arial" w:hAnsi="Arial" w:cs="Arial"/>
          <w:b/>
          <w:bCs/>
          <w:color w:val="auto"/>
          <w:sz w:val="36"/>
          <w:szCs w:val="36"/>
        </w:rPr>
      </w:pPr>
      <w:r w:rsidRPr="0051145A">
        <w:rPr>
          <w:rFonts w:ascii="Arial" w:hAnsi="Arial" w:cs="Arial"/>
          <w:b/>
          <w:bCs/>
          <w:color w:val="auto"/>
          <w:sz w:val="36"/>
          <w:szCs w:val="36"/>
        </w:rPr>
        <w:t>Strategic Directions</w:t>
      </w:r>
    </w:p>
    <w:p w14:paraId="7F66775F" w14:textId="4526BA63" w:rsidR="004C39A5" w:rsidRPr="006003D2" w:rsidRDefault="006003D2" w:rsidP="004C39A5">
      <w:pPr>
        <w:rPr>
          <w:rFonts w:ascii="Arial" w:hAnsi="Arial" w:cs="Arial"/>
          <w:sz w:val="24"/>
          <w:szCs w:val="24"/>
          <w:lang w:val="en-AU"/>
        </w:rPr>
      </w:pPr>
      <w:r w:rsidRPr="006003D2">
        <w:rPr>
          <w:rFonts w:ascii="Arial" w:hAnsi="Arial" w:cs="Arial"/>
          <w:sz w:val="24"/>
          <w:szCs w:val="24"/>
          <w:lang w:val="en-AU"/>
        </w:rPr>
        <w:t>Ovens Murray’s five strategic directions have been identified using an evidence base that considers the region’s unique attributes, existing and emerging industries, and socioeconomic context.</w:t>
      </w:r>
    </w:p>
    <w:p w14:paraId="2E6E6165" w14:textId="28184594" w:rsidR="001245F6" w:rsidRPr="00262A02" w:rsidRDefault="00262A02" w:rsidP="00E6798B">
      <w:pPr>
        <w:pStyle w:val="Heading2"/>
        <w:spacing w:before="100" w:beforeAutospacing="1" w:after="100" w:afterAutospacing="1"/>
        <w:rPr>
          <w:rFonts w:ascii="Arial" w:hAnsi="Arial" w:cs="Arial"/>
          <w:color w:val="auto"/>
          <w:sz w:val="32"/>
          <w:szCs w:val="32"/>
        </w:rPr>
      </w:pPr>
      <w:r w:rsidRPr="00262A02">
        <w:rPr>
          <w:rFonts w:ascii="Arial" w:hAnsi="Arial" w:cs="Arial"/>
          <w:color w:val="auto"/>
          <w:sz w:val="32"/>
          <w:szCs w:val="32"/>
        </w:rPr>
        <w:t xml:space="preserve">1. Expand business and employment opportunities in the transport, </w:t>
      </w:r>
      <w:proofErr w:type="gramStart"/>
      <w:r w:rsidRPr="00262A02">
        <w:rPr>
          <w:rFonts w:ascii="Arial" w:hAnsi="Arial" w:cs="Arial"/>
          <w:color w:val="auto"/>
          <w:sz w:val="32"/>
          <w:szCs w:val="32"/>
        </w:rPr>
        <w:t>distribution</w:t>
      </w:r>
      <w:proofErr w:type="gramEnd"/>
      <w:r w:rsidRPr="00262A02">
        <w:rPr>
          <w:rFonts w:ascii="Arial" w:hAnsi="Arial" w:cs="Arial"/>
          <w:color w:val="auto"/>
          <w:sz w:val="32"/>
          <w:szCs w:val="32"/>
        </w:rPr>
        <w:t xml:space="preserve"> and logistics industries</w:t>
      </w:r>
    </w:p>
    <w:p w14:paraId="68353F0A" w14:textId="41E0157C" w:rsidR="001245F6" w:rsidRPr="001245F6" w:rsidRDefault="007D4E47" w:rsidP="008A00C8">
      <w:pPr>
        <w:spacing w:before="100" w:beforeAutospacing="1" w:after="100" w:afterAutospacing="1"/>
        <w:rPr>
          <w:rFonts w:ascii="Arial" w:hAnsi="Arial" w:cs="Arial"/>
          <w:sz w:val="24"/>
          <w:szCs w:val="24"/>
          <w:lang w:val="en-AU"/>
        </w:rPr>
      </w:pPr>
      <w:r w:rsidRPr="007D4E47">
        <w:rPr>
          <w:rFonts w:ascii="Arial" w:hAnsi="Arial" w:cs="Arial"/>
          <w:sz w:val="24"/>
          <w:szCs w:val="24"/>
          <w:lang w:val="en-AU"/>
        </w:rPr>
        <w:t xml:space="preserve">The region’s strategic location between Melbourne and Sydney is poised to generate significant growth, productivity and employment through its transport and logistics sector and local industrial precincts. </w:t>
      </w:r>
    </w:p>
    <w:p w14:paraId="368E7515" w14:textId="66E4562D" w:rsidR="001245F6" w:rsidRPr="001245F6" w:rsidRDefault="007D4E47" w:rsidP="008A00C8">
      <w:pPr>
        <w:pStyle w:val="Heading2"/>
        <w:spacing w:before="100" w:beforeAutospacing="1" w:after="100" w:afterAutospacing="1"/>
        <w:rPr>
          <w:rFonts w:ascii="Arial" w:hAnsi="Arial" w:cs="Arial"/>
          <w:color w:val="auto"/>
          <w:sz w:val="32"/>
          <w:szCs w:val="32"/>
        </w:rPr>
      </w:pPr>
      <w:r w:rsidRPr="007D4E47">
        <w:rPr>
          <w:rFonts w:ascii="Arial" w:hAnsi="Arial" w:cs="Arial"/>
          <w:color w:val="auto"/>
          <w:sz w:val="32"/>
          <w:szCs w:val="32"/>
        </w:rPr>
        <w:lastRenderedPageBreak/>
        <w:t>2. Strengthen and diversify the visitor economy through leveraging the region’s nature, epicurean and cultural tourism industries</w:t>
      </w:r>
    </w:p>
    <w:p w14:paraId="1AFB04AD" w14:textId="7B253935" w:rsidR="001245F6" w:rsidRPr="001245F6" w:rsidRDefault="007D4E47" w:rsidP="008A00C8">
      <w:pPr>
        <w:spacing w:before="100" w:beforeAutospacing="1" w:after="100" w:afterAutospacing="1"/>
        <w:rPr>
          <w:rFonts w:ascii="Arial" w:hAnsi="Arial" w:cs="Arial"/>
          <w:sz w:val="24"/>
          <w:szCs w:val="24"/>
          <w:lang w:val="en-AU"/>
        </w:rPr>
      </w:pPr>
      <w:r w:rsidRPr="007D4E47">
        <w:rPr>
          <w:rFonts w:ascii="Arial" w:hAnsi="Arial" w:cs="Arial"/>
          <w:sz w:val="24"/>
          <w:szCs w:val="24"/>
          <w:lang w:val="en-AU"/>
        </w:rPr>
        <w:t>Diverse natural assets and landscapes along with a vibrant food and wine industry will contribute to a growing visitor economy, including opportunities in agritourism and events to drive year-round visitation</w:t>
      </w:r>
      <w:r>
        <w:rPr>
          <w:rFonts w:ascii="Arial" w:hAnsi="Arial" w:cs="Arial"/>
          <w:sz w:val="24"/>
          <w:szCs w:val="24"/>
          <w:lang w:val="en-AU"/>
        </w:rPr>
        <w:t>.</w:t>
      </w:r>
    </w:p>
    <w:p w14:paraId="3366C93F" w14:textId="2F465A1C" w:rsidR="001245F6" w:rsidRPr="001245F6" w:rsidRDefault="00F93F30" w:rsidP="008A00C8">
      <w:pPr>
        <w:pStyle w:val="Heading2"/>
        <w:spacing w:before="100" w:beforeAutospacing="1" w:after="100" w:afterAutospacing="1"/>
        <w:rPr>
          <w:rFonts w:ascii="Arial" w:hAnsi="Arial" w:cs="Arial"/>
          <w:lang w:val="en-AU"/>
        </w:rPr>
      </w:pPr>
      <w:r w:rsidRPr="00F93F30">
        <w:rPr>
          <w:rFonts w:ascii="Arial" w:hAnsi="Arial" w:cs="Arial"/>
          <w:color w:val="auto"/>
          <w:sz w:val="32"/>
          <w:szCs w:val="32"/>
        </w:rPr>
        <w:t>3. Expand on existing strength in manufacturing to take advantage of opportunities in new industries</w:t>
      </w:r>
    </w:p>
    <w:p w14:paraId="7203B608" w14:textId="3FB7CA4B" w:rsidR="001245F6" w:rsidRPr="001245F6" w:rsidRDefault="003F372C" w:rsidP="008A00C8">
      <w:pPr>
        <w:spacing w:before="100" w:beforeAutospacing="1" w:after="100" w:afterAutospacing="1"/>
        <w:rPr>
          <w:rFonts w:ascii="Arial" w:hAnsi="Arial" w:cs="Arial"/>
          <w:sz w:val="24"/>
          <w:szCs w:val="24"/>
          <w:lang w:val="en-AU"/>
        </w:rPr>
      </w:pPr>
      <w:r w:rsidRPr="003F372C">
        <w:rPr>
          <w:rFonts w:ascii="Arial" w:hAnsi="Arial" w:cs="Arial"/>
          <w:sz w:val="24"/>
          <w:szCs w:val="24"/>
          <w:lang w:val="en-AU"/>
        </w:rPr>
        <w:t>Access to industrial land, high-quality raw materials and natural resources, tertiary institutions and strategic transport links offer opportunities to maximise the value of the existing strengths (defence, food product manufacturing) and to develop the circular economy.</w:t>
      </w:r>
    </w:p>
    <w:p w14:paraId="13507C2C" w14:textId="597D146C" w:rsidR="001245F6" w:rsidRPr="001245F6" w:rsidRDefault="00CF017F" w:rsidP="008A00C8">
      <w:pPr>
        <w:pStyle w:val="Heading2"/>
        <w:spacing w:before="100" w:beforeAutospacing="1" w:after="100" w:afterAutospacing="1"/>
        <w:rPr>
          <w:rFonts w:ascii="Arial" w:hAnsi="Arial" w:cs="Arial"/>
          <w:color w:val="auto"/>
          <w:sz w:val="32"/>
          <w:szCs w:val="32"/>
        </w:rPr>
      </w:pPr>
      <w:r w:rsidRPr="00CF017F">
        <w:rPr>
          <w:rFonts w:ascii="Arial" w:hAnsi="Arial" w:cs="Arial"/>
          <w:color w:val="auto"/>
          <w:sz w:val="32"/>
          <w:szCs w:val="32"/>
        </w:rPr>
        <w:t>4. Support and expand economic and employment opportunities in growing sectors (health, social services, education)</w:t>
      </w:r>
    </w:p>
    <w:p w14:paraId="67DABD38" w14:textId="16941EC6" w:rsidR="001245F6" w:rsidRPr="001245F6" w:rsidRDefault="00CF017F" w:rsidP="008A00C8">
      <w:pPr>
        <w:spacing w:before="100" w:beforeAutospacing="1" w:after="100" w:afterAutospacing="1"/>
        <w:rPr>
          <w:rFonts w:ascii="Arial" w:hAnsi="Arial" w:cs="Arial"/>
          <w:sz w:val="24"/>
          <w:szCs w:val="24"/>
          <w:lang w:val="en-AU"/>
        </w:rPr>
      </w:pPr>
      <w:r w:rsidRPr="00CF017F">
        <w:rPr>
          <w:rFonts w:ascii="Arial" w:hAnsi="Arial" w:cs="Arial"/>
          <w:sz w:val="24"/>
          <w:szCs w:val="24"/>
          <w:lang w:val="en-AU"/>
        </w:rPr>
        <w:t xml:space="preserve">Population growth is driving demand for health, social </w:t>
      </w:r>
      <w:proofErr w:type="gramStart"/>
      <w:r w:rsidRPr="00CF017F">
        <w:rPr>
          <w:rFonts w:ascii="Arial" w:hAnsi="Arial" w:cs="Arial"/>
          <w:sz w:val="24"/>
          <w:szCs w:val="24"/>
          <w:lang w:val="en-AU"/>
        </w:rPr>
        <w:t>services</w:t>
      </w:r>
      <w:proofErr w:type="gramEnd"/>
      <w:r w:rsidRPr="00CF017F">
        <w:rPr>
          <w:rFonts w:ascii="Arial" w:hAnsi="Arial" w:cs="Arial"/>
          <w:sz w:val="24"/>
          <w:szCs w:val="24"/>
          <w:lang w:val="en-AU"/>
        </w:rPr>
        <w:t xml:space="preserve"> and education in the region. Developing these sectors can provide significant employment opportunities, create a sustainable local </w:t>
      </w:r>
      <w:proofErr w:type="gramStart"/>
      <w:r w:rsidRPr="00CF017F">
        <w:rPr>
          <w:rFonts w:ascii="Arial" w:hAnsi="Arial" w:cs="Arial"/>
          <w:sz w:val="24"/>
          <w:szCs w:val="24"/>
          <w:lang w:val="en-AU"/>
        </w:rPr>
        <w:t>workforce</w:t>
      </w:r>
      <w:proofErr w:type="gramEnd"/>
      <w:r w:rsidRPr="00CF017F">
        <w:rPr>
          <w:rFonts w:ascii="Arial" w:hAnsi="Arial" w:cs="Arial"/>
          <w:sz w:val="24"/>
          <w:szCs w:val="24"/>
          <w:lang w:val="en-AU"/>
        </w:rPr>
        <w:t xml:space="preserve"> and improve local labour market inclusion.</w:t>
      </w:r>
    </w:p>
    <w:p w14:paraId="267D0E45" w14:textId="43B34E9C" w:rsidR="001245F6" w:rsidRPr="001245F6" w:rsidRDefault="00F03CF9" w:rsidP="008A00C8">
      <w:pPr>
        <w:pStyle w:val="Heading2"/>
        <w:spacing w:before="100" w:beforeAutospacing="1" w:after="100" w:afterAutospacing="1"/>
        <w:rPr>
          <w:rFonts w:ascii="Arial" w:hAnsi="Arial" w:cs="Arial"/>
          <w:lang w:val="en-AU"/>
        </w:rPr>
      </w:pPr>
      <w:r w:rsidRPr="00F03CF9">
        <w:rPr>
          <w:rFonts w:ascii="Arial" w:hAnsi="Arial" w:cs="Arial"/>
          <w:color w:val="auto"/>
          <w:sz w:val="32"/>
          <w:szCs w:val="32"/>
        </w:rPr>
        <w:t>5. Position the region to benefit from emerging growth opportunities in natural resources</w:t>
      </w:r>
    </w:p>
    <w:p w14:paraId="2699403D" w14:textId="11906029" w:rsidR="001245F6" w:rsidRPr="001245F6" w:rsidRDefault="00F03CF9" w:rsidP="008A00C8">
      <w:pPr>
        <w:spacing w:before="100" w:beforeAutospacing="1" w:after="100" w:afterAutospacing="1"/>
        <w:rPr>
          <w:rFonts w:ascii="Arial" w:hAnsi="Arial" w:cs="Arial"/>
          <w:sz w:val="24"/>
          <w:szCs w:val="24"/>
          <w:lang w:val="en-AU"/>
        </w:rPr>
      </w:pPr>
      <w:r w:rsidRPr="00F03CF9">
        <w:rPr>
          <w:rFonts w:ascii="Arial" w:hAnsi="Arial" w:cs="Arial"/>
          <w:sz w:val="24"/>
          <w:szCs w:val="24"/>
          <w:lang w:val="en-AU"/>
        </w:rPr>
        <w:t xml:space="preserve">The region is poised to benefit from the economic opportunities associated with natural resources, including mining exploration, global demand for mineral resources, Renewable Energy Zone (REZ) development, and interest in </w:t>
      </w:r>
      <w:proofErr w:type="gramStart"/>
      <w:r w:rsidRPr="00F03CF9">
        <w:rPr>
          <w:rFonts w:ascii="Arial" w:hAnsi="Arial" w:cs="Arial"/>
          <w:sz w:val="24"/>
          <w:szCs w:val="24"/>
          <w:lang w:val="en-AU"/>
        </w:rPr>
        <w:t>community based</w:t>
      </w:r>
      <w:proofErr w:type="gramEnd"/>
      <w:r w:rsidRPr="00F03CF9">
        <w:rPr>
          <w:rFonts w:ascii="Arial" w:hAnsi="Arial" w:cs="Arial"/>
          <w:sz w:val="24"/>
          <w:szCs w:val="24"/>
          <w:lang w:val="en-AU"/>
        </w:rPr>
        <w:t xml:space="preserve"> energy generation.</w:t>
      </w:r>
    </w:p>
    <w:p w14:paraId="6D23E3A4" w14:textId="78B091BD" w:rsidR="007B6470" w:rsidRPr="00392AB8" w:rsidRDefault="007B6470" w:rsidP="00A91195">
      <w:pPr>
        <w:pStyle w:val="FootnoteText"/>
      </w:pPr>
      <w:r w:rsidRPr="00392AB8">
        <w:t xml:space="preserve">Please refer to the </w:t>
      </w:r>
      <w:r w:rsidR="001A5CD4">
        <w:t>Ovens Murray</w:t>
      </w:r>
      <w:r w:rsidRPr="00392AB8">
        <w:t xml:space="preserve"> REDS and Supporting Analysis for further detail and sources.</w:t>
      </w:r>
    </w:p>
    <w:p w14:paraId="49400477" w14:textId="5D49A3F5" w:rsidR="00304CB6" w:rsidRPr="00392AB8" w:rsidRDefault="007B6470" w:rsidP="00A91195">
      <w:pPr>
        <w:pStyle w:val="FootnoteText"/>
      </w:pPr>
      <w:r w:rsidRPr="00392AB8">
        <w:t>Prepared by the Department of Jobs, Precincts and Regions, May 2022. For more information see: rdv.vic.gov.au.</w:t>
      </w:r>
    </w:p>
    <w:p w14:paraId="0EFAF151" w14:textId="77777777" w:rsidR="00F35DC3" w:rsidRPr="001245F6" w:rsidRDefault="00F35DC3" w:rsidP="008A00C8">
      <w:pPr>
        <w:spacing w:before="100" w:beforeAutospacing="1" w:after="100" w:afterAutospacing="1"/>
        <w:rPr>
          <w:rFonts w:ascii="Arial" w:hAnsi="Arial" w:cs="Arial"/>
          <w:lang w:val="en-AU"/>
        </w:rPr>
      </w:pPr>
    </w:p>
    <w:p w14:paraId="2D922527" w14:textId="77777777" w:rsidR="00C71B7A" w:rsidRPr="001245F6" w:rsidRDefault="00C71B7A" w:rsidP="008A00C8">
      <w:pPr>
        <w:spacing w:before="100" w:beforeAutospacing="1" w:after="100" w:afterAutospacing="1"/>
        <w:rPr>
          <w:rFonts w:ascii="Arial" w:hAnsi="Arial" w:cs="Arial"/>
          <w:lang w:val="en-AU"/>
        </w:rPr>
      </w:pPr>
    </w:p>
    <w:p w14:paraId="2C078E63" w14:textId="77777777" w:rsidR="00163928" w:rsidRPr="001245F6" w:rsidRDefault="00163928" w:rsidP="008A00C8">
      <w:pPr>
        <w:spacing w:before="100" w:beforeAutospacing="1" w:after="100" w:afterAutospacing="1"/>
        <w:rPr>
          <w:rFonts w:ascii="Arial" w:hAnsi="Arial" w:cs="Arial"/>
        </w:rPr>
      </w:pPr>
    </w:p>
    <w:sectPr w:rsidR="00163928" w:rsidRPr="001245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5D08C" w14:textId="77777777" w:rsidR="00DF52B6" w:rsidRDefault="00DF52B6" w:rsidP="009D5328">
      <w:pPr>
        <w:spacing w:after="0" w:line="240" w:lineRule="auto"/>
      </w:pPr>
      <w:r>
        <w:separator/>
      </w:r>
    </w:p>
  </w:endnote>
  <w:endnote w:type="continuationSeparator" w:id="0">
    <w:p w14:paraId="2DCD84B6" w14:textId="77777777" w:rsidR="00DF52B6" w:rsidRDefault="00DF52B6" w:rsidP="009D5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CB632" w14:textId="77777777" w:rsidR="00DF52B6" w:rsidRDefault="00DF52B6" w:rsidP="009D5328">
      <w:pPr>
        <w:spacing w:after="0" w:line="240" w:lineRule="auto"/>
      </w:pPr>
      <w:r>
        <w:separator/>
      </w:r>
    </w:p>
  </w:footnote>
  <w:footnote w:type="continuationSeparator" w:id="0">
    <w:p w14:paraId="19FE568E" w14:textId="77777777" w:rsidR="00DF52B6" w:rsidRDefault="00DF52B6" w:rsidP="009D53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73003F1"/>
    <w:rsid w:val="0000308E"/>
    <w:rsid w:val="000237B7"/>
    <w:rsid w:val="00032B2C"/>
    <w:rsid w:val="00043CFE"/>
    <w:rsid w:val="00047184"/>
    <w:rsid w:val="00064FF3"/>
    <w:rsid w:val="00087E72"/>
    <w:rsid w:val="00110FD5"/>
    <w:rsid w:val="001245F6"/>
    <w:rsid w:val="0015685F"/>
    <w:rsid w:val="00163928"/>
    <w:rsid w:val="001765A2"/>
    <w:rsid w:val="001A5CD4"/>
    <w:rsid w:val="001C2593"/>
    <w:rsid w:val="001E544A"/>
    <w:rsid w:val="001E5C6E"/>
    <w:rsid w:val="00214FB5"/>
    <w:rsid w:val="00224BFB"/>
    <w:rsid w:val="00226367"/>
    <w:rsid w:val="00237C71"/>
    <w:rsid w:val="00240C90"/>
    <w:rsid w:val="00241A94"/>
    <w:rsid w:val="00262A02"/>
    <w:rsid w:val="00265016"/>
    <w:rsid w:val="0029587B"/>
    <w:rsid w:val="002D0776"/>
    <w:rsid w:val="00304CB6"/>
    <w:rsid w:val="003052AD"/>
    <w:rsid w:val="00344BD5"/>
    <w:rsid w:val="00372AAE"/>
    <w:rsid w:val="00384431"/>
    <w:rsid w:val="00392AB8"/>
    <w:rsid w:val="003C5975"/>
    <w:rsid w:val="003D50F9"/>
    <w:rsid w:val="003E29EB"/>
    <w:rsid w:val="003F372C"/>
    <w:rsid w:val="0040436C"/>
    <w:rsid w:val="00421CBF"/>
    <w:rsid w:val="004258C8"/>
    <w:rsid w:val="00473AEC"/>
    <w:rsid w:val="004C1FA3"/>
    <w:rsid w:val="004C39A5"/>
    <w:rsid w:val="004E2623"/>
    <w:rsid w:val="0051145A"/>
    <w:rsid w:val="00535344"/>
    <w:rsid w:val="00542953"/>
    <w:rsid w:val="00542B83"/>
    <w:rsid w:val="00542BBC"/>
    <w:rsid w:val="00562DCA"/>
    <w:rsid w:val="005D5CAA"/>
    <w:rsid w:val="006003D2"/>
    <w:rsid w:val="00670F30"/>
    <w:rsid w:val="006F5A41"/>
    <w:rsid w:val="007254CF"/>
    <w:rsid w:val="007514C9"/>
    <w:rsid w:val="00790976"/>
    <w:rsid w:val="007957B0"/>
    <w:rsid w:val="007B6470"/>
    <w:rsid w:val="007D4E47"/>
    <w:rsid w:val="00826A4F"/>
    <w:rsid w:val="00864E5F"/>
    <w:rsid w:val="00870BF7"/>
    <w:rsid w:val="00894C22"/>
    <w:rsid w:val="008A00C8"/>
    <w:rsid w:val="008B5C2D"/>
    <w:rsid w:val="00916044"/>
    <w:rsid w:val="0097034F"/>
    <w:rsid w:val="009949E7"/>
    <w:rsid w:val="009A3281"/>
    <w:rsid w:val="009B327E"/>
    <w:rsid w:val="009D5328"/>
    <w:rsid w:val="009E373C"/>
    <w:rsid w:val="009E3AD7"/>
    <w:rsid w:val="00A039B4"/>
    <w:rsid w:val="00A03B40"/>
    <w:rsid w:val="00A91195"/>
    <w:rsid w:val="00AC35F6"/>
    <w:rsid w:val="00B34475"/>
    <w:rsid w:val="00B67844"/>
    <w:rsid w:val="00B74E41"/>
    <w:rsid w:val="00B815BC"/>
    <w:rsid w:val="00C349FB"/>
    <w:rsid w:val="00C6552B"/>
    <w:rsid w:val="00C71B7A"/>
    <w:rsid w:val="00C83238"/>
    <w:rsid w:val="00C964C7"/>
    <w:rsid w:val="00CC083F"/>
    <w:rsid w:val="00CF017F"/>
    <w:rsid w:val="00CF4D48"/>
    <w:rsid w:val="00DF52B6"/>
    <w:rsid w:val="00E1380E"/>
    <w:rsid w:val="00E6798B"/>
    <w:rsid w:val="00E70E24"/>
    <w:rsid w:val="00E87DA0"/>
    <w:rsid w:val="00E90A51"/>
    <w:rsid w:val="00EA14E8"/>
    <w:rsid w:val="00EB0F20"/>
    <w:rsid w:val="00EC3CFE"/>
    <w:rsid w:val="00F03CF9"/>
    <w:rsid w:val="00F07A02"/>
    <w:rsid w:val="00F14C39"/>
    <w:rsid w:val="00F35DC3"/>
    <w:rsid w:val="00F56B94"/>
    <w:rsid w:val="00F93F30"/>
    <w:rsid w:val="00FD5B06"/>
    <w:rsid w:val="00FE3CC8"/>
    <w:rsid w:val="47300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003F1"/>
  <w15:chartTrackingRefBased/>
  <w15:docId w15:val="{85A4E1F5-7743-40F3-ABB0-FD01851D2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53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E3AD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7B6470"/>
    <w:pPr>
      <w:keepNext/>
      <w:keepLines/>
      <w:spacing w:before="200" w:after="200" w:line="240" w:lineRule="auto"/>
      <w:outlineLvl w:val="2"/>
    </w:pPr>
    <w:rPr>
      <w:rFonts w:ascii="Arial" w:eastAsia="MS Gothic" w:hAnsi="Arial" w:cs="Arial"/>
      <w:b/>
      <w:bCs/>
      <w:spacing w:val="-4"/>
      <w:sz w:val="28"/>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3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328"/>
  </w:style>
  <w:style w:type="paragraph" w:styleId="Footer">
    <w:name w:val="footer"/>
    <w:basedOn w:val="Normal"/>
    <w:link w:val="FooterChar"/>
    <w:uiPriority w:val="99"/>
    <w:unhideWhenUsed/>
    <w:rsid w:val="009D53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328"/>
  </w:style>
  <w:style w:type="paragraph" w:styleId="Title">
    <w:name w:val="Title"/>
    <w:basedOn w:val="Normal"/>
    <w:next w:val="Normal"/>
    <w:link w:val="TitleChar"/>
    <w:uiPriority w:val="10"/>
    <w:qFormat/>
    <w:rsid w:val="009D5328"/>
    <w:pPr>
      <w:pBdr>
        <w:bottom w:val="single" w:sz="8" w:space="4" w:color="4F81BD"/>
      </w:pBdr>
      <w:spacing w:after="300" w:line="240" w:lineRule="auto"/>
      <w:contextualSpacing/>
    </w:pPr>
    <w:rPr>
      <w:rFonts w:ascii="Arial" w:eastAsia="MS Gothic" w:hAnsi="Arial" w:cs="Arial"/>
      <w:b/>
      <w:spacing w:val="5"/>
      <w:kern w:val="28"/>
      <w:sz w:val="52"/>
      <w:szCs w:val="52"/>
      <w:lang w:val="en-AU"/>
    </w:rPr>
  </w:style>
  <w:style w:type="character" w:customStyle="1" w:styleId="TitleChar">
    <w:name w:val="Title Char"/>
    <w:basedOn w:val="DefaultParagraphFont"/>
    <w:link w:val="Title"/>
    <w:uiPriority w:val="10"/>
    <w:rsid w:val="009D5328"/>
    <w:rPr>
      <w:rFonts w:ascii="Arial" w:eastAsia="MS Gothic" w:hAnsi="Arial" w:cs="Arial"/>
      <w:b/>
      <w:spacing w:val="5"/>
      <w:kern w:val="28"/>
      <w:sz w:val="52"/>
      <w:szCs w:val="52"/>
      <w:lang w:val="en-AU"/>
    </w:rPr>
  </w:style>
  <w:style w:type="paragraph" w:styleId="Subtitle">
    <w:name w:val="Subtitle"/>
    <w:basedOn w:val="Heading1"/>
    <w:next w:val="Normal"/>
    <w:link w:val="SubtitleChar"/>
    <w:uiPriority w:val="11"/>
    <w:qFormat/>
    <w:rsid w:val="009D5328"/>
    <w:pPr>
      <w:spacing w:before="480" w:after="200" w:line="240" w:lineRule="auto"/>
    </w:pPr>
    <w:rPr>
      <w:rFonts w:ascii="Arial" w:eastAsia="MS Gothic" w:hAnsi="Arial" w:cs="Times New Roman"/>
      <w:b/>
      <w:bCs/>
      <w:color w:val="auto"/>
      <w:spacing w:val="-4"/>
      <w:sz w:val="36"/>
      <w:lang w:val="en-AU"/>
    </w:rPr>
  </w:style>
  <w:style w:type="character" w:customStyle="1" w:styleId="SubtitleChar">
    <w:name w:val="Subtitle Char"/>
    <w:basedOn w:val="DefaultParagraphFont"/>
    <w:link w:val="Subtitle"/>
    <w:uiPriority w:val="11"/>
    <w:rsid w:val="009D5328"/>
    <w:rPr>
      <w:rFonts w:ascii="Arial" w:eastAsia="MS Gothic" w:hAnsi="Arial" w:cs="Times New Roman"/>
      <w:b/>
      <w:bCs/>
      <w:spacing w:val="-4"/>
      <w:sz w:val="36"/>
      <w:szCs w:val="32"/>
      <w:lang w:val="en-AU"/>
    </w:rPr>
  </w:style>
  <w:style w:type="character" w:customStyle="1" w:styleId="Heading1Char">
    <w:name w:val="Heading 1 Char"/>
    <w:basedOn w:val="DefaultParagraphFont"/>
    <w:link w:val="Heading1"/>
    <w:uiPriority w:val="9"/>
    <w:rsid w:val="009D5328"/>
    <w:rPr>
      <w:rFonts w:asciiTheme="majorHAnsi" w:eastAsiaTheme="majorEastAsia" w:hAnsiTheme="majorHAnsi" w:cstheme="majorBidi"/>
      <w:color w:val="2F5496" w:themeColor="accent1" w:themeShade="BF"/>
      <w:sz w:val="32"/>
      <w:szCs w:val="32"/>
    </w:rPr>
  </w:style>
  <w:style w:type="paragraph" w:styleId="EndnoteText">
    <w:name w:val="endnote text"/>
    <w:basedOn w:val="Normal"/>
    <w:link w:val="EndnoteTextChar"/>
    <w:uiPriority w:val="99"/>
    <w:semiHidden/>
    <w:unhideWhenUsed/>
    <w:rsid w:val="00087E7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87E72"/>
    <w:rPr>
      <w:sz w:val="20"/>
      <w:szCs w:val="20"/>
    </w:rPr>
  </w:style>
  <w:style w:type="character" w:styleId="EndnoteReference">
    <w:name w:val="endnote reference"/>
    <w:basedOn w:val="DefaultParagraphFont"/>
    <w:uiPriority w:val="99"/>
    <w:semiHidden/>
    <w:unhideWhenUsed/>
    <w:rsid w:val="00087E72"/>
    <w:rPr>
      <w:vertAlign w:val="superscript"/>
    </w:rPr>
  </w:style>
  <w:style w:type="character" w:customStyle="1" w:styleId="Heading3Char">
    <w:name w:val="Heading 3 Char"/>
    <w:basedOn w:val="DefaultParagraphFont"/>
    <w:link w:val="Heading3"/>
    <w:uiPriority w:val="9"/>
    <w:rsid w:val="007B6470"/>
    <w:rPr>
      <w:rFonts w:ascii="Arial" w:eastAsia="MS Gothic" w:hAnsi="Arial" w:cs="Arial"/>
      <w:b/>
      <w:bCs/>
      <w:spacing w:val="-4"/>
      <w:sz w:val="28"/>
      <w:szCs w:val="24"/>
      <w:lang w:val="en-AU"/>
    </w:rPr>
  </w:style>
  <w:style w:type="character" w:customStyle="1" w:styleId="Heading2Char">
    <w:name w:val="Heading 2 Char"/>
    <w:basedOn w:val="DefaultParagraphFont"/>
    <w:link w:val="Heading2"/>
    <w:uiPriority w:val="9"/>
    <w:rsid w:val="009E3AD7"/>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3E29EB"/>
    <w:pPr>
      <w:spacing w:after="0" w:line="240" w:lineRule="auto"/>
    </w:pPr>
    <w:rPr>
      <w:rFonts w:ascii="Cambria" w:eastAsia="MS Mincho" w:hAnsi="Cambria"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
    <w:basedOn w:val="Normal"/>
    <w:qFormat/>
    <w:rsid w:val="003E29EB"/>
    <w:pPr>
      <w:spacing w:before="60" w:after="60" w:line="240" w:lineRule="auto"/>
    </w:pPr>
    <w:rPr>
      <w:rFonts w:ascii="Arial" w:eastAsia="MS Mincho" w:hAnsi="Arial" w:cs="Arial"/>
      <w:spacing w:val="-4"/>
      <w:sz w:val="24"/>
      <w:szCs w:val="24"/>
      <w:lang w:val="en-AU"/>
    </w:rPr>
  </w:style>
  <w:style w:type="paragraph" w:styleId="FootnoteText">
    <w:name w:val="footnote text"/>
    <w:basedOn w:val="Normal"/>
    <w:link w:val="FootnoteTextChar"/>
    <w:uiPriority w:val="99"/>
    <w:unhideWhenUsed/>
    <w:rsid w:val="00E1380E"/>
    <w:pPr>
      <w:spacing w:after="60" w:line="240" w:lineRule="auto"/>
    </w:pPr>
    <w:rPr>
      <w:rFonts w:ascii="Arial" w:eastAsia="MS Mincho" w:hAnsi="Arial" w:cs="Arial"/>
      <w:spacing w:val="-4"/>
      <w:sz w:val="16"/>
      <w:szCs w:val="24"/>
      <w:lang w:val="en-AU"/>
    </w:rPr>
  </w:style>
  <w:style w:type="character" w:customStyle="1" w:styleId="FootnoteTextChar">
    <w:name w:val="Footnote Text Char"/>
    <w:basedOn w:val="DefaultParagraphFont"/>
    <w:link w:val="FootnoteText"/>
    <w:uiPriority w:val="99"/>
    <w:rsid w:val="00E1380E"/>
    <w:rPr>
      <w:rFonts w:ascii="Arial" w:eastAsia="MS Mincho" w:hAnsi="Arial" w:cs="Arial"/>
      <w:spacing w:val="-4"/>
      <w:sz w:val="16"/>
      <w:szCs w:val="24"/>
      <w:lang w:val="en-AU"/>
    </w:rPr>
  </w:style>
  <w:style w:type="character" w:styleId="FootnoteReference">
    <w:name w:val="footnote reference"/>
    <w:uiPriority w:val="99"/>
    <w:unhideWhenUsed/>
    <w:rsid w:val="00E1380E"/>
    <w:rPr>
      <w:rFonts w:ascii="Arial" w:hAnsi="Arial"/>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43994">
      <w:bodyDiv w:val="1"/>
      <w:marLeft w:val="0"/>
      <w:marRight w:val="0"/>
      <w:marTop w:val="0"/>
      <w:marBottom w:val="0"/>
      <w:divBdr>
        <w:top w:val="none" w:sz="0" w:space="0" w:color="auto"/>
        <w:left w:val="none" w:sz="0" w:space="0" w:color="auto"/>
        <w:bottom w:val="none" w:sz="0" w:space="0" w:color="auto"/>
        <w:right w:val="none" w:sz="0" w:space="0" w:color="auto"/>
      </w:divBdr>
    </w:div>
    <w:div w:id="174422594">
      <w:bodyDiv w:val="1"/>
      <w:marLeft w:val="0"/>
      <w:marRight w:val="0"/>
      <w:marTop w:val="0"/>
      <w:marBottom w:val="0"/>
      <w:divBdr>
        <w:top w:val="none" w:sz="0" w:space="0" w:color="auto"/>
        <w:left w:val="none" w:sz="0" w:space="0" w:color="auto"/>
        <w:bottom w:val="none" w:sz="0" w:space="0" w:color="auto"/>
        <w:right w:val="none" w:sz="0" w:space="0" w:color="auto"/>
      </w:divBdr>
    </w:div>
    <w:div w:id="263996739">
      <w:bodyDiv w:val="1"/>
      <w:marLeft w:val="0"/>
      <w:marRight w:val="0"/>
      <w:marTop w:val="0"/>
      <w:marBottom w:val="0"/>
      <w:divBdr>
        <w:top w:val="none" w:sz="0" w:space="0" w:color="auto"/>
        <w:left w:val="none" w:sz="0" w:space="0" w:color="auto"/>
        <w:bottom w:val="none" w:sz="0" w:space="0" w:color="auto"/>
        <w:right w:val="none" w:sz="0" w:space="0" w:color="auto"/>
      </w:divBdr>
    </w:div>
    <w:div w:id="416833321">
      <w:bodyDiv w:val="1"/>
      <w:marLeft w:val="0"/>
      <w:marRight w:val="0"/>
      <w:marTop w:val="0"/>
      <w:marBottom w:val="0"/>
      <w:divBdr>
        <w:top w:val="none" w:sz="0" w:space="0" w:color="auto"/>
        <w:left w:val="none" w:sz="0" w:space="0" w:color="auto"/>
        <w:bottom w:val="none" w:sz="0" w:space="0" w:color="auto"/>
        <w:right w:val="none" w:sz="0" w:space="0" w:color="auto"/>
      </w:divBdr>
    </w:div>
    <w:div w:id="441924647">
      <w:bodyDiv w:val="1"/>
      <w:marLeft w:val="0"/>
      <w:marRight w:val="0"/>
      <w:marTop w:val="0"/>
      <w:marBottom w:val="0"/>
      <w:divBdr>
        <w:top w:val="none" w:sz="0" w:space="0" w:color="auto"/>
        <w:left w:val="none" w:sz="0" w:space="0" w:color="auto"/>
        <w:bottom w:val="none" w:sz="0" w:space="0" w:color="auto"/>
        <w:right w:val="none" w:sz="0" w:space="0" w:color="auto"/>
      </w:divBdr>
    </w:div>
    <w:div w:id="474686433">
      <w:bodyDiv w:val="1"/>
      <w:marLeft w:val="0"/>
      <w:marRight w:val="0"/>
      <w:marTop w:val="0"/>
      <w:marBottom w:val="0"/>
      <w:divBdr>
        <w:top w:val="none" w:sz="0" w:space="0" w:color="auto"/>
        <w:left w:val="none" w:sz="0" w:space="0" w:color="auto"/>
        <w:bottom w:val="none" w:sz="0" w:space="0" w:color="auto"/>
        <w:right w:val="none" w:sz="0" w:space="0" w:color="auto"/>
      </w:divBdr>
    </w:div>
    <w:div w:id="544101764">
      <w:bodyDiv w:val="1"/>
      <w:marLeft w:val="0"/>
      <w:marRight w:val="0"/>
      <w:marTop w:val="0"/>
      <w:marBottom w:val="0"/>
      <w:divBdr>
        <w:top w:val="none" w:sz="0" w:space="0" w:color="auto"/>
        <w:left w:val="none" w:sz="0" w:space="0" w:color="auto"/>
        <w:bottom w:val="none" w:sz="0" w:space="0" w:color="auto"/>
        <w:right w:val="none" w:sz="0" w:space="0" w:color="auto"/>
      </w:divBdr>
    </w:div>
    <w:div w:id="549616529">
      <w:bodyDiv w:val="1"/>
      <w:marLeft w:val="0"/>
      <w:marRight w:val="0"/>
      <w:marTop w:val="0"/>
      <w:marBottom w:val="0"/>
      <w:divBdr>
        <w:top w:val="none" w:sz="0" w:space="0" w:color="auto"/>
        <w:left w:val="none" w:sz="0" w:space="0" w:color="auto"/>
        <w:bottom w:val="none" w:sz="0" w:space="0" w:color="auto"/>
        <w:right w:val="none" w:sz="0" w:space="0" w:color="auto"/>
      </w:divBdr>
    </w:div>
    <w:div w:id="605575459">
      <w:bodyDiv w:val="1"/>
      <w:marLeft w:val="0"/>
      <w:marRight w:val="0"/>
      <w:marTop w:val="0"/>
      <w:marBottom w:val="0"/>
      <w:divBdr>
        <w:top w:val="none" w:sz="0" w:space="0" w:color="auto"/>
        <w:left w:val="none" w:sz="0" w:space="0" w:color="auto"/>
        <w:bottom w:val="none" w:sz="0" w:space="0" w:color="auto"/>
        <w:right w:val="none" w:sz="0" w:space="0" w:color="auto"/>
      </w:divBdr>
    </w:div>
    <w:div w:id="722631705">
      <w:bodyDiv w:val="1"/>
      <w:marLeft w:val="0"/>
      <w:marRight w:val="0"/>
      <w:marTop w:val="0"/>
      <w:marBottom w:val="0"/>
      <w:divBdr>
        <w:top w:val="none" w:sz="0" w:space="0" w:color="auto"/>
        <w:left w:val="none" w:sz="0" w:space="0" w:color="auto"/>
        <w:bottom w:val="none" w:sz="0" w:space="0" w:color="auto"/>
        <w:right w:val="none" w:sz="0" w:space="0" w:color="auto"/>
      </w:divBdr>
    </w:div>
    <w:div w:id="730732299">
      <w:bodyDiv w:val="1"/>
      <w:marLeft w:val="0"/>
      <w:marRight w:val="0"/>
      <w:marTop w:val="0"/>
      <w:marBottom w:val="0"/>
      <w:divBdr>
        <w:top w:val="none" w:sz="0" w:space="0" w:color="auto"/>
        <w:left w:val="none" w:sz="0" w:space="0" w:color="auto"/>
        <w:bottom w:val="none" w:sz="0" w:space="0" w:color="auto"/>
        <w:right w:val="none" w:sz="0" w:space="0" w:color="auto"/>
      </w:divBdr>
    </w:div>
    <w:div w:id="838813766">
      <w:bodyDiv w:val="1"/>
      <w:marLeft w:val="0"/>
      <w:marRight w:val="0"/>
      <w:marTop w:val="0"/>
      <w:marBottom w:val="0"/>
      <w:divBdr>
        <w:top w:val="none" w:sz="0" w:space="0" w:color="auto"/>
        <w:left w:val="none" w:sz="0" w:space="0" w:color="auto"/>
        <w:bottom w:val="none" w:sz="0" w:space="0" w:color="auto"/>
        <w:right w:val="none" w:sz="0" w:space="0" w:color="auto"/>
      </w:divBdr>
    </w:div>
    <w:div w:id="841622296">
      <w:bodyDiv w:val="1"/>
      <w:marLeft w:val="0"/>
      <w:marRight w:val="0"/>
      <w:marTop w:val="0"/>
      <w:marBottom w:val="0"/>
      <w:divBdr>
        <w:top w:val="none" w:sz="0" w:space="0" w:color="auto"/>
        <w:left w:val="none" w:sz="0" w:space="0" w:color="auto"/>
        <w:bottom w:val="none" w:sz="0" w:space="0" w:color="auto"/>
        <w:right w:val="none" w:sz="0" w:space="0" w:color="auto"/>
      </w:divBdr>
    </w:div>
    <w:div w:id="842208744">
      <w:bodyDiv w:val="1"/>
      <w:marLeft w:val="0"/>
      <w:marRight w:val="0"/>
      <w:marTop w:val="0"/>
      <w:marBottom w:val="0"/>
      <w:divBdr>
        <w:top w:val="none" w:sz="0" w:space="0" w:color="auto"/>
        <w:left w:val="none" w:sz="0" w:space="0" w:color="auto"/>
        <w:bottom w:val="none" w:sz="0" w:space="0" w:color="auto"/>
        <w:right w:val="none" w:sz="0" w:space="0" w:color="auto"/>
      </w:divBdr>
    </w:div>
    <w:div w:id="980963897">
      <w:bodyDiv w:val="1"/>
      <w:marLeft w:val="0"/>
      <w:marRight w:val="0"/>
      <w:marTop w:val="0"/>
      <w:marBottom w:val="0"/>
      <w:divBdr>
        <w:top w:val="none" w:sz="0" w:space="0" w:color="auto"/>
        <w:left w:val="none" w:sz="0" w:space="0" w:color="auto"/>
        <w:bottom w:val="none" w:sz="0" w:space="0" w:color="auto"/>
        <w:right w:val="none" w:sz="0" w:space="0" w:color="auto"/>
      </w:divBdr>
    </w:div>
    <w:div w:id="1017078226">
      <w:bodyDiv w:val="1"/>
      <w:marLeft w:val="0"/>
      <w:marRight w:val="0"/>
      <w:marTop w:val="0"/>
      <w:marBottom w:val="0"/>
      <w:divBdr>
        <w:top w:val="none" w:sz="0" w:space="0" w:color="auto"/>
        <w:left w:val="none" w:sz="0" w:space="0" w:color="auto"/>
        <w:bottom w:val="none" w:sz="0" w:space="0" w:color="auto"/>
        <w:right w:val="none" w:sz="0" w:space="0" w:color="auto"/>
      </w:divBdr>
    </w:div>
    <w:div w:id="1135483452">
      <w:bodyDiv w:val="1"/>
      <w:marLeft w:val="0"/>
      <w:marRight w:val="0"/>
      <w:marTop w:val="0"/>
      <w:marBottom w:val="0"/>
      <w:divBdr>
        <w:top w:val="none" w:sz="0" w:space="0" w:color="auto"/>
        <w:left w:val="none" w:sz="0" w:space="0" w:color="auto"/>
        <w:bottom w:val="none" w:sz="0" w:space="0" w:color="auto"/>
        <w:right w:val="none" w:sz="0" w:space="0" w:color="auto"/>
      </w:divBdr>
    </w:div>
    <w:div w:id="1241014890">
      <w:bodyDiv w:val="1"/>
      <w:marLeft w:val="0"/>
      <w:marRight w:val="0"/>
      <w:marTop w:val="0"/>
      <w:marBottom w:val="0"/>
      <w:divBdr>
        <w:top w:val="none" w:sz="0" w:space="0" w:color="auto"/>
        <w:left w:val="none" w:sz="0" w:space="0" w:color="auto"/>
        <w:bottom w:val="none" w:sz="0" w:space="0" w:color="auto"/>
        <w:right w:val="none" w:sz="0" w:space="0" w:color="auto"/>
      </w:divBdr>
    </w:div>
    <w:div w:id="1279800952">
      <w:bodyDiv w:val="1"/>
      <w:marLeft w:val="0"/>
      <w:marRight w:val="0"/>
      <w:marTop w:val="0"/>
      <w:marBottom w:val="0"/>
      <w:divBdr>
        <w:top w:val="none" w:sz="0" w:space="0" w:color="auto"/>
        <w:left w:val="none" w:sz="0" w:space="0" w:color="auto"/>
        <w:bottom w:val="none" w:sz="0" w:space="0" w:color="auto"/>
        <w:right w:val="none" w:sz="0" w:space="0" w:color="auto"/>
      </w:divBdr>
    </w:div>
    <w:div w:id="1311520442">
      <w:bodyDiv w:val="1"/>
      <w:marLeft w:val="0"/>
      <w:marRight w:val="0"/>
      <w:marTop w:val="0"/>
      <w:marBottom w:val="0"/>
      <w:divBdr>
        <w:top w:val="none" w:sz="0" w:space="0" w:color="auto"/>
        <w:left w:val="none" w:sz="0" w:space="0" w:color="auto"/>
        <w:bottom w:val="none" w:sz="0" w:space="0" w:color="auto"/>
        <w:right w:val="none" w:sz="0" w:space="0" w:color="auto"/>
      </w:divBdr>
    </w:div>
    <w:div w:id="1357075533">
      <w:bodyDiv w:val="1"/>
      <w:marLeft w:val="0"/>
      <w:marRight w:val="0"/>
      <w:marTop w:val="0"/>
      <w:marBottom w:val="0"/>
      <w:divBdr>
        <w:top w:val="none" w:sz="0" w:space="0" w:color="auto"/>
        <w:left w:val="none" w:sz="0" w:space="0" w:color="auto"/>
        <w:bottom w:val="none" w:sz="0" w:space="0" w:color="auto"/>
        <w:right w:val="none" w:sz="0" w:space="0" w:color="auto"/>
      </w:divBdr>
    </w:div>
    <w:div w:id="1433090482">
      <w:bodyDiv w:val="1"/>
      <w:marLeft w:val="0"/>
      <w:marRight w:val="0"/>
      <w:marTop w:val="0"/>
      <w:marBottom w:val="0"/>
      <w:divBdr>
        <w:top w:val="none" w:sz="0" w:space="0" w:color="auto"/>
        <w:left w:val="none" w:sz="0" w:space="0" w:color="auto"/>
        <w:bottom w:val="none" w:sz="0" w:space="0" w:color="auto"/>
        <w:right w:val="none" w:sz="0" w:space="0" w:color="auto"/>
      </w:divBdr>
    </w:div>
    <w:div w:id="1522275610">
      <w:bodyDiv w:val="1"/>
      <w:marLeft w:val="0"/>
      <w:marRight w:val="0"/>
      <w:marTop w:val="0"/>
      <w:marBottom w:val="0"/>
      <w:divBdr>
        <w:top w:val="none" w:sz="0" w:space="0" w:color="auto"/>
        <w:left w:val="none" w:sz="0" w:space="0" w:color="auto"/>
        <w:bottom w:val="none" w:sz="0" w:space="0" w:color="auto"/>
        <w:right w:val="none" w:sz="0" w:space="0" w:color="auto"/>
      </w:divBdr>
    </w:div>
    <w:div w:id="1615210848">
      <w:bodyDiv w:val="1"/>
      <w:marLeft w:val="0"/>
      <w:marRight w:val="0"/>
      <w:marTop w:val="0"/>
      <w:marBottom w:val="0"/>
      <w:divBdr>
        <w:top w:val="none" w:sz="0" w:space="0" w:color="auto"/>
        <w:left w:val="none" w:sz="0" w:space="0" w:color="auto"/>
        <w:bottom w:val="none" w:sz="0" w:space="0" w:color="auto"/>
        <w:right w:val="none" w:sz="0" w:space="0" w:color="auto"/>
      </w:divBdr>
    </w:div>
    <w:div w:id="1646425709">
      <w:bodyDiv w:val="1"/>
      <w:marLeft w:val="0"/>
      <w:marRight w:val="0"/>
      <w:marTop w:val="0"/>
      <w:marBottom w:val="0"/>
      <w:divBdr>
        <w:top w:val="none" w:sz="0" w:space="0" w:color="auto"/>
        <w:left w:val="none" w:sz="0" w:space="0" w:color="auto"/>
        <w:bottom w:val="none" w:sz="0" w:space="0" w:color="auto"/>
        <w:right w:val="none" w:sz="0" w:space="0" w:color="auto"/>
      </w:divBdr>
    </w:div>
    <w:div w:id="1664775440">
      <w:bodyDiv w:val="1"/>
      <w:marLeft w:val="0"/>
      <w:marRight w:val="0"/>
      <w:marTop w:val="0"/>
      <w:marBottom w:val="0"/>
      <w:divBdr>
        <w:top w:val="none" w:sz="0" w:space="0" w:color="auto"/>
        <w:left w:val="none" w:sz="0" w:space="0" w:color="auto"/>
        <w:bottom w:val="none" w:sz="0" w:space="0" w:color="auto"/>
        <w:right w:val="none" w:sz="0" w:space="0" w:color="auto"/>
      </w:divBdr>
    </w:div>
    <w:div w:id="1747651961">
      <w:bodyDiv w:val="1"/>
      <w:marLeft w:val="0"/>
      <w:marRight w:val="0"/>
      <w:marTop w:val="0"/>
      <w:marBottom w:val="0"/>
      <w:divBdr>
        <w:top w:val="none" w:sz="0" w:space="0" w:color="auto"/>
        <w:left w:val="none" w:sz="0" w:space="0" w:color="auto"/>
        <w:bottom w:val="none" w:sz="0" w:space="0" w:color="auto"/>
        <w:right w:val="none" w:sz="0" w:space="0" w:color="auto"/>
      </w:divBdr>
    </w:div>
    <w:div w:id="2023891437">
      <w:bodyDiv w:val="1"/>
      <w:marLeft w:val="0"/>
      <w:marRight w:val="0"/>
      <w:marTop w:val="0"/>
      <w:marBottom w:val="0"/>
      <w:divBdr>
        <w:top w:val="none" w:sz="0" w:space="0" w:color="auto"/>
        <w:left w:val="none" w:sz="0" w:space="0" w:color="auto"/>
        <w:bottom w:val="none" w:sz="0" w:space="0" w:color="auto"/>
        <w:right w:val="none" w:sz="0" w:space="0" w:color="auto"/>
      </w:divBdr>
    </w:div>
    <w:div w:id="203511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cae176ec3a54dbeadeeec1b38baec58 xmlns="1970f3ff-c7c3-4b73-8f0c-0bc260d159f3">
      <Terms xmlns="http://schemas.microsoft.com/office/infopath/2007/PartnerControls"/>
    </hcae176ec3a54dbeadeeec1b38baec58>
    <p31afe295eb448f092f13ab8c2af2c33 xmlns="1970f3ff-c7c3-4b73-8f0c-0bc260d159f3">
      <Terms xmlns="http://schemas.microsoft.com/office/infopath/2007/PartnerControls"/>
    </p31afe295eb448f092f13ab8c2af2c33>
    <TaxCatchAll xmlns="620eb5da-c6d3-451c-9903-f568d8f02820" xsi:nil="true"/>
    <lf5681727d5b4cc1a5c417fcf66e2a7b xmlns="1970f3ff-c7c3-4b73-8f0c-0bc260d159f3">
      <Terms xmlns="http://schemas.microsoft.com/office/infopath/2007/PartnerControls"/>
    </lf5681727d5b4cc1a5c417fcf66e2a7b>
    <b4605c5f9d584382a57fb8476d85f713 xmlns="1970f3ff-c7c3-4b73-8f0c-0bc260d159f3">
      <Terms xmlns="http://schemas.microsoft.com/office/infopath/2007/PartnerControls"/>
    </b4605c5f9d584382a57fb8476d85f713>
    <lcf76f155ced4ddcb4097134ff3c332f xmlns="029c08ca-17ba-47d3-a4d3-5c72257ad7c4">
      <Terms xmlns="http://schemas.microsoft.com/office/infopath/2007/PartnerControls"/>
    </lcf76f155ced4ddcb4097134ff3c332f>
    <g46a9f61d38540a784cfecbd3da27bca xmlns="1970f3ff-c7c3-4b73-8f0c-0bc260d159f3">
      <Terms xmlns="http://schemas.microsoft.com/office/infopath/2007/PartnerControls"/>
    </g46a9f61d38540a784cfecbd3da27bca>
    <SharedWithUsers xmlns="620eb5da-c6d3-451c-9903-f568d8f02820">
      <UserInfo>
        <DisplayName>Darcy O Osborne (DJSIR)</DisplayName>
        <AccountId>1379</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1C124DEDA69E9741A93FEE8CEDDD8130" ma:contentTypeVersion="29" ma:contentTypeDescription="DEDJTR Document" ma:contentTypeScope="" ma:versionID="c62ccc16d1defa3e2e3d23a9469e44bc">
  <xsd:schema xmlns:xsd="http://www.w3.org/2001/XMLSchema" xmlns:xs="http://www.w3.org/2001/XMLSchema" xmlns:p="http://schemas.microsoft.com/office/2006/metadata/properties" xmlns:ns2="1970f3ff-c7c3-4b73-8f0c-0bc260d159f3" xmlns:ns3="620eb5da-c6d3-451c-9903-f568d8f02820" xmlns:ns4="029c08ca-17ba-47d3-a4d3-5c72257ad7c4" targetNamespace="http://schemas.microsoft.com/office/2006/metadata/properties" ma:root="true" ma:fieldsID="ac40016c9f0656421e16f24990aa5977" ns2:_="" ns3:_="" ns4:_="">
    <xsd:import namespace="1970f3ff-c7c3-4b73-8f0c-0bc260d159f3"/>
    <xsd:import namespace="620eb5da-c6d3-451c-9903-f568d8f02820"/>
    <xsd:import namespace="029c08ca-17ba-47d3-a4d3-5c72257ad7c4"/>
    <xsd:element name="properties">
      <xsd:complexType>
        <xsd:sequence>
          <xsd:element name="documentManagement">
            <xsd:complexType>
              <xsd:all>
                <xsd:element ref="ns2:g46a9f61d38540a784cfecbd3da27bca" minOccurs="0"/>
                <xsd:element ref="ns3:TaxCatchAll" minOccurs="0"/>
                <xsd:element ref="ns3:TaxCatchAllLabel" minOccurs="0"/>
                <xsd:element ref="ns2:b4605c5f9d584382a57fb8476d85f713" minOccurs="0"/>
                <xsd:element ref="ns2:p31afe295eb448f092f13ab8c2af2c33" minOccurs="0"/>
                <xsd:element ref="ns2:hcae176ec3a54dbeadeeec1b38baec58" minOccurs="0"/>
                <xsd:element ref="ns2:lf5681727d5b4cc1a5c417fcf66e2a7b" minOccurs="0"/>
                <xsd:element ref="ns4:MediaServiceMetadata" minOccurs="0"/>
                <xsd:element ref="ns4:MediaServiceFastMetadata"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0f3ff-c7c3-4b73-8f0c-0bc260d159f3" elementFormDefault="qualified">
    <xsd:import namespace="http://schemas.microsoft.com/office/2006/documentManagement/types"/>
    <xsd:import namespace="http://schemas.microsoft.com/office/infopath/2007/PartnerControls"/>
    <xsd:element name="g46a9f61d38540a784cfecbd3da27bca" ma:index="8" nillable="true" ma:taxonomy="true" ma:internalName="g46a9f61d38540a784cfecbd3da27bca" ma:taxonomyFieldName="DEDJTRGroup" ma:displayName="Group" ma:indexed="true" ma:fieldId="{046a9f61-d385-40a7-84cf-ecbd3da27bca}"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4605c5f9d584382a57fb8476d85f713" ma:index="12" nillable="true" ma:taxonomy="true" ma:internalName="b4605c5f9d584382a57fb8476d85f713" ma:taxonomyFieldName="DEDJTRDivision" ma:displayName="Division" ma:indexed="true" ma:fieldId="{b4605c5f-9d58-4382-a57f-b8476d85f71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p31afe295eb448f092f13ab8c2af2c33" ma:index="14" nillable="true" ma:taxonomy="true" ma:internalName="p31afe295eb448f092f13ab8c2af2c33" ma:taxonomyFieldName="DEDJTRBranch" ma:displayName="Branch" ma:indexed="true" ma:fieldId="{931afe29-5eb4-48f0-92f1-3ab8c2af2c3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hcae176ec3a54dbeadeeec1b38baec58" ma:index="16" nillable="true" ma:taxonomy="true" ma:internalName="hcae176ec3a54dbeadeeec1b38baec58" ma:taxonomyFieldName="DEDJTRSection" ma:displayName="Section" ma:indexed="true" ma:fieldId="{1cae176e-c3a5-4dbe-adee-ec1b38baec58}"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lf5681727d5b4cc1a5c417fcf66e2a7b" ma:index="18" nillable="true" ma:taxonomy="true" ma:internalName="lf5681727d5b4cc1a5c417fcf66e2a7b" ma:taxonomyFieldName="DEDJTRSecurityClassification" ma:displayName="Security Classification" ma:fieldId="{5f568172-7d5b-4cc1-a5c4-17fcf66e2a7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20eb5da-c6d3-451c-9903-f568d8f02820"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a190c1d-006d-4a7f-81da-7ce67af7bc86}" ma:internalName="TaxCatchAll" ma:showField="CatchAllData" ma:web="620eb5da-c6d3-451c-9903-f568d8f0282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a190c1d-006d-4a7f-81da-7ce67af7bc86}" ma:internalName="TaxCatchAllLabel" ma:readOnly="true" ma:showField="CatchAllDataLabel" ma:web="620eb5da-c6d3-451c-9903-f568d8f0282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9c08ca-17ba-47d3-a4d3-5c72257ad7c4"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4" nillable="true" ma:displayName="Tags" ma:internalName="MediaServiceAutoTag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LengthInSeconds" ma:index="32"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4C3AB7-DF65-4096-A870-CA81358E1515}">
  <ds:schemaRefs>
    <ds:schemaRef ds:uri="http://schemas.openxmlformats.org/officeDocument/2006/bibliography"/>
  </ds:schemaRefs>
</ds:datastoreItem>
</file>

<file path=customXml/itemProps2.xml><?xml version="1.0" encoding="utf-8"?>
<ds:datastoreItem xmlns:ds="http://schemas.openxmlformats.org/officeDocument/2006/customXml" ds:itemID="{B6C18351-E4F6-458C-8CAD-F05FAB72B3C0}">
  <ds:schemaRefs>
    <ds:schemaRef ds:uri="http://schemas.microsoft.com/sharepoint/v3/contenttype/forms"/>
  </ds:schemaRefs>
</ds:datastoreItem>
</file>

<file path=customXml/itemProps3.xml><?xml version="1.0" encoding="utf-8"?>
<ds:datastoreItem xmlns:ds="http://schemas.openxmlformats.org/officeDocument/2006/customXml" ds:itemID="{562152BC-B96A-4DA2-B063-D2549209999D}">
  <ds:schemaRefs>
    <ds:schemaRef ds:uri="620eb5da-c6d3-451c-9903-f568d8f02820"/>
    <ds:schemaRef ds:uri="029c08ca-17ba-47d3-a4d3-5c72257ad7c4"/>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1970f3ff-c7c3-4b73-8f0c-0bc260d159f3"/>
    <ds:schemaRef ds:uri="http://www.w3.org/XML/1998/namespace"/>
    <ds:schemaRef ds:uri="http://purl.org/dc/dcmitype/"/>
  </ds:schemaRefs>
</ds:datastoreItem>
</file>

<file path=customXml/itemProps4.xml><?xml version="1.0" encoding="utf-8"?>
<ds:datastoreItem xmlns:ds="http://schemas.openxmlformats.org/officeDocument/2006/customXml" ds:itemID="{24AC823B-4FA3-4F80-A68A-FCD8531F2E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0f3ff-c7c3-4b73-8f0c-0bc260d159f3"/>
    <ds:schemaRef ds:uri="620eb5da-c6d3-451c-9903-f568d8f02820"/>
    <ds:schemaRef ds:uri="029c08ca-17ba-47d3-a4d3-5c72257ad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3</Pages>
  <Words>499</Words>
  <Characters>2846</Characters>
  <Application>Microsoft Office Word</Application>
  <DocSecurity>0</DocSecurity>
  <Lines>23</Lines>
  <Paragraphs>6</Paragraphs>
  <ScaleCrop>false</ScaleCrop>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 S Sihombing (DJSIR)</dc:creator>
  <cp:keywords/>
  <dc:description/>
  <cp:lastModifiedBy>Rui S Sihombing (DJSIR)</cp:lastModifiedBy>
  <cp:revision>107</cp:revision>
  <dcterms:created xsi:type="dcterms:W3CDTF">2023-10-06T00:54:00Z</dcterms:created>
  <dcterms:modified xsi:type="dcterms:W3CDTF">2023-10-25T04:57:00Z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0x010100611F6414DFB111E7BA88F9DF1743E317001C124DEDA69E9741A93FEE8CEDDD8130</vt:lpwstr>
  </property>
  <property fmtid="{D5CDD505-2E9C-101B-9397-08002B2CF9AE}" pid="3" name="MSIP_Label_d00a4df9-c942-4b09-b23a-6c1023f6de27_Enabled">
    <vt:lpwstr>true</vt:lpwstr>
  </property>
  <property fmtid="{D5CDD505-2E9C-101B-9397-08002B2CF9AE}" pid="4" name="MSIP_Label_d00a4df9-c942-4b09-b23a-6c1023f6de27_SetDate">
    <vt:lpwstr>2023-10-06T01:02:29Z</vt:lpwstr>
  </property>
  <property fmtid="{D5CDD505-2E9C-101B-9397-08002B2CF9AE}" pid="5" name="MSIP_Label_d00a4df9-c942-4b09-b23a-6c1023f6de27_Method">
    <vt:lpwstr>Privileged</vt:lpwstr>
  </property>
  <property fmtid="{D5CDD505-2E9C-101B-9397-08002B2CF9AE}" pid="6" name="MSIP_Label_d00a4df9-c942-4b09-b23a-6c1023f6de27_Name">
    <vt:lpwstr>Official (DJPR)</vt:lpwstr>
  </property>
  <property fmtid="{D5CDD505-2E9C-101B-9397-08002B2CF9AE}" pid="7" name="MSIP_Label_d00a4df9-c942-4b09-b23a-6c1023f6de27_SiteId">
    <vt:lpwstr>722ea0be-3e1c-4b11-ad6f-9401d6856e24</vt:lpwstr>
  </property>
  <property fmtid="{D5CDD505-2E9C-101B-9397-08002B2CF9AE}" pid="8" name="MSIP_Label_d00a4df9-c942-4b09-b23a-6c1023f6de27_ActionId">
    <vt:lpwstr>2b686eac-47fc-49b3-82b4-5ed2079b22ea</vt:lpwstr>
  </property>
  <property fmtid="{D5CDD505-2E9C-101B-9397-08002B2CF9AE}" pid="9" name="MSIP_Label_d00a4df9-c942-4b09-b23a-6c1023f6de27_ContentBits">
    <vt:lpwstr>3</vt:lpwstr>
  </property>
  <property fmtid="{D5CDD505-2E9C-101B-9397-08002B2CF9AE}" pid="10" name="MediaServiceImageTags">
    <vt:lpwstr/>
  </property>
  <property fmtid="{D5CDD505-2E9C-101B-9397-08002B2CF9AE}" pid="11" name="DEDJTRSection">
    <vt:lpwstr/>
  </property>
  <property fmtid="{D5CDD505-2E9C-101B-9397-08002B2CF9AE}" pid="12" name="DEDJTRGroup">
    <vt:lpwstr/>
  </property>
  <property fmtid="{D5CDD505-2E9C-101B-9397-08002B2CF9AE}" pid="13" name="DEDJTRSecurityClassification">
    <vt:lpwstr/>
  </property>
  <property fmtid="{D5CDD505-2E9C-101B-9397-08002B2CF9AE}" pid="14" name="DEDJTRDivision">
    <vt:lpwstr/>
  </property>
  <property fmtid="{D5CDD505-2E9C-101B-9397-08002B2CF9AE}" pid="15" name="DEDJTRBranch">
    <vt:lpwstr/>
  </property>
</Properties>
</file>