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0E49742C" w:rsidR="009D5328" w:rsidRPr="001245F6" w:rsidRDefault="00580B64" w:rsidP="008A00C8">
      <w:pPr>
        <w:pStyle w:val="Title"/>
        <w:spacing w:before="100" w:beforeAutospacing="1" w:after="100" w:afterAutospacing="1"/>
      </w:pPr>
      <w:r>
        <w:t>Wimmera Southern Mallee</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530D67C6"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580B64">
        <w:rPr>
          <w:b w:val="0"/>
          <w:bCs w:val="0"/>
          <w:sz w:val="24"/>
          <w:szCs w:val="24"/>
        </w:rPr>
        <w:t>Wimmera Southern Mallee</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3BC9344D" w:rsidR="00B815BC" w:rsidRPr="00670F30" w:rsidRDefault="00580B64"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Wimmera Southern Mallee</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8296" w:type="dxa"/>
        <w:tblLook w:val="04A0" w:firstRow="1" w:lastRow="0" w:firstColumn="1" w:lastColumn="0" w:noHBand="0" w:noVBand="1"/>
      </w:tblPr>
      <w:tblGrid>
        <w:gridCol w:w="3681"/>
        <w:gridCol w:w="4615"/>
      </w:tblGrid>
      <w:tr w:rsidR="00AB7DD0" w:rsidRPr="00206BCF" w14:paraId="61327294" w14:textId="77777777" w:rsidTr="007563C9">
        <w:trPr>
          <w:trHeight w:val="224"/>
        </w:trPr>
        <w:tc>
          <w:tcPr>
            <w:tcW w:w="3681" w:type="dxa"/>
            <w:vAlign w:val="center"/>
          </w:tcPr>
          <w:p w14:paraId="637AE857" w14:textId="128A5FE5" w:rsidR="00AB7DD0" w:rsidRPr="00206BCF" w:rsidRDefault="00AB7DD0" w:rsidP="00AB7DD0">
            <w:pPr>
              <w:pStyle w:val="TableCopy"/>
              <w:spacing w:before="100" w:beforeAutospacing="1" w:after="100" w:afterAutospacing="1"/>
            </w:pPr>
            <w:r w:rsidRPr="00206BCF">
              <w:t>Population (2020)</w:t>
            </w:r>
          </w:p>
        </w:tc>
        <w:tc>
          <w:tcPr>
            <w:tcW w:w="4615" w:type="dxa"/>
            <w:vAlign w:val="center"/>
          </w:tcPr>
          <w:p w14:paraId="453F8387" w14:textId="3E9C4495" w:rsidR="00AB7DD0" w:rsidRPr="00206BCF" w:rsidRDefault="006A331E" w:rsidP="00AB7DD0">
            <w:pPr>
              <w:pStyle w:val="TableCopy"/>
              <w:spacing w:before="100" w:beforeAutospacing="1" w:after="100" w:afterAutospacing="1"/>
            </w:pPr>
            <w:r>
              <w:t>47,400</w:t>
            </w:r>
          </w:p>
        </w:tc>
      </w:tr>
      <w:tr w:rsidR="00AB7DD0" w:rsidRPr="00206BCF" w14:paraId="41F4F6A6" w14:textId="77777777" w:rsidTr="007563C9">
        <w:trPr>
          <w:trHeight w:val="342"/>
        </w:trPr>
        <w:tc>
          <w:tcPr>
            <w:tcW w:w="3681" w:type="dxa"/>
            <w:vAlign w:val="center"/>
          </w:tcPr>
          <w:p w14:paraId="7E507AC2" w14:textId="618D86C4" w:rsidR="00AB7DD0" w:rsidRPr="00206BCF" w:rsidRDefault="00AB7DD0" w:rsidP="00AB7DD0">
            <w:pPr>
              <w:pStyle w:val="TableCopy"/>
              <w:spacing w:before="100" w:beforeAutospacing="1" w:after="100" w:afterAutospacing="1"/>
            </w:pPr>
            <w:r w:rsidRPr="00206BCF">
              <w:t>Population growth (2011-20)</w:t>
            </w:r>
          </w:p>
        </w:tc>
        <w:tc>
          <w:tcPr>
            <w:tcW w:w="4615" w:type="dxa"/>
            <w:vAlign w:val="center"/>
          </w:tcPr>
          <w:p w14:paraId="6762877B" w14:textId="48C6DDA3" w:rsidR="00AB7DD0" w:rsidRPr="00206BCF" w:rsidRDefault="00534A6C" w:rsidP="00AB7DD0">
            <w:pPr>
              <w:pStyle w:val="TableCopy"/>
              <w:spacing w:before="100" w:beforeAutospacing="1" w:after="100" w:afterAutospacing="1"/>
            </w:pPr>
            <w:r>
              <w:t>3.1%</w:t>
            </w:r>
          </w:p>
        </w:tc>
      </w:tr>
      <w:tr w:rsidR="00AB7DD0" w:rsidRPr="00206BCF" w14:paraId="3928B135" w14:textId="77777777" w:rsidTr="007563C9">
        <w:trPr>
          <w:trHeight w:val="224"/>
        </w:trPr>
        <w:tc>
          <w:tcPr>
            <w:tcW w:w="3681" w:type="dxa"/>
            <w:vAlign w:val="center"/>
          </w:tcPr>
          <w:p w14:paraId="63DEE310" w14:textId="0D77FE59" w:rsidR="00AB7DD0" w:rsidRPr="00206BCF" w:rsidRDefault="00AB7DD0" w:rsidP="00AB7DD0">
            <w:pPr>
              <w:pStyle w:val="TableCopy"/>
              <w:spacing w:before="100" w:beforeAutospacing="1" w:after="100" w:afterAutospacing="1"/>
            </w:pPr>
            <w:r w:rsidRPr="00206BCF">
              <w:t>Gross regional product (2020)</w:t>
            </w:r>
          </w:p>
        </w:tc>
        <w:tc>
          <w:tcPr>
            <w:tcW w:w="4615" w:type="dxa"/>
            <w:vAlign w:val="center"/>
          </w:tcPr>
          <w:p w14:paraId="0CD69990" w14:textId="333B3AF1" w:rsidR="00AB7DD0" w:rsidRPr="00206BCF" w:rsidRDefault="00534A6C" w:rsidP="00AB7DD0">
            <w:pPr>
              <w:pStyle w:val="TableCopy"/>
              <w:spacing w:before="100" w:beforeAutospacing="1" w:after="100" w:afterAutospacing="1"/>
            </w:pPr>
            <w:r>
              <w:t>$2.5</w:t>
            </w:r>
            <w:r w:rsidR="007563C9">
              <w:t xml:space="preserve"> Billion</w:t>
            </w:r>
          </w:p>
        </w:tc>
      </w:tr>
    </w:tbl>
    <w:p w14:paraId="0731A137" w14:textId="5F5B7F55"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580B64">
        <w:rPr>
          <w:rFonts w:ascii="Arial" w:hAnsi="Arial" w:cs="Arial"/>
          <w:b/>
          <w:bCs/>
          <w:sz w:val="24"/>
          <w:szCs w:val="24"/>
        </w:rPr>
        <w:t>Wimmera Southern Mallee</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03A302AB">
            <wp:extent cx="2449298" cy="2705100"/>
            <wp:effectExtent l="0" t="0" r="8255" b="0"/>
            <wp:docPr id="1" name="Picture 1" descr="Map showing an overview of the Wimmera Southern Mallee Regional Partnership region and its location in Victoria. The Wimmera Southern Mallee region is made up of the West Wimmera, Hindmarsh, Horsham, Yarriambiack, and Northern Grampians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Wimmera Southern Mallee Regional Partnership region and its location in Victoria. The Wimmera Southern Mallee region is made up of the West Wimmera, Hindmarsh, Horsham, Yarriambiack, and Northern Grampians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49298" cy="2705100"/>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138DDDA3" w:rsidR="00C349FB" w:rsidRPr="00E70028" w:rsidRDefault="00580B64" w:rsidP="008A00C8">
            <w:pPr>
              <w:pStyle w:val="TableCopy"/>
              <w:spacing w:before="100" w:beforeAutospacing="1" w:after="100" w:afterAutospacing="1"/>
            </w:pPr>
            <w:r>
              <w:t>Wimmera Southern Mallee</w:t>
            </w:r>
            <w:r w:rsidR="00C349FB" w:rsidRPr="00E70028">
              <w:t xml:space="preserve">: </w:t>
            </w:r>
            <w:r w:rsidR="00907FA6">
              <w:t>2.8</w:t>
            </w:r>
            <w:r w:rsidR="00F56B94">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3AA5B095" w:rsidR="00C349FB" w:rsidRPr="00E70028" w:rsidRDefault="00580B64" w:rsidP="008A00C8">
            <w:pPr>
              <w:pStyle w:val="TableCopy"/>
              <w:spacing w:before="100" w:beforeAutospacing="1" w:after="100" w:afterAutospacing="1"/>
            </w:pPr>
            <w:r>
              <w:t>Wimmera Southern Mallee</w:t>
            </w:r>
            <w:r w:rsidR="00C349FB" w:rsidRPr="00E70028">
              <w:t xml:space="preserve">: </w:t>
            </w:r>
            <w:r w:rsidR="00907FA6">
              <w:t>-</w:t>
            </w:r>
            <w:r w:rsidR="007514C9">
              <w:t>0.</w:t>
            </w:r>
            <w:r w:rsidR="00907FA6">
              <w:t>9</w:t>
            </w:r>
            <w:r w:rsidR="00542B83">
              <w:t>%</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572171F5" w:rsidR="009E373C" w:rsidRPr="00395E30" w:rsidRDefault="00EC50A5"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4EB45B75" w14:textId="391DA590" w:rsidR="009E373C" w:rsidRPr="00395E30" w:rsidRDefault="009863F6" w:rsidP="008A00C8">
            <w:pPr>
              <w:pStyle w:val="TableCopy"/>
              <w:spacing w:before="100" w:beforeAutospacing="1" w:after="100" w:afterAutospacing="1"/>
              <w:rPr>
                <w:color w:val="000000"/>
              </w:rPr>
            </w:pPr>
            <w:r>
              <w:t>3,800</w:t>
            </w:r>
          </w:p>
        </w:tc>
      </w:tr>
      <w:tr w:rsidR="009E373C" w:rsidRPr="00395E30" w14:paraId="1356B36E" w14:textId="77777777" w:rsidTr="00ED2699">
        <w:tc>
          <w:tcPr>
            <w:tcW w:w="4248" w:type="dxa"/>
          </w:tcPr>
          <w:p w14:paraId="506E63A6" w14:textId="23CE55B5" w:rsidR="009E373C" w:rsidRPr="00395E30" w:rsidRDefault="00EC50A5" w:rsidP="008A00C8">
            <w:pPr>
              <w:pStyle w:val="TableCopy"/>
              <w:spacing w:before="100" w:beforeAutospacing="1" w:after="100" w:afterAutospacing="1"/>
            </w:pPr>
            <w:r>
              <w:t xml:space="preserve">Health care and social assistance </w:t>
            </w:r>
          </w:p>
        </w:tc>
        <w:tc>
          <w:tcPr>
            <w:tcW w:w="1698" w:type="dxa"/>
          </w:tcPr>
          <w:p w14:paraId="35F1ABC0" w14:textId="3DBABB0C" w:rsidR="009E373C" w:rsidRPr="00395E30" w:rsidRDefault="009863F6" w:rsidP="008A00C8">
            <w:pPr>
              <w:pStyle w:val="TableCopy"/>
              <w:spacing w:before="100" w:beforeAutospacing="1" w:after="100" w:afterAutospacing="1"/>
              <w:rPr>
                <w:color w:val="000000"/>
              </w:rPr>
            </w:pPr>
            <w:r>
              <w:t>3,800</w:t>
            </w:r>
          </w:p>
        </w:tc>
      </w:tr>
      <w:tr w:rsidR="009E373C" w:rsidRPr="00395E30" w14:paraId="3ACF3E57" w14:textId="77777777" w:rsidTr="00ED2699">
        <w:tc>
          <w:tcPr>
            <w:tcW w:w="4248" w:type="dxa"/>
          </w:tcPr>
          <w:p w14:paraId="002E2BCD" w14:textId="64625B34" w:rsidR="009E373C" w:rsidRPr="00395E30" w:rsidRDefault="00EC50A5" w:rsidP="008A00C8">
            <w:pPr>
              <w:pStyle w:val="TableCopy"/>
              <w:spacing w:before="100" w:beforeAutospacing="1" w:after="100" w:afterAutospacing="1"/>
            </w:pPr>
            <w:r>
              <w:t xml:space="preserve">Retail trade </w:t>
            </w:r>
          </w:p>
        </w:tc>
        <w:tc>
          <w:tcPr>
            <w:tcW w:w="1698" w:type="dxa"/>
          </w:tcPr>
          <w:p w14:paraId="06530ABA" w14:textId="2C51BE85" w:rsidR="009E373C" w:rsidRPr="00395E30" w:rsidRDefault="009863F6" w:rsidP="008A00C8">
            <w:pPr>
              <w:pStyle w:val="TableCopy"/>
              <w:spacing w:before="100" w:beforeAutospacing="1" w:after="100" w:afterAutospacing="1"/>
              <w:rPr>
                <w:color w:val="000000"/>
              </w:rPr>
            </w:pPr>
            <w:r>
              <w:t>2,000</w:t>
            </w:r>
          </w:p>
        </w:tc>
      </w:tr>
      <w:tr w:rsidR="009E373C" w:rsidRPr="00395E30" w14:paraId="5FA8F712" w14:textId="77777777" w:rsidTr="00ED2699">
        <w:tc>
          <w:tcPr>
            <w:tcW w:w="4248" w:type="dxa"/>
          </w:tcPr>
          <w:p w14:paraId="3B975D5E" w14:textId="139DED4D" w:rsidR="009E373C" w:rsidRPr="00395E30" w:rsidRDefault="00EC50A5" w:rsidP="008A00C8">
            <w:pPr>
              <w:pStyle w:val="TableCopy"/>
              <w:spacing w:before="100" w:beforeAutospacing="1" w:after="100" w:afterAutospacing="1"/>
            </w:pPr>
            <w:r>
              <w:t xml:space="preserve">Construction </w:t>
            </w:r>
          </w:p>
        </w:tc>
        <w:tc>
          <w:tcPr>
            <w:tcW w:w="1698" w:type="dxa"/>
          </w:tcPr>
          <w:p w14:paraId="38E5B6F7" w14:textId="2CA57026" w:rsidR="009E373C" w:rsidRPr="00395E30" w:rsidRDefault="00F1466A" w:rsidP="008A00C8">
            <w:pPr>
              <w:pStyle w:val="TableCopy"/>
              <w:spacing w:before="100" w:beforeAutospacing="1" w:after="100" w:afterAutospacing="1"/>
              <w:rPr>
                <w:color w:val="000000"/>
              </w:rPr>
            </w:pPr>
            <w:r>
              <w:t>1,800</w:t>
            </w:r>
          </w:p>
        </w:tc>
      </w:tr>
      <w:tr w:rsidR="009E373C" w:rsidRPr="00395E30" w14:paraId="2477695D" w14:textId="77777777" w:rsidTr="00ED2699">
        <w:tc>
          <w:tcPr>
            <w:tcW w:w="4248" w:type="dxa"/>
          </w:tcPr>
          <w:p w14:paraId="701B6978" w14:textId="70FA3964" w:rsidR="009E373C" w:rsidRPr="00395E30" w:rsidRDefault="00EC50A5" w:rsidP="008A00C8">
            <w:pPr>
              <w:pStyle w:val="TableCopy"/>
              <w:spacing w:before="100" w:beforeAutospacing="1" w:after="100" w:afterAutospacing="1"/>
            </w:pPr>
            <w:r>
              <w:t xml:space="preserve">Manufacturing </w:t>
            </w:r>
          </w:p>
        </w:tc>
        <w:tc>
          <w:tcPr>
            <w:tcW w:w="1698" w:type="dxa"/>
          </w:tcPr>
          <w:p w14:paraId="66AA0B11" w14:textId="4A78B73A" w:rsidR="009E373C" w:rsidRPr="00395E30" w:rsidRDefault="00F1466A" w:rsidP="008A00C8">
            <w:pPr>
              <w:pStyle w:val="TableCopy"/>
              <w:spacing w:before="100" w:beforeAutospacing="1" w:after="100" w:afterAutospacing="1"/>
              <w:rPr>
                <w:color w:val="000000"/>
              </w:rPr>
            </w:pPr>
            <w:r>
              <w:t>1,600</w:t>
            </w:r>
          </w:p>
        </w:tc>
      </w:tr>
      <w:tr w:rsidR="009E373C" w:rsidRPr="00395E30" w14:paraId="5E5B40E6" w14:textId="77777777" w:rsidTr="00ED2699">
        <w:tc>
          <w:tcPr>
            <w:tcW w:w="4248" w:type="dxa"/>
          </w:tcPr>
          <w:p w14:paraId="5474ED5C" w14:textId="31412C8F" w:rsidR="009E373C" w:rsidRPr="00395E30" w:rsidRDefault="00EC50A5" w:rsidP="008A00C8">
            <w:pPr>
              <w:pStyle w:val="TableCopy"/>
              <w:spacing w:before="100" w:beforeAutospacing="1" w:after="100" w:afterAutospacing="1"/>
            </w:pPr>
            <w:r>
              <w:t xml:space="preserve">Education and training </w:t>
            </w:r>
          </w:p>
        </w:tc>
        <w:tc>
          <w:tcPr>
            <w:tcW w:w="1698" w:type="dxa"/>
          </w:tcPr>
          <w:p w14:paraId="24C2C062" w14:textId="2C5736FA" w:rsidR="009E373C" w:rsidRPr="00395E30" w:rsidRDefault="00F1466A" w:rsidP="008A00C8">
            <w:pPr>
              <w:pStyle w:val="TableCopy"/>
              <w:spacing w:before="100" w:beforeAutospacing="1" w:after="100" w:afterAutospacing="1"/>
            </w:pPr>
            <w:r>
              <w:t>1,500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5C914351" w:rsidR="00C6552B" w:rsidRPr="0055442F" w:rsidRDefault="00344BD5" w:rsidP="008A00C8">
            <w:pPr>
              <w:pStyle w:val="TableCopy"/>
              <w:spacing w:before="100" w:beforeAutospacing="1" w:after="100" w:afterAutospacing="1"/>
              <w:rPr>
                <w:b/>
                <w:bCs/>
              </w:rPr>
            </w:pPr>
            <w:r>
              <w:rPr>
                <w:b/>
                <w:bCs/>
              </w:rPr>
              <w:t>G</w:t>
            </w:r>
            <w:r w:rsidR="00C73447">
              <w:rPr>
                <w:b/>
                <w:bCs/>
              </w:rPr>
              <w:t xml:space="preserve">ross value </w:t>
            </w:r>
            <w:proofErr w:type="gramStart"/>
            <w:r w:rsidR="00C73447">
              <w:rPr>
                <w:b/>
                <w:bCs/>
              </w:rPr>
              <w:t>add</w:t>
            </w:r>
            <w:proofErr w:type="gramEnd"/>
          </w:p>
        </w:tc>
      </w:tr>
      <w:tr w:rsidR="00C6552B" w:rsidRPr="00395E30" w14:paraId="0D3E8598" w14:textId="77777777" w:rsidTr="00ED2699">
        <w:tc>
          <w:tcPr>
            <w:tcW w:w="4248" w:type="dxa"/>
          </w:tcPr>
          <w:p w14:paraId="5F4E85D0" w14:textId="045BCBE0" w:rsidR="00C6552B" w:rsidRPr="00395E30" w:rsidRDefault="00EC50A5"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62706779" w14:textId="529985F2" w:rsidR="00C6552B" w:rsidRPr="00395E30" w:rsidRDefault="00F1466A" w:rsidP="008A00C8">
            <w:pPr>
              <w:pStyle w:val="TableCopy"/>
              <w:spacing w:before="100" w:beforeAutospacing="1" w:after="100" w:afterAutospacing="1"/>
              <w:rPr>
                <w:color w:val="000000"/>
              </w:rPr>
            </w:pPr>
            <w:r>
              <w:t>$423.0</w:t>
            </w:r>
            <w:r>
              <w:t xml:space="preserve"> Million</w:t>
            </w:r>
          </w:p>
        </w:tc>
      </w:tr>
      <w:tr w:rsidR="00C6552B" w:rsidRPr="00395E30" w14:paraId="6E5D60EB" w14:textId="77777777" w:rsidTr="00ED2699">
        <w:tc>
          <w:tcPr>
            <w:tcW w:w="4248" w:type="dxa"/>
          </w:tcPr>
          <w:p w14:paraId="3297DCA1" w14:textId="09D7E155" w:rsidR="00C6552B" w:rsidRPr="00395E30" w:rsidRDefault="00EC50A5" w:rsidP="008A00C8">
            <w:pPr>
              <w:pStyle w:val="TableCopy"/>
              <w:spacing w:before="100" w:beforeAutospacing="1" w:after="100" w:afterAutospacing="1"/>
            </w:pPr>
            <w:r>
              <w:t xml:space="preserve">Health care and social assistance </w:t>
            </w:r>
          </w:p>
        </w:tc>
        <w:tc>
          <w:tcPr>
            <w:tcW w:w="1698" w:type="dxa"/>
          </w:tcPr>
          <w:p w14:paraId="06F7E01D" w14:textId="1C8DE49E" w:rsidR="00C6552B" w:rsidRPr="00395E30" w:rsidRDefault="00F1466A" w:rsidP="008A00C8">
            <w:pPr>
              <w:pStyle w:val="TableCopy"/>
              <w:spacing w:before="100" w:beforeAutospacing="1" w:after="100" w:afterAutospacing="1"/>
              <w:rPr>
                <w:color w:val="000000"/>
              </w:rPr>
            </w:pPr>
            <w:r>
              <w:t>$292.4</w:t>
            </w:r>
            <w:r>
              <w:t xml:space="preserve"> </w:t>
            </w:r>
            <w:r>
              <w:t>Million</w:t>
            </w:r>
          </w:p>
        </w:tc>
      </w:tr>
      <w:tr w:rsidR="00C6552B" w:rsidRPr="00395E30" w14:paraId="3CC31164" w14:textId="77777777" w:rsidTr="00ED2699">
        <w:tc>
          <w:tcPr>
            <w:tcW w:w="4248" w:type="dxa"/>
          </w:tcPr>
          <w:p w14:paraId="0F5C13E8" w14:textId="4802883D" w:rsidR="00C6552B" w:rsidRPr="00395E30" w:rsidRDefault="00EC50A5" w:rsidP="008A00C8">
            <w:pPr>
              <w:pStyle w:val="TableCopy"/>
              <w:spacing w:before="100" w:beforeAutospacing="1" w:after="100" w:afterAutospacing="1"/>
            </w:pPr>
            <w:r>
              <w:t xml:space="preserve">Public administration and safety </w:t>
            </w:r>
          </w:p>
        </w:tc>
        <w:tc>
          <w:tcPr>
            <w:tcW w:w="1698" w:type="dxa"/>
          </w:tcPr>
          <w:p w14:paraId="5A745A8F" w14:textId="0E0D7554" w:rsidR="00C6552B" w:rsidRPr="00395E30" w:rsidRDefault="00F1466A" w:rsidP="008A00C8">
            <w:pPr>
              <w:pStyle w:val="TableCopy"/>
              <w:spacing w:before="100" w:beforeAutospacing="1" w:after="100" w:afterAutospacing="1"/>
              <w:rPr>
                <w:color w:val="000000"/>
              </w:rPr>
            </w:pPr>
            <w:r>
              <w:t>$144.2</w:t>
            </w:r>
            <w:r>
              <w:t xml:space="preserve"> </w:t>
            </w:r>
            <w:r>
              <w:t>Million</w:t>
            </w:r>
          </w:p>
        </w:tc>
      </w:tr>
      <w:tr w:rsidR="00C6552B" w:rsidRPr="00395E30" w14:paraId="41869C6B" w14:textId="77777777" w:rsidTr="00ED2699">
        <w:tc>
          <w:tcPr>
            <w:tcW w:w="4248" w:type="dxa"/>
          </w:tcPr>
          <w:p w14:paraId="227F0352" w14:textId="3408C908" w:rsidR="00C6552B" w:rsidRPr="00395E30" w:rsidRDefault="00395D40" w:rsidP="008A00C8">
            <w:pPr>
              <w:pStyle w:val="TableCopy"/>
              <w:spacing w:before="100" w:beforeAutospacing="1" w:after="100" w:afterAutospacing="1"/>
            </w:pPr>
            <w:r>
              <w:t xml:space="preserve">Construction </w:t>
            </w:r>
          </w:p>
        </w:tc>
        <w:tc>
          <w:tcPr>
            <w:tcW w:w="1698" w:type="dxa"/>
          </w:tcPr>
          <w:p w14:paraId="7DAF1A08" w14:textId="15F61612" w:rsidR="00C6552B" w:rsidRPr="00395E30" w:rsidRDefault="00F1466A" w:rsidP="008A00C8">
            <w:pPr>
              <w:pStyle w:val="TableCopy"/>
              <w:spacing w:before="100" w:beforeAutospacing="1" w:after="100" w:afterAutospacing="1"/>
              <w:rPr>
                <w:color w:val="000000"/>
              </w:rPr>
            </w:pPr>
            <w:r>
              <w:t>$122.9</w:t>
            </w:r>
            <w:r>
              <w:t xml:space="preserve"> </w:t>
            </w:r>
            <w:r>
              <w:t>Million</w:t>
            </w:r>
          </w:p>
        </w:tc>
      </w:tr>
      <w:tr w:rsidR="00C6552B" w:rsidRPr="00395E30" w14:paraId="24926785" w14:textId="77777777" w:rsidTr="00ED2699">
        <w:tc>
          <w:tcPr>
            <w:tcW w:w="4248" w:type="dxa"/>
          </w:tcPr>
          <w:p w14:paraId="642B83EB" w14:textId="02F53E7E" w:rsidR="00C6552B" w:rsidRPr="00395E30" w:rsidRDefault="00395D40" w:rsidP="008A00C8">
            <w:pPr>
              <w:pStyle w:val="TableCopy"/>
              <w:spacing w:before="100" w:beforeAutospacing="1" w:after="100" w:afterAutospacing="1"/>
            </w:pPr>
            <w:r>
              <w:t xml:space="preserve">Retail trade </w:t>
            </w:r>
          </w:p>
        </w:tc>
        <w:tc>
          <w:tcPr>
            <w:tcW w:w="1698" w:type="dxa"/>
          </w:tcPr>
          <w:p w14:paraId="7470C069" w14:textId="2E50AF94" w:rsidR="00C6552B" w:rsidRPr="00395E30" w:rsidRDefault="00F1466A" w:rsidP="008A00C8">
            <w:pPr>
              <w:pStyle w:val="TableCopy"/>
              <w:spacing w:before="100" w:beforeAutospacing="1" w:after="100" w:afterAutospacing="1"/>
              <w:rPr>
                <w:color w:val="000000"/>
              </w:rPr>
            </w:pPr>
            <w:r>
              <w:t>$117.8</w:t>
            </w:r>
            <w:r>
              <w:t xml:space="preserve"> </w:t>
            </w:r>
            <w:r>
              <w:t>Million</w:t>
            </w:r>
          </w:p>
        </w:tc>
      </w:tr>
      <w:tr w:rsidR="00C6552B" w:rsidRPr="00395E30" w14:paraId="00F182DD" w14:textId="77777777" w:rsidTr="00ED2699">
        <w:tc>
          <w:tcPr>
            <w:tcW w:w="4248" w:type="dxa"/>
          </w:tcPr>
          <w:p w14:paraId="1F9A1809" w14:textId="786A05D2" w:rsidR="00C6552B" w:rsidRPr="00395E30" w:rsidRDefault="00395D40" w:rsidP="008A00C8">
            <w:pPr>
              <w:pStyle w:val="TableCopy"/>
              <w:spacing w:before="100" w:beforeAutospacing="1" w:after="100" w:afterAutospacing="1"/>
            </w:pPr>
            <w:r>
              <w:t xml:space="preserve">Education and training </w:t>
            </w:r>
          </w:p>
        </w:tc>
        <w:tc>
          <w:tcPr>
            <w:tcW w:w="1698" w:type="dxa"/>
          </w:tcPr>
          <w:p w14:paraId="7598C604" w14:textId="68B09932" w:rsidR="00C6552B" w:rsidRPr="00395E30" w:rsidRDefault="00F1466A" w:rsidP="008A00C8">
            <w:pPr>
              <w:pStyle w:val="TableCopy"/>
              <w:spacing w:before="100" w:beforeAutospacing="1" w:after="100" w:afterAutospacing="1"/>
            </w:pPr>
            <w:r>
              <w:t>$116.8</w:t>
            </w:r>
            <w:r>
              <w:t xml:space="preserve"> </w:t>
            </w:r>
            <w:r>
              <w:t>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11FAEB0B" w14:textId="195AA20F" w:rsidR="00596F7B" w:rsidRPr="00596F7B" w:rsidRDefault="00596F7B" w:rsidP="00596F7B">
      <w:pPr>
        <w:spacing w:before="100" w:beforeAutospacing="1" w:after="100" w:afterAutospacing="1"/>
        <w:rPr>
          <w:rFonts w:ascii="Arial" w:hAnsi="Arial" w:cs="Arial"/>
          <w:sz w:val="24"/>
          <w:szCs w:val="24"/>
          <w:lang w:val="en-AU"/>
        </w:rPr>
      </w:pPr>
      <w:r w:rsidRPr="00596F7B">
        <w:rPr>
          <w:rFonts w:ascii="Arial" w:hAnsi="Arial" w:cs="Arial"/>
          <w:sz w:val="24"/>
          <w:szCs w:val="24"/>
          <w:lang w:val="en-AU"/>
        </w:rPr>
        <w:t>Wimmera Southern Mallee’s four strategic directions have been identified using an evidence base that considers the region’s unique attributes, existing and emerging industries, and socioeconomic context.</w:t>
      </w:r>
    </w:p>
    <w:p w14:paraId="2E6E6165" w14:textId="2EE8DEDF" w:rsidR="001245F6" w:rsidRPr="00FE1D70" w:rsidRDefault="00FE1D70" w:rsidP="00E6798B">
      <w:pPr>
        <w:pStyle w:val="Heading2"/>
        <w:spacing w:before="100" w:beforeAutospacing="1" w:after="100" w:afterAutospacing="1"/>
        <w:rPr>
          <w:rFonts w:ascii="Arial" w:hAnsi="Arial" w:cs="Arial"/>
          <w:color w:val="auto"/>
          <w:sz w:val="32"/>
          <w:szCs w:val="32"/>
        </w:rPr>
      </w:pPr>
      <w:r w:rsidRPr="00FE1D70">
        <w:rPr>
          <w:rFonts w:ascii="Arial" w:hAnsi="Arial" w:cs="Arial"/>
          <w:color w:val="auto"/>
          <w:sz w:val="32"/>
          <w:szCs w:val="32"/>
        </w:rPr>
        <w:t>1. Strengthen agriculture and food product manufacturing through diversification</w:t>
      </w:r>
    </w:p>
    <w:p w14:paraId="68353F0A" w14:textId="064857F3" w:rsidR="001245F6" w:rsidRPr="001245F6" w:rsidRDefault="00D765F4" w:rsidP="008A00C8">
      <w:pPr>
        <w:spacing w:before="100" w:beforeAutospacing="1" w:after="100" w:afterAutospacing="1"/>
        <w:rPr>
          <w:rFonts w:ascii="Arial" w:hAnsi="Arial" w:cs="Arial"/>
          <w:sz w:val="24"/>
          <w:szCs w:val="24"/>
          <w:lang w:val="en-AU"/>
        </w:rPr>
      </w:pPr>
      <w:r w:rsidRPr="00D765F4">
        <w:rPr>
          <w:rFonts w:ascii="Arial" w:hAnsi="Arial" w:cs="Arial"/>
          <w:sz w:val="24"/>
          <w:szCs w:val="24"/>
          <w:lang w:val="en-AU"/>
        </w:rPr>
        <w:t xml:space="preserve">Harnessing the region’s cluster of agriculture and horticulture activities and its potential as </w:t>
      </w:r>
      <w:proofErr w:type="gramStart"/>
      <w:r w:rsidRPr="00D765F4">
        <w:rPr>
          <w:rFonts w:ascii="Arial" w:hAnsi="Arial" w:cs="Arial"/>
          <w:sz w:val="24"/>
          <w:szCs w:val="24"/>
          <w:lang w:val="en-AU"/>
        </w:rPr>
        <w:t>a  food</w:t>
      </w:r>
      <w:proofErr w:type="gramEnd"/>
      <w:r w:rsidRPr="00D765F4">
        <w:rPr>
          <w:rFonts w:ascii="Arial" w:hAnsi="Arial" w:cs="Arial"/>
          <w:sz w:val="24"/>
          <w:szCs w:val="24"/>
          <w:lang w:val="en-AU"/>
        </w:rPr>
        <w:t xml:space="preserve"> industry ‘knowledge corridor’ will facilitate opportunities for value adding and innovation in food product manufacturing.</w:t>
      </w:r>
    </w:p>
    <w:p w14:paraId="368E7515" w14:textId="25652E13" w:rsidR="001245F6" w:rsidRPr="001245F6" w:rsidRDefault="00D765F4" w:rsidP="008A00C8">
      <w:pPr>
        <w:pStyle w:val="Heading2"/>
        <w:spacing w:before="100" w:beforeAutospacing="1" w:after="100" w:afterAutospacing="1"/>
        <w:rPr>
          <w:rFonts w:ascii="Arial" w:hAnsi="Arial" w:cs="Arial"/>
          <w:color w:val="auto"/>
          <w:sz w:val="32"/>
          <w:szCs w:val="32"/>
        </w:rPr>
      </w:pPr>
      <w:r w:rsidRPr="00D765F4">
        <w:rPr>
          <w:rFonts w:ascii="Arial" w:hAnsi="Arial" w:cs="Arial"/>
          <w:color w:val="auto"/>
          <w:sz w:val="32"/>
          <w:szCs w:val="32"/>
        </w:rPr>
        <w:lastRenderedPageBreak/>
        <w:t>2. Promote growth and development of the visitor economy, leveraging natural assets and Aboriginal heritage</w:t>
      </w:r>
    </w:p>
    <w:p w14:paraId="1AFB04AD" w14:textId="370A4260" w:rsidR="001245F6" w:rsidRPr="001245F6" w:rsidRDefault="00D765F4" w:rsidP="008A00C8">
      <w:pPr>
        <w:spacing w:before="100" w:beforeAutospacing="1" w:after="100" w:afterAutospacing="1"/>
        <w:rPr>
          <w:rFonts w:ascii="Arial" w:hAnsi="Arial" w:cs="Arial"/>
          <w:sz w:val="24"/>
          <w:szCs w:val="24"/>
          <w:lang w:val="en-AU"/>
        </w:rPr>
      </w:pPr>
      <w:r w:rsidRPr="00D765F4">
        <w:rPr>
          <w:rFonts w:ascii="Arial" w:hAnsi="Arial" w:cs="Arial"/>
          <w:sz w:val="24"/>
          <w:szCs w:val="24"/>
          <w:lang w:val="en-AU"/>
        </w:rPr>
        <w:t xml:space="preserve">The region’s diverse natural landscapes, Aboriginal </w:t>
      </w:r>
      <w:proofErr w:type="gramStart"/>
      <w:r w:rsidRPr="00D765F4">
        <w:rPr>
          <w:rFonts w:ascii="Arial" w:hAnsi="Arial" w:cs="Arial"/>
          <w:sz w:val="24"/>
          <w:szCs w:val="24"/>
          <w:lang w:val="en-AU"/>
        </w:rPr>
        <w:t>heritage</w:t>
      </w:r>
      <w:proofErr w:type="gramEnd"/>
      <w:r w:rsidRPr="00D765F4">
        <w:rPr>
          <w:rFonts w:ascii="Arial" w:hAnsi="Arial" w:cs="Arial"/>
          <w:sz w:val="24"/>
          <w:szCs w:val="24"/>
          <w:lang w:val="en-AU"/>
        </w:rPr>
        <w:t xml:space="preserve"> and cultural offerings, in addition to agritourism, offer significant opportunities to build its brand and grow the visitor economy.   </w:t>
      </w:r>
    </w:p>
    <w:p w14:paraId="3366C93F" w14:textId="35DBD8F5" w:rsidR="001245F6" w:rsidRPr="001245F6" w:rsidRDefault="00E12715" w:rsidP="008A00C8">
      <w:pPr>
        <w:pStyle w:val="Heading2"/>
        <w:spacing w:before="100" w:beforeAutospacing="1" w:after="100" w:afterAutospacing="1"/>
        <w:rPr>
          <w:rFonts w:ascii="Arial" w:hAnsi="Arial" w:cs="Arial"/>
          <w:lang w:val="en-AU"/>
        </w:rPr>
      </w:pPr>
      <w:r w:rsidRPr="00E12715">
        <w:rPr>
          <w:rFonts w:ascii="Arial" w:hAnsi="Arial" w:cs="Arial"/>
          <w:color w:val="auto"/>
          <w:sz w:val="32"/>
          <w:szCs w:val="32"/>
        </w:rPr>
        <w:t>3. Support and expand economic opportunities in growing sectors (health and social services)</w:t>
      </w:r>
    </w:p>
    <w:p w14:paraId="7203B608" w14:textId="36444366" w:rsidR="001245F6" w:rsidRPr="001245F6" w:rsidRDefault="00BC6B88" w:rsidP="008A00C8">
      <w:pPr>
        <w:spacing w:before="100" w:beforeAutospacing="1" w:after="100" w:afterAutospacing="1"/>
        <w:rPr>
          <w:rFonts w:ascii="Arial" w:hAnsi="Arial" w:cs="Arial"/>
          <w:sz w:val="24"/>
          <w:szCs w:val="24"/>
          <w:lang w:val="en-AU"/>
        </w:rPr>
      </w:pPr>
      <w:r w:rsidRPr="00BC6B88">
        <w:rPr>
          <w:rFonts w:ascii="Arial" w:hAnsi="Arial" w:cs="Arial"/>
          <w:sz w:val="24"/>
          <w:szCs w:val="24"/>
          <w:lang w:val="en-AU"/>
        </w:rPr>
        <w:t>Innovation in the region’s service-based sectors, particularly in health and social services, along with the role of Horsham as a regional training hub, present ongoing opportunities to improve labour market inclusion and generate multiplier effects for the local economy.</w:t>
      </w:r>
    </w:p>
    <w:p w14:paraId="13507C2C" w14:textId="0F1E23E9" w:rsidR="001245F6" w:rsidRPr="001245F6" w:rsidRDefault="00BC6B88" w:rsidP="008A00C8">
      <w:pPr>
        <w:pStyle w:val="Heading2"/>
        <w:spacing w:before="100" w:beforeAutospacing="1" w:after="100" w:afterAutospacing="1"/>
        <w:rPr>
          <w:rFonts w:ascii="Arial" w:hAnsi="Arial" w:cs="Arial"/>
          <w:color w:val="auto"/>
          <w:sz w:val="32"/>
          <w:szCs w:val="32"/>
        </w:rPr>
      </w:pPr>
      <w:r w:rsidRPr="00BC6B88">
        <w:rPr>
          <w:rFonts w:ascii="Arial" w:hAnsi="Arial" w:cs="Arial"/>
          <w:color w:val="auto"/>
          <w:sz w:val="32"/>
          <w:szCs w:val="32"/>
        </w:rPr>
        <w:t>4. Position the region to benefit from emerging growth opportunities in natural resources</w:t>
      </w:r>
    </w:p>
    <w:p w14:paraId="67DABD38" w14:textId="7DF1DA93" w:rsidR="001245F6" w:rsidRPr="001245F6" w:rsidRDefault="00BC6B88" w:rsidP="008A00C8">
      <w:pPr>
        <w:spacing w:before="100" w:beforeAutospacing="1" w:after="100" w:afterAutospacing="1"/>
        <w:rPr>
          <w:rFonts w:ascii="Arial" w:hAnsi="Arial" w:cs="Arial"/>
          <w:sz w:val="24"/>
          <w:szCs w:val="24"/>
          <w:lang w:val="en-AU"/>
        </w:rPr>
      </w:pPr>
      <w:r w:rsidRPr="00BC6B88">
        <w:rPr>
          <w:rFonts w:ascii="Arial" w:hAnsi="Arial" w:cs="Arial"/>
          <w:sz w:val="24"/>
          <w:szCs w:val="24"/>
          <w:lang w:val="en-AU"/>
        </w:rPr>
        <w:t>The region’s notable potential for mineral extraction and renewable energy generation positions it strongly to take advantage of government investment in energy infrastructure, diversify local industries, and build a low-carbon future.</w:t>
      </w:r>
    </w:p>
    <w:p w14:paraId="6D23E3A4" w14:textId="47A5C3A0" w:rsidR="007B6470" w:rsidRPr="00392AB8" w:rsidRDefault="007B6470" w:rsidP="00A91195">
      <w:pPr>
        <w:pStyle w:val="FootnoteText"/>
      </w:pPr>
      <w:r w:rsidRPr="00392AB8">
        <w:t xml:space="preserve">Please refer to the </w:t>
      </w:r>
      <w:r w:rsidR="00580B64">
        <w:t>Wimmera Southern Mallee</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0308E"/>
    <w:rsid w:val="000237B7"/>
    <w:rsid w:val="00032B2C"/>
    <w:rsid w:val="00043CFE"/>
    <w:rsid w:val="00047184"/>
    <w:rsid w:val="00064FF3"/>
    <w:rsid w:val="00087E72"/>
    <w:rsid w:val="00110FD5"/>
    <w:rsid w:val="001245F6"/>
    <w:rsid w:val="00151050"/>
    <w:rsid w:val="0015685F"/>
    <w:rsid w:val="00163928"/>
    <w:rsid w:val="001765A2"/>
    <w:rsid w:val="001C2593"/>
    <w:rsid w:val="001E544A"/>
    <w:rsid w:val="00224BFB"/>
    <w:rsid w:val="00226367"/>
    <w:rsid w:val="00237C71"/>
    <w:rsid w:val="00240C90"/>
    <w:rsid w:val="00241A94"/>
    <w:rsid w:val="00265016"/>
    <w:rsid w:val="002D0776"/>
    <w:rsid w:val="00304CB6"/>
    <w:rsid w:val="003052AD"/>
    <w:rsid w:val="00344BD5"/>
    <w:rsid w:val="00372AAE"/>
    <w:rsid w:val="00384431"/>
    <w:rsid w:val="00392AB8"/>
    <w:rsid w:val="00395D40"/>
    <w:rsid w:val="003C5975"/>
    <w:rsid w:val="003D50F9"/>
    <w:rsid w:val="003E29EB"/>
    <w:rsid w:val="0040436C"/>
    <w:rsid w:val="00421CBF"/>
    <w:rsid w:val="004258C8"/>
    <w:rsid w:val="00471EEA"/>
    <w:rsid w:val="00473AEC"/>
    <w:rsid w:val="004C1FA3"/>
    <w:rsid w:val="004E2623"/>
    <w:rsid w:val="0051145A"/>
    <w:rsid w:val="00534A6C"/>
    <w:rsid w:val="00535344"/>
    <w:rsid w:val="00542953"/>
    <w:rsid w:val="00542B83"/>
    <w:rsid w:val="00542BBC"/>
    <w:rsid w:val="00562DCA"/>
    <w:rsid w:val="00580B64"/>
    <w:rsid w:val="00596F7B"/>
    <w:rsid w:val="005D5CAA"/>
    <w:rsid w:val="00670F30"/>
    <w:rsid w:val="006A331E"/>
    <w:rsid w:val="006F5A41"/>
    <w:rsid w:val="007254CF"/>
    <w:rsid w:val="007514C9"/>
    <w:rsid w:val="007563C9"/>
    <w:rsid w:val="00790976"/>
    <w:rsid w:val="007B6470"/>
    <w:rsid w:val="00826A4F"/>
    <w:rsid w:val="00864E5F"/>
    <w:rsid w:val="00894C22"/>
    <w:rsid w:val="008A00C8"/>
    <w:rsid w:val="008B5C2D"/>
    <w:rsid w:val="00907FA6"/>
    <w:rsid w:val="0097034F"/>
    <w:rsid w:val="009863F6"/>
    <w:rsid w:val="009949E7"/>
    <w:rsid w:val="009A3281"/>
    <w:rsid w:val="009B327E"/>
    <w:rsid w:val="009D5328"/>
    <w:rsid w:val="009E373C"/>
    <w:rsid w:val="009E3AD7"/>
    <w:rsid w:val="00A039B4"/>
    <w:rsid w:val="00A91195"/>
    <w:rsid w:val="00AB7DD0"/>
    <w:rsid w:val="00AC35F6"/>
    <w:rsid w:val="00B3090C"/>
    <w:rsid w:val="00B34475"/>
    <w:rsid w:val="00B67844"/>
    <w:rsid w:val="00B74E41"/>
    <w:rsid w:val="00B815BC"/>
    <w:rsid w:val="00BC6B88"/>
    <w:rsid w:val="00C349FB"/>
    <w:rsid w:val="00C43E0A"/>
    <w:rsid w:val="00C5032C"/>
    <w:rsid w:val="00C6552B"/>
    <w:rsid w:val="00C71B7A"/>
    <w:rsid w:val="00C73447"/>
    <w:rsid w:val="00C83238"/>
    <w:rsid w:val="00C964C7"/>
    <w:rsid w:val="00CC083F"/>
    <w:rsid w:val="00CF4D48"/>
    <w:rsid w:val="00D765F4"/>
    <w:rsid w:val="00DF52B6"/>
    <w:rsid w:val="00E12715"/>
    <w:rsid w:val="00E1380E"/>
    <w:rsid w:val="00E6798B"/>
    <w:rsid w:val="00E70E24"/>
    <w:rsid w:val="00E87DA0"/>
    <w:rsid w:val="00E90A51"/>
    <w:rsid w:val="00EA14E8"/>
    <w:rsid w:val="00EC3CFE"/>
    <w:rsid w:val="00EC50A5"/>
    <w:rsid w:val="00F07A02"/>
    <w:rsid w:val="00F1466A"/>
    <w:rsid w:val="00F14C39"/>
    <w:rsid w:val="00F35DC3"/>
    <w:rsid w:val="00F56B94"/>
    <w:rsid w:val="00FD5B06"/>
    <w:rsid w:val="00FE1D70"/>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263996739">
      <w:bodyDiv w:val="1"/>
      <w:marLeft w:val="0"/>
      <w:marRight w:val="0"/>
      <w:marTop w:val="0"/>
      <w:marBottom w:val="0"/>
      <w:divBdr>
        <w:top w:val="none" w:sz="0" w:space="0" w:color="auto"/>
        <w:left w:val="none" w:sz="0" w:space="0" w:color="auto"/>
        <w:bottom w:val="none" w:sz="0" w:space="0" w:color="auto"/>
        <w:right w:val="none" w:sz="0" w:space="0" w:color="auto"/>
      </w:divBdr>
    </w:div>
    <w:div w:id="416833321">
      <w:bodyDiv w:val="1"/>
      <w:marLeft w:val="0"/>
      <w:marRight w:val="0"/>
      <w:marTop w:val="0"/>
      <w:marBottom w:val="0"/>
      <w:divBdr>
        <w:top w:val="none" w:sz="0" w:space="0" w:color="auto"/>
        <w:left w:val="none" w:sz="0" w:space="0" w:color="auto"/>
        <w:bottom w:val="none" w:sz="0" w:space="0" w:color="auto"/>
        <w:right w:val="none" w:sz="0" w:space="0" w:color="auto"/>
      </w:divBdr>
    </w:div>
    <w:div w:id="420031757">
      <w:bodyDiv w:val="1"/>
      <w:marLeft w:val="0"/>
      <w:marRight w:val="0"/>
      <w:marTop w:val="0"/>
      <w:marBottom w:val="0"/>
      <w:divBdr>
        <w:top w:val="none" w:sz="0" w:space="0" w:color="auto"/>
        <w:left w:val="none" w:sz="0" w:space="0" w:color="auto"/>
        <w:bottom w:val="none" w:sz="0" w:space="0" w:color="auto"/>
        <w:right w:val="none" w:sz="0" w:space="0" w:color="auto"/>
      </w:divBdr>
    </w:div>
    <w:div w:id="441924647">
      <w:bodyDiv w:val="1"/>
      <w:marLeft w:val="0"/>
      <w:marRight w:val="0"/>
      <w:marTop w:val="0"/>
      <w:marBottom w:val="0"/>
      <w:divBdr>
        <w:top w:val="none" w:sz="0" w:space="0" w:color="auto"/>
        <w:left w:val="none" w:sz="0" w:space="0" w:color="auto"/>
        <w:bottom w:val="none" w:sz="0" w:space="0" w:color="auto"/>
        <w:right w:val="none" w:sz="0" w:space="0" w:color="auto"/>
      </w:divBdr>
    </w:div>
    <w:div w:id="474686433">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549616529">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691303206">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23399655">
      <w:bodyDiv w:val="1"/>
      <w:marLeft w:val="0"/>
      <w:marRight w:val="0"/>
      <w:marTop w:val="0"/>
      <w:marBottom w:val="0"/>
      <w:divBdr>
        <w:top w:val="none" w:sz="0" w:space="0" w:color="auto"/>
        <w:left w:val="none" w:sz="0" w:space="0" w:color="auto"/>
        <w:bottom w:val="none" w:sz="0" w:space="0" w:color="auto"/>
        <w:right w:val="none" w:sz="0" w:space="0" w:color="auto"/>
      </w:divBdr>
    </w:div>
    <w:div w:id="838813766">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42208744">
      <w:bodyDiv w:val="1"/>
      <w:marLeft w:val="0"/>
      <w:marRight w:val="0"/>
      <w:marTop w:val="0"/>
      <w:marBottom w:val="0"/>
      <w:divBdr>
        <w:top w:val="none" w:sz="0" w:space="0" w:color="auto"/>
        <w:left w:val="none" w:sz="0" w:space="0" w:color="auto"/>
        <w:bottom w:val="none" w:sz="0" w:space="0" w:color="auto"/>
        <w:right w:val="none" w:sz="0" w:space="0" w:color="auto"/>
      </w:divBdr>
    </w:div>
    <w:div w:id="920675019">
      <w:bodyDiv w:val="1"/>
      <w:marLeft w:val="0"/>
      <w:marRight w:val="0"/>
      <w:marTop w:val="0"/>
      <w:marBottom w:val="0"/>
      <w:divBdr>
        <w:top w:val="none" w:sz="0" w:space="0" w:color="auto"/>
        <w:left w:val="none" w:sz="0" w:space="0" w:color="auto"/>
        <w:bottom w:val="none" w:sz="0" w:space="0" w:color="auto"/>
        <w:right w:val="none" w:sz="0" w:space="0" w:color="auto"/>
      </w:divBdr>
    </w:div>
    <w:div w:id="1017079514">
      <w:bodyDiv w:val="1"/>
      <w:marLeft w:val="0"/>
      <w:marRight w:val="0"/>
      <w:marTop w:val="0"/>
      <w:marBottom w:val="0"/>
      <w:divBdr>
        <w:top w:val="none" w:sz="0" w:space="0" w:color="auto"/>
        <w:left w:val="none" w:sz="0" w:space="0" w:color="auto"/>
        <w:bottom w:val="none" w:sz="0" w:space="0" w:color="auto"/>
        <w:right w:val="none" w:sz="0" w:space="0" w:color="auto"/>
      </w:divBdr>
    </w:div>
    <w:div w:id="1135483452">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279147309">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321352390">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1646425709">
      <w:bodyDiv w:val="1"/>
      <w:marLeft w:val="0"/>
      <w:marRight w:val="0"/>
      <w:marTop w:val="0"/>
      <w:marBottom w:val="0"/>
      <w:divBdr>
        <w:top w:val="none" w:sz="0" w:space="0" w:color="auto"/>
        <w:left w:val="none" w:sz="0" w:space="0" w:color="auto"/>
        <w:bottom w:val="none" w:sz="0" w:space="0" w:color="auto"/>
        <w:right w:val="none" w:sz="0" w:space="0" w:color="auto"/>
      </w:divBdr>
    </w:div>
    <w:div w:id="1756969921">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152BC-B96A-4DA2-B063-D2549209999D}">
  <ds:schemaRefs>
    <ds:schemaRef ds:uri="http://purl.org/dc/elements/1.1/"/>
    <ds:schemaRef ds:uri="http://schemas.microsoft.com/office/2006/metadata/properties"/>
    <ds:schemaRef ds:uri="029c08ca-17ba-47d3-a4d3-5c72257ad7c4"/>
    <ds:schemaRef ds:uri="http://schemas.microsoft.com/office/infopath/2007/PartnerControls"/>
    <ds:schemaRef ds:uri="http://purl.org/dc/terms/"/>
    <ds:schemaRef ds:uri="http://schemas.microsoft.com/office/2006/documentManagement/types"/>
    <ds:schemaRef ds:uri="1970f3ff-c7c3-4b73-8f0c-0bc260d159f3"/>
    <ds:schemaRef ds:uri="http://schemas.openxmlformats.org/package/2006/metadata/core-properties"/>
    <ds:schemaRef ds:uri="620eb5da-c6d3-451c-9903-f568d8f02820"/>
    <ds:schemaRef ds:uri="http://www.w3.org/XML/1998/namespace"/>
    <ds:schemaRef ds:uri="http://purl.org/dc/dcmitype/"/>
  </ds:schemaRefs>
</ds:datastoreItem>
</file>

<file path=customXml/itemProps3.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4.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113</cp:revision>
  <dcterms:created xsi:type="dcterms:W3CDTF">2023-10-06T00:54:00Z</dcterms:created>
  <dcterms:modified xsi:type="dcterms:W3CDTF">2023-10-25T04:29:00Z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