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77777777" w:rsidR="009D5328" w:rsidRPr="001245F6" w:rsidRDefault="009D5328" w:rsidP="008A00C8">
      <w:pPr>
        <w:pStyle w:val="Title"/>
        <w:spacing w:before="100" w:beforeAutospacing="1" w:after="100" w:afterAutospacing="1"/>
      </w:pPr>
      <w:r w:rsidRPr="001245F6">
        <w:t>Barwon</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7347FD53"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The Barwon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109F125E" w:rsidR="00B815BC" w:rsidRPr="00670F30" w:rsidRDefault="00B815BC"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sidRPr="00670F30">
        <w:rPr>
          <w:rFonts w:ascii="Arial" w:eastAsia="MS Mincho" w:hAnsi="Arial" w:cs="Arial"/>
          <w:b/>
          <w:bCs/>
          <w:color w:val="auto"/>
          <w:sz w:val="32"/>
          <w:szCs w:val="32"/>
          <w:lang w:val="en-AU"/>
        </w:rPr>
        <w:t>Barwon Regional Profile</w:t>
      </w:r>
      <w:bookmarkEnd w:id="2"/>
    </w:p>
    <w:tbl>
      <w:tblPr>
        <w:tblStyle w:val="TableGrid"/>
        <w:tblW w:w="7710" w:type="dxa"/>
        <w:tblLook w:val="04A0" w:firstRow="1" w:lastRow="0" w:firstColumn="1" w:lastColumn="0" w:noHBand="0" w:noVBand="1"/>
      </w:tblPr>
      <w:tblGrid>
        <w:gridCol w:w="3855"/>
        <w:gridCol w:w="3855"/>
      </w:tblGrid>
      <w:tr w:rsidR="00D01796" w:rsidRPr="00206BCF" w14:paraId="61327294" w14:textId="77777777" w:rsidTr="00D01796">
        <w:trPr>
          <w:trHeight w:val="224"/>
        </w:trPr>
        <w:tc>
          <w:tcPr>
            <w:tcW w:w="3855" w:type="dxa"/>
            <w:vAlign w:val="center"/>
          </w:tcPr>
          <w:p w14:paraId="2323B597" w14:textId="74546D8B" w:rsidR="00D01796" w:rsidRPr="00206BCF" w:rsidRDefault="00D01796" w:rsidP="00D01796">
            <w:pPr>
              <w:pStyle w:val="TableCopy"/>
              <w:spacing w:before="100" w:beforeAutospacing="1" w:after="100" w:afterAutospacing="1"/>
            </w:pPr>
            <w:r w:rsidRPr="00206BCF">
              <w:t>Population (2020)</w:t>
            </w:r>
          </w:p>
        </w:tc>
        <w:tc>
          <w:tcPr>
            <w:tcW w:w="3855" w:type="dxa"/>
            <w:vAlign w:val="center"/>
          </w:tcPr>
          <w:p w14:paraId="453F8387" w14:textId="66032EB5" w:rsidR="00D01796" w:rsidRPr="00206BCF" w:rsidRDefault="00D01796" w:rsidP="00D01796">
            <w:pPr>
              <w:pStyle w:val="TableCopy"/>
              <w:spacing w:before="100" w:beforeAutospacing="1" w:after="100" w:afterAutospacing="1"/>
            </w:pPr>
            <w:r w:rsidRPr="00206BCF">
              <w:t>324,300</w:t>
            </w:r>
          </w:p>
        </w:tc>
      </w:tr>
      <w:tr w:rsidR="00D01796" w:rsidRPr="00206BCF" w14:paraId="41F4F6A6" w14:textId="77777777" w:rsidTr="00D01796">
        <w:trPr>
          <w:trHeight w:val="342"/>
        </w:trPr>
        <w:tc>
          <w:tcPr>
            <w:tcW w:w="3855" w:type="dxa"/>
            <w:vAlign w:val="center"/>
          </w:tcPr>
          <w:p w14:paraId="3D601F50" w14:textId="65FB581E" w:rsidR="00D01796" w:rsidRPr="00206BCF" w:rsidRDefault="00D01796" w:rsidP="00D01796">
            <w:pPr>
              <w:pStyle w:val="TableCopy"/>
              <w:spacing w:before="100" w:beforeAutospacing="1" w:after="100" w:afterAutospacing="1"/>
            </w:pPr>
            <w:r w:rsidRPr="00206BCF">
              <w:t>Population growth (2011-20)</w:t>
            </w:r>
          </w:p>
        </w:tc>
        <w:tc>
          <w:tcPr>
            <w:tcW w:w="3855" w:type="dxa"/>
            <w:vAlign w:val="center"/>
          </w:tcPr>
          <w:p w14:paraId="6762877B" w14:textId="492F79CA" w:rsidR="00D01796" w:rsidRPr="00206BCF" w:rsidRDefault="00D01796" w:rsidP="00D01796">
            <w:pPr>
              <w:pStyle w:val="TableCopy"/>
              <w:spacing w:before="100" w:beforeAutospacing="1" w:after="100" w:afterAutospacing="1"/>
            </w:pPr>
            <w:r w:rsidRPr="00206BCF">
              <w:t>21.8%</w:t>
            </w:r>
          </w:p>
        </w:tc>
      </w:tr>
      <w:tr w:rsidR="00D01796" w:rsidRPr="00206BCF" w14:paraId="1FBB8A3D" w14:textId="77777777" w:rsidTr="00D01796">
        <w:trPr>
          <w:trHeight w:val="224"/>
        </w:trPr>
        <w:tc>
          <w:tcPr>
            <w:tcW w:w="3855" w:type="dxa"/>
            <w:vAlign w:val="center"/>
          </w:tcPr>
          <w:p w14:paraId="348442D8" w14:textId="76706304" w:rsidR="00D01796" w:rsidRPr="00206BCF" w:rsidRDefault="00D01796" w:rsidP="00D01796">
            <w:pPr>
              <w:pStyle w:val="TableCopy"/>
              <w:spacing w:before="100" w:beforeAutospacing="1" w:after="100" w:afterAutospacing="1"/>
            </w:pPr>
            <w:r w:rsidRPr="00206BCF">
              <w:t>Gross regional product (2020)</w:t>
            </w:r>
          </w:p>
        </w:tc>
        <w:tc>
          <w:tcPr>
            <w:tcW w:w="3855" w:type="dxa"/>
            <w:vAlign w:val="center"/>
          </w:tcPr>
          <w:p w14:paraId="3C4DA438" w14:textId="57F386B9" w:rsidR="00D01796" w:rsidRPr="00206BCF" w:rsidRDefault="00D01796" w:rsidP="00D01796">
            <w:pPr>
              <w:pStyle w:val="TableCopy"/>
              <w:spacing w:before="100" w:beforeAutospacing="1" w:after="100" w:afterAutospacing="1"/>
            </w:pPr>
            <w:r w:rsidRPr="00206BCF">
              <w:t>$17.6</w:t>
            </w:r>
            <w:r>
              <w:t xml:space="preserve"> billion</w:t>
            </w:r>
          </w:p>
        </w:tc>
      </w:tr>
    </w:tbl>
    <w:p w14:paraId="0731A137" w14:textId="05835FA6"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Map of Barwon</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245ABC2E">
            <wp:extent cx="2552700" cy="2705100"/>
            <wp:effectExtent l="0" t="0" r="0" b="0"/>
            <wp:docPr id="1" name="Picture 1" descr="Map showing an overview of the Barwon Regional Partnership region and its location in Victoria. The Barwon region is made up of the Geelong, Queenscliffe, Surf Coast and Colac Otway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Barwon Regional Partnership region and its location in Victoria. The Barwon region is made up of the Geelong, Queenscliffe, Surf Coast and Colac Otway Local Government Areas. "/>
                    <pic:cNvPicPr/>
                  </pic:nvPicPr>
                  <pic:blipFill>
                    <a:blip r:embed="rId11"/>
                    <a:stretch>
                      <a:fillRect/>
                    </a:stretch>
                  </pic:blipFill>
                  <pic:spPr>
                    <a:xfrm>
                      <a:off x="0" y="0"/>
                      <a:ext cx="2552700"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77777777" w:rsidR="00C349FB" w:rsidRPr="00E70028" w:rsidRDefault="00C349FB" w:rsidP="008A00C8">
            <w:pPr>
              <w:pStyle w:val="TableCopy"/>
              <w:spacing w:before="100" w:beforeAutospacing="1" w:after="100" w:afterAutospacing="1"/>
            </w:pPr>
            <w:r w:rsidRPr="00E70028">
              <w:t xml:space="preserve">Barwon: </w:t>
            </w:r>
            <w:r>
              <w:t>3.4</w:t>
            </w:r>
            <w:r w:rsidRPr="00E70028">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77777777" w:rsidR="00C349FB" w:rsidRPr="00E70028" w:rsidRDefault="00C349FB" w:rsidP="008A00C8">
            <w:pPr>
              <w:pStyle w:val="TableCopy"/>
              <w:spacing w:before="100" w:beforeAutospacing="1" w:after="100" w:afterAutospacing="1"/>
            </w:pPr>
            <w:r w:rsidRPr="00E70028">
              <w:t>Barwon: 2.0%</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tc>
          <w:tcPr>
            <w:tcW w:w="4248" w:type="dxa"/>
          </w:tcPr>
          <w:p w14:paraId="55DB0750" w14:textId="77777777" w:rsidR="009E373C" w:rsidRPr="00395E30" w:rsidRDefault="009E373C" w:rsidP="008A00C8">
            <w:pPr>
              <w:pStyle w:val="TableCopy"/>
              <w:spacing w:before="100" w:beforeAutospacing="1" w:after="100" w:afterAutospacing="1"/>
            </w:pPr>
            <w:r w:rsidRPr="00395E30">
              <w:t>Healthcare and social assistance</w:t>
            </w:r>
          </w:p>
        </w:tc>
        <w:tc>
          <w:tcPr>
            <w:tcW w:w="1698" w:type="dxa"/>
          </w:tcPr>
          <w:p w14:paraId="4EB45B75" w14:textId="77777777" w:rsidR="009E373C" w:rsidRPr="00395E30" w:rsidRDefault="009E373C" w:rsidP="008A00C8">
            <w:pPr>
              <w:pStyle w:val="TableCopy"/>
              <w:spacing w:before="100" w:beforeAutospacing="1" w:after="100" w:afterAutospacing="1"/>
              <w:rPr>
                <w:color w:val="000000"/>
              </w:rPr>
            </w:pPr>
            <w:r w:rsidRPr="00395E30">
              <w:rPr>
                <w:color w:val="000000"/>
              </w:rPr>
              <w:t>22,700</w:t>
            </w:r>
          </w:p>
        </w:tc>
      </w:tr>
      <w:tr w:rsidR="009E373C" w:rsidRPr="00395E30" w14:paraId="1356B36E" w14:textId="77777777">
        <w:tc>
          <w:tcPr>
            <w:tcW w:w="4248" w:type="dxa"/>
          </w:tcPr>
          <w:p w14:paraId="506E63A6" w14:textId="77777777" w:rsidR="009E373C" w:rsidRPr="00395E30" w:rsidRDefault="009E373C" w:rsidP="008A00C8">
            <w:pPr>
              <w:pStyle w:val="TableCopy"/>
              <w:spacing w:before="100" w:beforeAutospacing="1" w:after="100" w:afterAutospacing="1"/>
            </w:pPr>
            <w:r w:rsidRPr="00395E30">
              <w:t>Retail trade</w:t>
            </w:r>
          </w:p>
        </w:tc>
        <w:tc>
          <w:tcPr>
            <w:tcW w:w="1698" w:type="dxa"/>
          </w:tcPr>
          <w:p w14:paraId="35F1ABC0" w14:textId="77777777" w:rsidR="009E373C" w:rsidRPr="00395E30" w:rsidRDefault="009E373C" w:rsidP="008A00C8">
            <w:pPr>
              <w:pStyle w:val="TableCopy"/>
              <w:spacing w:before="100" w:beforeAutospacing="1" w:after="100" w:afterAutospacing="1"/>
              <w:rPr>
                <w:color w:val="000000"/>
              </w:rPr>
            </w:pPr>
            <w:r w:rsidRPr="00395E30">
              <w:rPr>
                <w:color w:val="000000"/>
              </w:rPr>
              <w:t>18,800</w:t>
            </w:r>
          </w:p>
        </w:tc>
      </w:tr>
      <w:tr w:rsidR="009E373C" w:rsidRPr="00395E30" w14:paraId="3ACF3E57" w14:textId="77777777">
        <w:tc>
          <w:tcPr>
            <w:tcW w:w="4248" w:type="dxa"/>
          </w:tcPr>
          <w:p w14:paraId="002E2BCD" w14:textId="77777777" w:rsidR="009E373C" w:rsidRPr="00395E30" w:rsidRDefault="009E373C" w:rsidP="008A00C8">
            <w:pPr>
              <w:pStyle w:val="TableCopy"/>
              <w:spacing w:before="100" w:beforeAutospacing="1" w:after="100" w:afterAutospacing="1"/>
            </w:pPr>
            <w:r w:rsidRPr="00395E30">
              <w:t>Construction</w:t>
            </w:r>
          </w:p>
        </w:tc>
        <w:tc>
          <w:tcPr>
            <w:tcW w:w="1698" w:type="dxa"/>
          </w:tcPr>
          <w:p w14:paraId="06530ABA" w14:textId="77777777" w:rsidR="009E373C" w:rsidRPr="00395E30" w:rsidRDefault="009E373C" w:rsidP="008A00C8">
            <w:pPr>
              <w:pStyle w:val="TableCopy"/>
              <w:spacing w:before="100" w:beforeAutospacing="1" w:after="100" w:afterAutospacing="1"/>
              <w:rPr>
                <w:color w:val="000000"/>
              </w:rPr>
            </w:pPr>
            <w:r w:rsidRPr="00395E30">
              <w:rPr>
                <w:color w:val="000000"/>
              </w:rPr>
              <w:t>14,800</w:t>
            </w:r>
          </w:p>
        </w:tc>
      </w:tr>
      <w:tr w:rsidR="009E373C" w:rsidRPr="00395E30" w14:paraId="5FA8F712" w14:textId="77777777">
        <w:tc>
          <w:tcPr>
            <w:tcW w:w="4248" w:type="dxa"/>
          </w:tcPr>
          <w:p w14:paraId="3B975D5E" w14:textId="77777777" w:rsidR="009E373C" w:rsidRPr="00395E30" w:rsidRDefault="009E373C" w:rsidP="008A00C8">
            <w:pPr>
              <w:pStyle w:val="TableCopy"/>
              <w:spacing w:before="100" w:beforeAutospacing="1" w:after="100" w:afterAutospacing="1"/>
            </w:pPr>
            <w:r w:rsidRPr="00395E30">
              <w:t>Education and training</w:t>
            </w:r>
          </w:p>
        </w:tc>
        <w:tc>
          <w:tcPr>
            <w:tcW w:w="1698" w:type="dxa"/>
          </w:tcPr>
          <w:p w14:paraId="38E5B6F7" w14:textId="77777777" w:rsidR="009E373C" w:rsidRPr="00395E30" w:rsidRDefault="009E373C" w:rsidP="008A00C8">
            <w:pPr>
              <w:pStyle w:val="TableCopy"/>
              <w:spacing w:before="100" w:beforeAutospacing="1" w:after="100" w:afterAutospacing="1"/>
              <w:rPr>
                <w:color w:val="000000"/>
              </w:rPr>
            </w:pPr>
            <w:r w:rsidRPr="00395E30">
              <w:t>14,000</w:t>
            </w:r>
          </w:p>
        </w:tc>
      </w:tr>
      <w:tr w:rsidR="009E373C" w:rsidRPr="00395E30" w14:paraId="2477695D" w14:textId="77777777">
        <w:tc>
          <w:tcPr>
            <w:tcW w:w="4248" w:type="dxa"/>
          </w:tcPr>
          <w:p w14:paraId="701B6978" w14:textId="77777777" w:rsidR="009E373C" w:rsidRPr="00395E30" w:rsidRDefault="009E373C" w:rsidP="008A00C8">
            <w:pPr>
              <w:pStyle w:val="TableCopy"/>
              <w:spacing w:before="100" w:beforeAutospacing="1" w:after="100" w:afterAutospacing="1"/>
            </w:pPr>
            <w:r w:rsidRPr="00395E30">
              <w:t>Manufacturing</w:t>
            </w:r>
          </w:p>
        </w:tc>
        <w:tc>
          <w:tcPr>
            <w:tcW w:w="1698" w:type="dxa"/>
          </w:tcPr>
          <w:p w14:paraId="66AA0B11" w14:textId="77777777" w:rsidR="009E373C" w:rsidRPr="00395E30" w:rsidRDefault="009E373C" w:rsidP="008A00C8">
            <w:pPr>
              <w:pStyle w:val="TableCopy"/>
              <w:spacing w:before="100" w:beforeAutospacing="1" w:after="100" w:afterAutospacing="1"/>
              <w:rPr>
                <w:color w:val="000000"/>
              </w:rPr>
            </w:pPr>
            <w:r w:rsidRPr="00395E30">
              <w:t>11,300</w:t>
            </w:r>
          </w:p>
        </w:tc>
      </w:tr>
      <w:tr w:rsidR="009E373C" w:rsidRPr="00395E30" w14:paraId="5E5B40E6" w14:textId="77777777">
        <w:tc>
          <w:tcPr>
            <w:tcW w:w="4248" w:type="dxa"/>
          </w:tcPr>
          <w:p w14:paraId="5474ED5C" w14:textId="269CB62D" w:rsidR="009E373C" w:rsidRPr="00395E30" w:rsidRDefault="00224BFB" w:rsidP="008A00C8">
            <w:pPr>
              <w:pStyle w:val="TableCopy"/>
              <w:spacing w:before="100" w:beforeAutospacing="1" w:after="100" w:afterAutospacing="1"/>
            </w:pPr>
            <w:r>
              <w:t>Public administration and safety</w:t>
            </w:r>
          </w:p>
        </w:tc>
        <w:tc>
          <w:tcPr>
            <w:tcW w:w="1698" w:type="dxa"/>
          </w:tcPr>
          <w:p w14:paraId="24C2C062" w14:textId="7C343A4C" w:rsidR="009E373C" w:rsidRPr="00395E30" w:rsidRDefault="00224BFB" w:rsidP="008A00C8">
            <w:pPr>
              <w:pStyle w:val="TableCopy"/>
              <w:spacing w:before="100" w:beforeAutospacing="1" w:after="100" w:afterAutospacing="1"/>
            </w:pPr>
            <w:r>
              <w:t>10,300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2D39A97F" w:rsidR="00C6552B" w:rsidRPr="0055442F" w:rsidRDefault="00344BD5" w:rsidP="008A00C8">
            <w:pPr>
              <w:pStyle w:val="TableCopy"/>
              <w:spacing w:before="100" w:beforeAutospacing="1" w:after="100" w:afterAutospacing="1"/>
              <w:rPr>
                <w:b/>
                <w:bCs/>
              </w:rPr>
            </w:pPr>
            <w:r>
              <w:rPr>
                <w:b/>
                <w:bCs/>
              </w:rPr>
              <w:t>G</w:t>
            </w:r>
            <w:r w:rsidR="008D6CDD">
              <w:rPr>
                <w:b/>
                <w:bCs/>
              </w:rPr>
              <w:t xml:space="preserve">ross value </w:t>
            </w:r>
            <w:proofErr w:type="gramStart"/>
            <w:r w:rsidR="008D6CDD">
              <w:rPr>
                <w:b/>
                <w:bCs/>
              </w:rPr>
              <w:t>add</w:t>
            </w:r>
            <w:proofErr w:type="gramEnd"/>
          </w:p>
        </w:tc>
      </w:tr>
      <w:tr w:rsidR="00C6552B" w:rsidRPr="00395E30" w14:paraId="0D3E8598" w14:textId="77777777">
        <w:tc>
          <w:tcPr>
            <w:tcW w:w="4248" w:type="dxa"/>
          </w:tcPr>
          <w:p w14:paraId="5F4E85D0" w14:textId="4D0E7A22" w:rsidR="00C6552B" w:rsidRPr="00395E30" w:rsidRDefault="00EA14E8" w:rsidP="008A00C8">
            <w:pPr>
              <w:pStyle w:val="TableCopy"/>
              <w:spacing w:before="100" w:beforeAutospacing="1" w:after="100" w:afterAutospacing="1"/>
            </w:pPr>
            <w:r>
              <w:t>Construction</w:t>
            </w:r>
          </w:p>
        </w:tc>
        <w:tc>
          <w:tcPr>
            <w:tcW w:w="1698" w:type="dxa"/>
          </w:tcPr>
          <w:p w14:paraId="62706779" w14:textId="47D259D2" w:rsidR="00C6552B" w:rsidRPr="00395E30" w:rsidRDefault="001C2593" w:rsidP="008A00C8">
            <w:pPr>
              <w:pStyle w:val="TableCopy"/>
              <w:spacing w:before="100" w:beforeAutospacing="1" w:after="100" w:afterAutospacing="1"/>
              <w:rPr>
                <w:color w:val="000000"/>
              </w:rPr>
            </w:pPr>
            <w:r>
              <w:rPr>
                <w:color w:val="000000"/>
              </w:rPr>
              <w:t>$1.9</w:t>
            </w:r>
            <w:r w:rsidR="0045572F">
              <w:rPr>
                <w:color w:val="000000"/>
              </w:rPr>
              <w:t xml:space="preserve"> Billion</w:t>
            </w:r>
          </w:p>
        </w:tc>
      </w:tr>
      <w:tr w:rsidR="00C6552B" w:rsidRPr="00395E30" w14:paraId="6E5D60EB" w14:textId="77777777">
        <w:tc>
          <w:tcPr>
            <w:tcW w:w="4248" w:type="dxa"/>
          </w:tcPr>
          <w:p w14:paraId="3297DCA1" w14:textId="42BE28EB" w:rsidR="00C6552B" w:rsidRPr="00395E30" w:rsidRDefault="001C2593" w:rsidP="008A00C8">
            <w:pPr>
              <w:pStyle w:val="TableCopy"/>
              <w:spacing w:before="100" w:beforeAutospacing="1" w:after="100" w:afterAutospacing="1"/>
            </w:pPr>
            <w:r>
              <w:t>Health care and social assistance:</w:t>
            </w:r>
          </w:p>
        </w:tc>
        <w:tc>
          <w:tcPr>
            <w:tcW w:w="1698" w:type="dxa"/>
          </w:tcPr>
          <w:p w14:paraId="06F7E01D" w14:textId="3395AF8A" w:rsidR="00C6552B" w:rsidRPr="00395E30" w:rsidRDefault="001C2593" w:rsidP="008A00C8">
            <w:pPr>
              <w:pStyle w:val="TableCopy"/>
              <w:spacing w:before="100" w:beforeAutospacing="1" w:after="100" w:afterAutospacing="1"/>
              <w:rPr>
                <w:color w:val="000000"/>
              </w:rPr>
            </w:pPr>
            <w:r>
              <w:rPr>
                <w:color w:val="000000"/>
              </w:rPr>
              <w:t>$1.8</w:t>
            </w:r>
            <w:r w:rsidR="0045572F">
              <w:rPr>
                <w:color w:val="000000"/>
              </w:rPr>
              <w:t xml:space="preserve"> </w:t>
            </w:r>
            <w:r w:rsidR="0045572F">
              <w:rPr>
                <w:color w:val="000000"/>
              </w:rPr>
              <w:t>Billion</w:t>
            </w:r>
          </w:p>
        </w:tc>
      </w:tr>
      <w:tr w:rsidR="00C6552B" w:rsidRPr="00395E30" w14:paraId="3CC31164" w14:textId="77777777">
        <w:tc>
          <w:tcPr>
            <w:tcW w:w="4248" w:type="dxa"/>
          </w:tcPr>
          <w:p w14:paraId="0F5C13E8" w14:textId="20BDA8B0" w:rsidR="00C6552B" w:rsidRPr="00395E30" w:rsidRDefault="009B327E" w:rsidP="008A00C8">
            <w:pPr>
              <w:pStyle w:val="TableCopy"/>
              <w:spacing w:before="100" w:beforeAutospacing="1" w:after="100" w:afterAutospacing="1"/>
            </w:pPr>
            <w:r>
              <w:t>Manufacturing</w:t>
            </w:r>
          </w:p>
        </w:tc>
        <w:tc>
          <w:tcPr>
            <w:tcW w:w="1698" w:type="dxa"/>
          </w:tcPr>
          <w:p w14:paraId="5A745A8F" w14:textId="0479D041" w:rsidR="00C6552B" w:rsidRPr="00395E30" w:rsidRDefault="001C2593" w:rsidP="008A00C8">
            <w:pPr>
              <w:pStyle w:val="TableCopy"/>
              <w:spacing w:before="100" w:beforeAutospacing="1" w:after="100" w:afterAutospacing="1"/>
              <w:rPr>
                <w:color w:val="000000"/>
              </w:rPr>
            </w:pPr>
            <w:r>
              <w:rPr>
                <w:color w:val="000000"/>
              </w:rPr>
              <w:t>$1.5</w:t>
            </w:r>
            <w:r w:rsidR="0045572F">
              <w:rPr>
                <w:color w:val="000000"/>
              </w:rPr>
              <w:t xml:space="preserve"> </w:t>
            </w:r>
            <w:r w:rsidR="0045572F">
              <w:rPr>
                <w:color w:val="000000"/>
              </w:rPr>
              <w:t>Billion</w:t>
            </w:r>
          </w:p>
        </w:tc>
      </w:tr>
      <w:tr w:rsidR="00C6552B" w:rsidRPr="00395E30" w14:paraId="41869C6B" w14:textId="77777777">
        <w:tc>
          <w:tcPr>
            <w:tcW w:w="4248" w:type="dxa"/>
          </w:tcPr>
          <w:p w14:paraId="227F0352" w14:textId="2F9FBCB9" w:rsidR="00C6552B" w:rsidRPr="00395E30" w:rsidRDefault="009B327E" w:rsidP="008A00C8">
            <w:pPr>
              <w:pStyle w:val="TableCopy"/>
              <w:spacing w:before="100" w:beforeAutospacing="1" w:after="100" w:afterAutospacing="1"/>
            </w:pPr>
            <w:r>
              <w:t>Public administration and safety</w:t>
            </w:r>
          </w:p>
        </w:tc>
        <w:tc>
          <w:tcPr>
            <w:tcW w:w="1698" w:type="dxa"/>
          </w:tcPr>
          <w:p w14:paraId="7DAF1A08" w14:textId="67D8B08B" w:rsidR="00C6552B" w:rsidRPr="00395E30" w:rsidRDefault="001C2593" w:rsidP="008A00C8">
            <w:pPr>
              <w:pStyle w:val="TableCopy"/>
              <w:spacing w:before="100" w:beforeAutospacing="1" w:after="100" w:afterAutospacing="1"/>
              <w:rPr>
                <w:color w:val="000000"/>
              </w:rPr>
            </w:pPr>
            <w:r>
              <w:rPr>
                <w:color w:val="000000"/>
              </w:rPr>
              <w:t>$1.2</w:t>
            </w:r>
            <w:r w:rsidR="0045572F">
              <w:rPr>
                <w:color w:val="000000"/>
              </w:rPr>
              <w:t xml:space="preserve"> </w:t>
            </w:r>
            <w:r w:rsidR="0045572F">
              <w:rPr>
                <w:color w:val="000000"/>
              </w:rPr>
              <w:t>Billion</w:t>
            </w:r>
          </w:p>
        </w:tc>
      </w:tr>
      <w:tr w:rsidR="00C6552B" w:rsidRPr="00395E30" w14:paraId="24926785" w14:textId="77777777">
        <w:tc>
          <w:tcPr>
            <w:tcW w:w="4248" w:type="dxa"/>
          </w:tcPr>
          <w:p w14:paraId="642B83EB" w14:textId="68AA740D" w:rsidR="00C6552B" w:rsidRPr="00395E30" w:rsidRDefault="00FE3CC8" w:rsidP="008A00C8">
            <w:pPr>
              <w:pStyle w:val="TableCopy"/>
              <w:spacing w:before="100" w:beforeAutospacing="1" w:after="100" w:afterAutospacing="1"/>
            </w:pPr>
            <w:r>
              <w:t>Education and training</w:t>
            </w:r>
          </w:p>
        </w:tc>
        <w:tc>
          <w:tcPr>
            <w:tcW w:w="1698" w:type="dxa"/>
          </w:tcPr>
          <w:p w14:paraId="7470C069" w14:textId="4E49A0B8" w:rsidR="00C6552B" w:rsidRPr="00395E30" w:rsidRDefault="001C2593" w:rsidP="008A00C8">
            <w:pPr>
              <w:pStyle w:val="TableCopy"/>
              <w:spacing w:before="100" w:beforeAutospacing="1" w:after="100" w:afterAutospacing="1"/>
              <w:rPr>
                <w:color w:val="000000"/>
              </w:rPr>
            </w:pPr>
            <w:r>
              <w:rPr>
                <w:color w:val="000000"/>
              </w:rPr>
              <w:t>$1.2</w:t>
            </w:r>
            <w:r w:rsidR="0045572F">
              <w:rPr>
                <w:color w:val="000000"/>
              </w:rPr>
              <w:t xml:space="preserve"> </w:t>
            </w:r>
            <w:r w:rsidR="0045572F">
              <w:rPr>
                <w:color w:val="000000"/>
              </w:rPr>
              <w:t>Billion</w:t>
            </w:r>
          </w:p>
        </w:tc>
      </w:tr>
      <w:tr w:rsidR="00C6552B" w:rsidRPr="00395E30" w14:paraId="00F182DD" w14:textId="77777777">
        <w:tc>
          <w:tcPr>
            <w:tcW w:w="4248" w:type="dxa"/>
          </w:tcPr>
          <w:p w14:paraId="1F9A1809" w14:textId="0F317047" w:rsidR="00C6552B" w:rsidRPr="00395E30" w:rsidRDefault="00FE3CC8" w:rsidP="008A00C8">
            <w:pPr>
              <w:pStyle w:val="TableCopy"/>
              <w:spacing w:before="100" w:beforeAutospacing="1" w:after="100" w:afterAutospacing="1"/>
            </w:pPr>
            <w:r>
              <w:t>Retail trade</w:t>
            </w:r>
          </w:p>
        </w:tc>
        <w:tc>
          <w:tcPr>
            <w:tcW w:w="1698" w:type="dxa"/>
          </w:tcPr>
          <w:p w14:paraId="7598C604" w14:textId="648DF7EE" w:rsidR="00C6552B" w:rsidRPr="00395E30" w:rsidRDefault="009B327E" w:rsidP="008A00C8">
            <w:pPr>
              <w:pStyle w:val="TableCopy"/>
              <w:spacing w:before="100" w:beforeAutospacing="1" w:after="100" w:afterAutospacing="1"/>
            </w:pPr>
            <w:r>
              <w:t>$1.1</w:t>
            </w:r>
            <w:r w:rsidR="0045572F">
              <w:t xml:space="preserve"> </w:t>
            </w:r>
            <w:r w:rsidR="0045572F">
              <w:rPr>
                <w:color w:val="000000"/>
              </w:rPr>
              <w:t>Billion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1DBFB00F" w14:textId="7E27F373" w:rsidR="00D01796" w:rsidRPr="00D01796" w:rsidRDefault="00D01796" w:rsidP="00D01796">
      <w:pPr>
        <w:spacing w:before="100" w:beforeAutospacing="1" w:after="100" w:afterAutospacing="1"/>
        <w:rPr>
          <w:rFonts w:ascii="Arial" w:hAnsi="Arial" w:cs="Arial"/>
          <w:sz w:val="24"/>
          <w:szCs w:val="24"/>
          <w:lang w:val="en-AU"/>
        </w:rPr>
      </w:pPr>
      <w:r w:rsidRPr="00D01796">
        <w:rPr>
          <w:rFonts w:ascii="Arial" w:hAnsi="Arial" w:cs="Arial"/>
          <w:sz w:val="24"/>
          <w:szCs w:val="24"/>
          <w:lang w:val="en-AU"/>
        </w:rPr>
        <w:t>Barwon</w:t>
      </w:r>
      <w:r w:rsidRPr="00D01796">
        <w:rPr>
          <w:rFonts w:ascii="Arial" w:hAnsi="Arial" w:cs="Arial"/>
          <w:sz w:val="24"/>
          <w:szCs w:val="24"/>
          <w:lang w:val="en-AU"/>
        </w:rPr>
        <w:t>’s five strategic directions have been identified using an evidence base that considers the region’s unique attributes, existing and emerging industries, and socioeconomic context</w:t>
      </w:r>
      <w:r>
        <w:rPr>
          <w:rFonts w:ascii="Arial" w:hAnsi="Arial" w:cs="Arial"/>
          <w:sz w:val="24"/>
          <w:szCs w:val="24"/>
          <w:lang w:val="en-AU"/>
        </w:rPr>
        <w:t>.</w:t>
      </w:r>
    </w:p>
    <w:p w14:paraId="2E6E6165" w14:textId="5C2BA26F" w:rsidR="001245F6" w:rsidRPr="009A3281" w:rsidRDefault="001245F6" w:rsidP="008A00C8">
      <w:pPr>
        <w:pStyle w:val="Heading2"/>
        <w:spacing w:before="100" w:beforeAutospacing="1" w:after="100" w:afterAutospacing="1"/>
        <w:rPr>
          <w:rFonts w:ascii="Arial" w:hAnsi="Arial" w:cs="Arial"/>
          <w:color w:val="auto"/>
          <w:sz w:val="32"/>
          <w:szCs w:val="32"/>
        </w:rPr>
      </w:pPr>
      <w:r w:rsidRPr="009A3281">
        <w:rPr>
          <w:rFonts w:ascii="Arial" w:hAnsi="Arial" w:cs="Arial"/>
          <w:color w:val="auto"/>
          <w:sz w:val="32"/>
          <w:szCs w:val="32"/>
        </w:rPr>
        <w:t xml:space="preserve">1. Accelerate the transition to new and high-value manufacturing opportunities </w:t>
      </w:r>
    </w:p>
    <w:p w14:paraId="68353F0A" w14:textId="335EC780" w:rsidR="001245F6" w:rsidRPr="001245F6" w:rsidRDefault="001245F6" w:rsidP="008A00C8">
      <w:pPr>
        <w:spacing w:before="100" w:beforeAutospacing="1" w:after="100" w:afterAutospacing="1"/>
        <w:rPr>
          <w:rFonts w:ascii="Arial" w:hAnsi="Arial" w:cs="Arial"/>
          <w:sz w:val="24"/>
          <w:szCs w:val="24"/>
          <w:lang w:val="en-AU"/>
        </w:rPr>
      </w:pPr>
      <w:r w:rsidRPr="001245F6">
        <w:rPr>
          <w:rFonts w:ascii="Arial" w:hAnsi="Arial" w:cs="Arial"/>
          <w:sz w:val="24"/>
          <w:szCs w:val="24"/>
          <w:lang w:val="en-AU"/>
        </w:rPr>
        <w:t xml:space="preserve">Developing future-focused products and advanced manufacturing capabilities will, along with existing supply chains and transport infrastructure, drive new and high-value manufacturing opportunities.   </w:t>
      </w:r>
    </w:p>
    <w:p w14:paraId="368E7515" w14:textId="2FB7BBD7" w:rsidR="001245F6" w:rsidRPr="001245F6" w:rsidRDefault="001245F6" w:rsidP="008A00C8">
      <w:pPr>
        <w:pStyle w:val="Heading2"/>
        <w:spacing w:before="100" w:beforeAutospacing="1" w:after="100" w:afterAutospacing="1"/>
        <w:rPr>
          <w:rFonts w:ascii="Arial" w:hAnsi="Arial" w:cs="Arial"/>
          <w:color w:val="auto"/>
          <w:sz w:val="32"/>
          <w:szCs w:val="32"/>
        </w:rPr>
      </w:pPr>
      <w:r w:rsidRPr="001245F6">
        <w:rPr>
          <w:rFonts w:ascii="Arial" w:hAnsi="Arial" w:cs="Arial"/>
          <w:color w:val="auto"/>
          <w:sz w:val="32"/>
          <w:szCs w:val="32"/>
        </w:rPr>
        <w:lastRenderedPageBreak/>
        <w:t xml:space="preserve">2. Further the innovation and skills ecosystem </w:t>
      </w:r>
    </w:p>
    <w:p w14:paraId="1AFB04AD" w14:textId="6717D8FF" w:rsidR="001245F6" w:rsidRPr="001245F6" w:rsidRDefault="001245F6" w:rsidP="008A00C8">
      <w:pPr>
        <w:spacing w:before="100" w:beforeAutospacing="1" w:after="100" w:afterAutospacing="1"/>
        <w:rPr>
          <w:rFonts w:ascii="Arial" w:hAnsi="Arial" w:cs="Arial"/>
          <w:sz w:val="24"/>
          <w:szCs w:val="24"/>
          <w:lang w:val="en-AU"/>
        </w:rPr>
      </w:pPr>
      <w:r w:rsidRPr="001245F6">
        <w:rPr>
          <w:rFonts w:ascii="Arial" w:hAnsi="Arial" w:cs="Arial"/>
          <w:sz w:val="24"/>
          <w:szCs w:val="24"/>
          <w:lang w:val="en-AU"/>
        </w:rPr>
        <w:t>Existing innovation hubs and significant local research expertise will contribute to business incubation, productivity growth and a future-focused education and training sector.</w:t>
      </w:r>
    </w:p>
    <w:p w14:paraId="3366C93F" w14:textId="52207642" w:rsidR="001245F6" w:rsidRPr="001245F6" w:rsidRDefault="001245F6" w:rsidP="008A00C8">
      <w:pPr>
        <w:pStyle w:val="Heading2"/>
        <w:spacing w:before="100" w:beforeAutospacing="1" w:after="100" w:afterAutospacing="1"/>
        <w:rPr>
          <w:rFonts w:ascii="Arial" w:hAnsi="Arial" w:cs="Arial"/>
          <w:lang w:val="en-AU"/>
        </w:rPr>
      </w:pPr>
      <w:r w:rsidRPr="001245F6">
        <w:rPr>
          <w:rFonts w:ascii="Arial" w:hAnsi="Arial" w:cs="Arial"/>
          <w:color w:val="auto"/>
          <w:sz w:val="32"/>
          <w:szCs w:val="32"/>
        </w:rPr>
        <w:t xml:space="preserve">3. </w:t>
      </w:r>
      <w:proofErr w:type="spellStart"/>
      <w:r w:rsidRPr="001245F6">
        <w:rPr>
          <w:rFonts w:ascii="Arial" w:hAnsi="Arial" w:cs="Arial"/>
          <w:color w:val="auto"/>
          <w:sz w:val="32"/>
          <w:szCs w:val="32"/>
        </w:rPr>
        <w:t>Realise</w:t>
      </w:r>
      <w:proofErr w:type="spellEnd"/>
      <w:r w:rsidRPr="001245F6">
        <w:rPr>
          <w:rFonts w:ascii="Arial" w:hAnsi="Arial" w:cs="Arial"/>
          <w:color w:val="auto"/>
          <w:sz w:val="32"/>
          <w:szCs w:val="32"/>
        </w:rPr>
        <w:t xml:space="preserve"> the potential of the visitor economy </w:t>
      </w:r>
    </w:p>
    <w:p w14:paraId="7203B608" w14:textId="41A261D2" w:rsidR="001245F6" w:rsidRPr="001245F6" w:rsidRDefault="001245F6" w:rsidP="008A00C8">
      <w:pPr>
        <w:spacing w:before="100" w:beforeAutospacing="1" w:after="100" w:afterAutospacing="1"/>
        <w:rPr>
          <w:rFonts w:ascii="Arial" w:hAnsi="Arial" w:cs="Arial"/>
          <w:sz w:val="24"/>
          <w:szCs w:val="24"/>
          <w:lang w:val="en-AU"/>
        </w:rPr>
      </w:pPr>
      <w:r w:rsidRPr="001245F6">
        <w:rPr>
          <w:rFonts w:ascii="Arial" w:hAnsi="Arial" w:cs="Arial"/>
          <w:sz w:val="24"/>
          <w:szCs w:val="24"/>
          <w:lang w:val="en-AU"/>
        </w:rPr>
        <w:t xml:space="preserve">The diverse range of tourism offerings, including natural landscapes, creative industries, Aboriginal heritage and emerging agritourism, strongly positions the region to take advantage of changing domestic visitor trends.  </w:t>
      </w:r>
    </w:p>
    <w:p w14:paraId="13507C2C" w14:textId="79B8EA2B" w:rsidR="001245F6" w:rsidRPr="001245F6" w:rsidRDefault="001245F6" w:rsidP="008A00C8">
      <w:pPr>
        <w:pStyle w:val="Heading2"/>
        <w:spacing w:before="100" w:beforeAutospacing="1" w:after="100" w:afterAutospacing="1"/>
        <w:rPr>
          <w:rFonts w:ascii="Arial" w:hAnsi="Arial" w:cs="Arial"/>
          <w:color w:val="auto"/>
          <w:sz w:val="32"/>
          <w:szCs w:val="32"/>
        </w:rPr>
      </w:pPr>
      <w:r w:rsidRPr="001245F6">
        <w:rPr>
          <w:rFonts w:ascii="Arial" w:hAnsi="Arial" w:cs="Arial"/>
          <w:color w:val="auto"/>
          <w:sz w:val="32"/>
          <w:szCs w:val="32"/>
        </w:rPr>
        <w:t xml:space="preserve">4. Maximise the economic benefit from expanding service-based sectors </w:t>
      </w:r>
    </w:p>
    <w:p w14:paraId="67DABD38" w14:textId="1D780EFB" w:rsidR="001245F6" w:rsidRPr="001245F6" w:rsidRDefault="001245F6" w:rsidP="008A00C8">
      <w:pPr>
        <w:spacing w:before="100" w:beforeAutospacing="1" w:after="100" w:afterAutospacing="1"/>
        <w:rPr>
          <w:rFonts w:ascii="Arial" w:hAnsi="Arial" w:cs="Arial"/>
          <w:sz w:val="24"/>
          <w:szCs w:val="24"/>
          <w:lang w:val="en-AU"/>
        </w:rPr>
      </w:pPr>
      <w:r w:rsidRPr="001245F6">
        <w:rPr>
          <w:rFonts w:ascii="Arial" w:hAnsi="Arial" w:cs="Arial"/>
          <w:sz w:val="24"/>
          <w:szCs w:val="24"/>
          <w:lang w:val="en-AU"/>
        </w:rPr>
        <w:t>Strong population growth and changing demographics have driven service-based sectors with a skilled workforce – cultivating these sectors is an opportunity for long-term growth and wider economic benefits.</w:t>
      </w:r>
    </w:p>
    <w:p w14:paraId="267D0E45" w14:textId="49AA7F1C" w:rsidR="001245F6" w:rsidRPr="001245F6" w:rsidRDefault="001245F6" w:rsidP="008A00C8">
      <w:pPr>
        <w:pStyle w:val="Heading2"/>
        <w:spacing w:before="100" w:beforeAutospacing="1" w:after="100" w:afterAutospacing="1"/>
        <w:rPr>
          <w:rFonts w:ascii="Arial" w:hAnsi="Arial" w:cs="Arial"/>
          <w:lang w:val="en-AU"/>
        </w:rPr>
      </w:pPr>
      <w:r w:rsidRPr="001245F6">
        <w:rPr>
          <w:rFonts w:ascii="Arial" w:hAnsi="Arial" w:cs="Arial"/>
          <w:color w:val="auto"/>
          <w:sz w:val="32"/>
          <w:szCs w:val="32"/>
        </w:rPr>
        <w:t xml:space="preserve">5. Build a sustainable and climate-resilient economy </w:t>
      </w:r>
    </w:p>
    <w:p w14:paraId="2699403D" w14:textId="77777777" w:rsidR="001245F6" w:rsidRPr="001245F6" w:rsidRDefault="001245F6" w:rsidP="008A00C8">
      <w:pPr>
        <w:spacing w:before="100" w:beforeAutospacing="1" w:after="100" w:afterAutospacing="1"/>
        <w:rPr>
          <w:rFonts w:ascii="Arial" w:hAnsi="Arial" w:cs="Arial"/>
          <w:sz w:val="24"/>
          <w:szCs w:val="24"/>
          <w:lang w:val="en-AU"/>
        </w:rPr>
      </w:pPr>
      <w:r w:rsidRPr="001245F6">
        <w:rPr>
          <w:rFonts w:ascii="Arial" w:hAnsi="Arial" w:cs="Arial"/>
          <w:sz w:val="24"/>
          <w:szCs w:val="24"/>
          <w:lang w:val="en-AU"/>
        </w:rPr>
        <w:t xml:space="preserve">Renewable energy generation, including rooftop and large-scale solar, wind and renewable hydrogen, complement strong community interest in resource recovery and recycling to drive sustainability in the region. </w:t>
      </w:r>
    </w:p>
    <w:p w14:paraId="6D23E3A4" w14:textId="77777777" w:rsidR="007B6470" w:rsidRPr="00392AB8" w:rsidRDefault="007B6470" w:rsidP="00A91195">
      <w:pPr>
        <w:pStyle w:val="FootnoteText"/>
      </w:pPr>
      <w:r w:rsidRPr="00392AB8">
        <w:t>Please refer to the Barwon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AF9A" w14:textId="77777777" w:rsidR="009600EF" w:rsidRDefault="009600EF" w:rsidP="009D5328">
      <w:pPr>
        <w:spacing w:after="0" w:line="240" w:lineRule="auto"/>
      </w:pPr>
      <w:r>
        <w:separator/>
      </w:r>
    </w:p>
  </w:endnote>
  <w:endnote w:type="continuationSeparator" w:id="0">
    <w:p w14:paraId="0D4E9C26" w14:textId="77777777" w:rsidR="009600EF" w:rsidRDefault="009600EF" w:rsidP="009D5328">
      <w:pPr>
        <w:spacing w:after="0" w:line="240" w:lineRule="auto"/>
      </w:pPr>
      <w:r>
        <w:continuationSeparator/>
      </w:r>
    </w:p>
  </w:endnote>
  <w:endnote w:type="continuationNotice" w:id="1">
    <w:p w14:paraId="0C274324" w14:textId="77777777" w:rsidR="009600EF" w:rsidRDefault="00960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C4F9" w14:textId="77777777" w:rsidR="009600EF" w:rsidRDefault="009600EF" w:rsidP="009D5328">
      <w:pPr>
        <w:spacing w:after="0" w:line="240" w:lineRule="auto"/>
      </w:pPr>
      <w:r>
        <w:separator/>
      </w:r>
    </w:p>
  </w:footnote>
  <w:footnote w:type="continuationSeparator" w:id="0">
    <w:p w14:paraId="4DE7213C" w14:textId="77777777" w:rsidR="009600EF" w:rsidRDefault="009600EF" w:rsidP="009D5328">
      <w:pPr>
        <w:spacing w:after="0" w:line="240" w:lineRule="auto"/>
      </w:pPr>
      <w:r>
        <w:continuationSeparator/>
      </w:r>
    </w:p>
  </w:footnote>
  <w:footnote w:type="continuationNotice" w:id="1">
    <w:p w14:paraId="1EB2DD52" w14:textId="77777777" w:rsidR="009600EF" w:rsidRDefault="009600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32B2C"/>
    <w:rsid w:val="00043CFE"/>
    <w:rsid w:val="00064FF3"/>
    <w:rsid w:val="00087295"/>
    <w:rsid w:val="00087E72"/>
    <w:rsid w:val="00094AD1"/>
    <w:rsid w:val="00110FD5"/>
    <w:rsid w:val="001245F6"/>
    <w:rsid w:val="00163928"/>
    <w:rsid w:val="001C2593"/>
    <w:rsid w:val="00211060"/>
    <w:rsid w:val="00224BFB"/>
    <w:rsid w:val="00240C90"/>
    <w:rsid w:val="00241A94"/>
    <w:rsid w:val="002F525D"/>
    <w:rsid w:val="00304CB6"/>
    <w:rsid w:val="00344BD5"/>
    <w:rsid w:val="00392AB8"/>
    <w:rsid w:val="003D50F9"/>
    <w:rsid w:val="003E29EB"/>
    <w:rsid w:val="00421CBF"/>
    <w:rsid w:val="004258C8"/>
    <w:rsid w:val="0045572F"/>
    <w:rsid w:val="004C1FA3"/>
    <w:rsid w:val="0051145A"/>
    <w:rsid w:val="00535344"/>
    <w:rsid w:val="00562DCA"/>
    <w:rsid w:val="005941DE"/>
    <w:rsid w:val="005D5CAA"/>
    <w:rsid w:val="00670F30"/>
    <w:rsid w:val="007254CF"/>
    <w:rsid w:val="007B6470"/>
    <w:rsid w:val="00826A4F"/>
    <w:rsid w:val="00894C22"/>
    <w:rsid w:val="008A00C8"/>
    <w:rsid w:val="008B5C2D"/>
    <w:rsid w:val="008D6CDD"/>
    <w:rsid w:val="009600EF"/>
    <w:rsid w:val="009A3281"/>
    <w:rsid w:val="009B327E"/>
    <w:rsid w:val="009D5328"/>
    <w:rsid w:val="009E373C"/>
    <w:rsid w:val="009E3AD7"/>
    <w:rsid w:val="00A039B4"/>
    <w:rsid w:val="00A91195"/>
    <w:rsid w:val="00AC35F6"/>
    <w:rsid w:val="00B228BB"/>
    <w:rsid w:val="00B34475"/>
    <w:rsid w:val="00B4281D"/>
    <w:rsid w:val="00B74E41"/>
    <w:rsid w:val="00B815BC"/>
    <w:rsid w:val="00BB23E3"/>
    <w:rsid w:val="00C349FB"/>
    <w:rsid w:val="00C6552B"/>
    <w:rsid w:val="00C71B7A"/>
    <w:rsid w:val="00D01796"/>
    <w:rsid w:val="00E1380E"/>
    <w:rsid w:val="00E70E24"/>
    <w:rsid w:val="00EA14E8"/>
    <w:rsid w:val="00F35DC3"/>
    <w:rsid w:val="00FE3CC8"/>
    <w:rsid w:val="00FF09AA"/>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77125835-5AF8-428F-948D-0F3AECB2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Props1.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customXml/itemProps2.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3.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837C8-6888-406D-982A-0CDB20BE3AED}">
  <ds:schemaRefs>
    <ds:schemaRef ds:uri="http://www.w3.org/2001/XMLSchema"/>
  </ds:schemaRefs>
</ds:datastoreItem>
</file>

<file path=customXml/itemProps5.xml><?xml version="1.0" encoding="utf-8"?>
<ds:datastoreItem xmlns:ds="http://schemas.openxmlformats.org/officeDocument/2006/customXml" ds:itemID="{562152BC-B96A-4DA2-B063-D2549209999D}">
  <ds:schemaRefs>
    <ds:schemaRef ds:uri="http://schemas.microsoft.com/office/2006/documentManagement/types"/>
    <ds:schemaRef ds:uri="029c08ca-17ba-47d3-a4d3-5c72257ad7c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970f3ff-c7c3-4b73-8f0c-0bc260d159f3"/>
    <ds:schemaRef ds:uri="http://purl.org/dc/terms/"/>
    <ds:schemaRef ds:uri="620eb5da-c6d3-451c-9903-f568d8f028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60</cp:revision>
  <dcterms:created xsi:type="dcterms:W3CDTF">2023-10-06T18:54:00Z</dcterms:created>
  <dcterms:modified xsi:type="dcterms:W3CDTF">2023-10-25T04:51:00Z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